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垫江县沙河小学校</w:t>
      </w:r>
      <w:r>
        <w:rPr>
          <w:rFonts w:ascii="方正小标宋_GBK"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spacing w:line="576" w:lineRule="exact"/>
        <w:ind w:firstLine="640" w:firstLineChars="200"/>
        <w:rPr>
          <w:rFonts w:hint="default" w:ascii="方正黑体_GBK" w:hAnsi="华文仿宋" w:eastAsia="方正黑体_GBK"/>
          <w:sz w:val="32"/>
          <w:szCs w:val="32"/>
        </w:rPr>
      </w:pPr>
    </w:p>
    <w:p>
      <w:pPr>
        <w:spacing w:line="576" w:lineRule="exact"/>
        <w:ind w:firstLine="640" w:firstLineChars="200"/>
        <w:rPr>
          <w:rFonts w:hint="default" w:ascii="方正黑体_GBK" w:hAnsi="华文仿宋" w:eastAsia="方正黑体_GBK"/>
          <w:sz w:val="32"/>
          <w:szCs w:val="32"/>
        </w:rPr>
      </w:pPr>
      <w:r>
        <w:rPr>
          <w:rFonts w:ascii="方正黑体_GBK" w:hAnsi="华文仿宋" w:eastAsia="方正黑体_GBK"/>
          <w:sz w:val="32"/>
          <w:szCs w:val="32"/>
        </w:rPr>
        <w:t>一、单位基本情况</w:t>
      </w:r>
    </w:p>
    <w:p>
      <w:pPr>
        <w:spacing w:line="576" w:lineRule="exact"/>
        <w:ind w:firstLine="643" w:firstLineChars="200"/>
        <w:rPr>
          <w:rFonts w:hint="default" w:ascii="方正楷体_GBK" w:hAnsi="华文仿宋" w:eastAsia="方正楷体_GBK"/>
          <w:b/>
          <w:sz w:val="32"/>
          <w:szCs w:val="32"/>
        </w:rPr>
      </w:pPr>
      <w:r>
        <w:rPr>
          <w:rFonts w:ascii="楷体" w:hAnsi="楷体" w:eastAsia="楷体" w:cs="楷体"/>
          <w:b/>
          <w:bCs/>
          <w:sz w:val="32"/>
          <w:szCs w:val="32"/>
          <w:shd w:val="clear" w:color="auto" w:fill="FFFFFF"/>
        </w:rPr>
        <w:t>（一）</w:t>
      </w:r>
      <w:r>
        <w:rPr>
          <w:rFonts w:ascii="方正楷体_GBK" w:hAnsi="华文仿宋" w:eastAsia="方正楷体_GBK"/>
          <w:b/>
          <w:sz w:val="32"/>
          <w:szCs w:val="32"/>
        </w:rPr>
        <w:t>职能职责</w:t>
      </w:r>
    </w:p>
    <w:p>
      <w:pPr>
        <w:spacing w:line="576" w:lineRule="exact"/>
        <w:ind w:firstLine="640" w:firstLineChars="200"/>
        <w:rPr>
          <w:rFonts w:hint="default" w:ascii="方正仿宋_GBK" w:hAnsi="仿宋_GB2312" w:eastAsia="方正仿宋_GBK" w:cs="仿宋_GB2312"/>
          <w:sz w:val="32"/>
          <w:szCs w:val="32"/>
        </w:rPr>
      </w:pPr>
      <w:r>
        <w:rPr>
          <w:rFonts w:ascii="方正仿宋_GBK" w:hAnsi="仿宋_GB2312" w:eastAsia="方正仿宋_GBK" w:cs="仿宋_GB2312"/>
          <w:sz w:val="32"/>
          <w:szCs w:val="32"/>
        </w:rPr>
        <w:t>1、负责辖区适龄儿童义务教育工作；负责辖区学前儿童教育与保育工作。</w:t>
      </w:r>
    </w:p>
    <w:p>
      <w:pPr>
        <w:spacing w:line="576" w:lineRule="exact"/>
        <w:ind w:firstLine="640" w:firstLineChars="200"/>
        <w:rPr>
          <w:rFonts w:hint="default" w:ascii="方正仿宋_GBK" w:hAnsi="仿宋_GB2312" w:eastAsia="方正仿宋_GBK" w:cs="仿宋_GB2312"/>
          <w:sz w:val="32"/>
          <w:szCs w:val="32"/>
        </w:rPr>
      </w:pPr>
      <w:r>
        <w:rPr>
          <w:rFonts w:ascii="方正仿宋_GBK" w:hAnsi="仿宋_GB2312" w:eastAsia="方正仿宋_GBK" w:cs="仿宋_GB2312"/>
          <w:sz w:val="32"/>
          <w:szCs w:val="32"/>
        </w:rPr>
        <w:t>2、受县教育行政单位委托，做好党的教育方针及教育法规贯彻落实，全面推进素质教育。负责学校教育教学、教育科研、师资队伍、学校经费收支与校产管理与指导；负责教育统计；负责学校卫生、安全、稳定工作；负责落实其他工作。协助所在乡镇人民政府做好适龄青少年依法接受义务教育的工作。</w:t>
      </w:r>
    </w:p>
    <w:p>
      <w:pPr>
        <w:spacing w:line="576" w:lineRule="exact"/>
        <w:ind w:firstLine="643" w:firstLineChars="200"/>
        <w:rPr>
          <w:rFonts w:hint="default" w:ascii="方正仿宋_GBK" w:hAnsi="仿宋_GB2312" w:eastAsia="方正仿宋_GBK" w:cs="仿宋_GB2312"/>
          <w:sz w:val="32"/>
          <w:szCs w:val="32"/>
        </w:rPr>
      </w:pPr>
      <w:r>
        <w:rPr>
          <w:rFonts w:ascii="楷体" w:hAnsi="楷体" w:eastAsia="楷体" w:cs="楷体"/>
          <w:b/>
          <w:bCs/>
          <w:sz w:val="32"/>
          <w:szCs w:val="32"/>
          <w:shd w:val="clear" w:color="auto" w:fill="FFFFFF"/>
        </w:rPr>
        <w:t>（二）</w:t>
      </w:r>
      <w:r>
        <w:rPr>
          <w:rFonts w:ascii="方正仿宋_GBK" w:hAnsi="仿宋_GB2312" w:eastAsia="方正仿宋_GBK" w:cs="仿宋_GB2312"/>
          <w:sz w:val="32"/>
          <w:szCs w:val="32"/>
        </w:rPr>
        <w:t>机构设置</w:t>
      </w:r>
    </w:p>
    <w:p>
      <w:pPr>
        <w:spacing w:line="576" w:lineRule="exact"/>
        <w:ind w:firstLine="640" w:firstLineChars="200"/>
        <w:rPr>
          <w:rFonts w:hint="default" w:ascii="方正仿宋_GBK" w:hAnsi="仿宋_GB2312" w:eastAsia="方正仿宋_GBK" w:cs="仿宋_GB2312"/>
          <w:sz w:val="32"/>
          <w:szCs w:val="32"/>
        </w:rPr>
      </w:pPr>
      <w:r>
        <w:rPr>
          <w:rFonts w:ascii="方正仿宋_GBK" w:hAnsi="仿宋_GB2312" w:eastAsia="方正仿宋_GBK" w:cs="仿宋_GB2312"/>
          <w:sz w:val="32"/>
          <w:szCs w:val="32"/>
        </w:rPr>
        <w:t>本单位内设德育处、教务处、教科处、后勤处。</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pPr>
        <w:spacing w:line="576" w:lineRule="exact"/>
        <w:ind w:firstLine="643" w:firstLineChars="200"/>
        <w:rPr>
          <w:rFonts w:hint="default" w:ascii="方正楷体_GBK" w:hAnsi="华文仿宋" w:eastAsia="方正楷体_GBK"/>
          <w:b/>
          <w:sz w:val="32"/>
          <w:szCs w:val="32"/>
        </w:rPr>
      </w:pPr>
      <w:r>
        <w:rPr>
          <w:rFonts w:ascii="楷体" w:hAnsi="楷体" w:eastAsia="楷体" w:cs="楷体"/>
          <w:b/>
          <w:bCs/>
          <w:sz w:val="32"/>
          <w:szCs w:val="32"/>
          <w:shd w:val="clear" w:color="auto" w:fill="FFFFFF"/>
        </w:rPr>
        <w:t>（一）</w:t>
      </w:r>
      <w:r>
        <w:rPr>
          <w:rFonts w:ascii="方正楷体_GBK" w:hAnsi="华文仿宋" w:eastAsia="方正楷体_GBK"/>
          <w:b/>
          <w:sz w:val="32"/>
          <w:szCs w:val="32"/>
        </w:rPr>
        <w:t>收入支出决算总体情况说明</w:t>
      </w:r>
    </w:p>
    <w:p>
      <w:pPr>
        <w:spacing w:line="576" w:lineRule="exact"/>
        <w:ind w:firstLine="640"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2024年度收入总计848.71万元，支出总计</w:t>
      </w:r>
      <w:r>
        <w:rPr>
          <w:rFonts w:ascii="方正仿宋_GBK" w:hAnsi="方正仿宋_GBK" w:eastAsia="方正仿宋_GBK" w:cs="方正仿宋_GBK"/>
          <w:sz w:val="32"/>
          <w:szCs w:val="32"/>
        </w:rPr>
        <w:t>848.71</w:t>
      </w:r>
      <w:r>
        <w:rPr>
          <w:rFonts w:ascii="方正仿宋_GBK" w:hAnsi="方正仿宋_GBK" w:eastAsia="方正仿宋_GBK" w:cs="方正仿宋_GBK"/>
          <w:sz w:val="32"/>
          <w:szCs w:val="32"/>
          <w:shd w:val="clear" w:color="auto" w:fill="FFFFFF"/>
        </w:rPr>
        <w:t>万元。收、支与2023年度相比，增加112.08万元，增长15.22%，主要原因是本年政府性基金预算财政拨款安排的土地出让金增加所致。</w:t>
      </w:r>
    </w:p>
    <w:p>
      <w:pPr>
        <w:spacing w:line="576" w:lineRule="exact"/>
        <w:ind w:firstLine="640"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2024年度收入合计830.15万元，与2023年度相比，增加127.29万元，增长18.11%，主要原因是本年政府性基金预算财政拨款安排的土地出让金增加所致。其中：财政拨款收入</w:t>
      </w:r>
      <w:r>
        <w:rPr>
          <w:rFonts w:ascii="方正仿宋_GBK" w:hAnsi="方正仿宋_GBK" w:eastAsia="方正仿宋_GBK" w:cs="方正仿宋_GBK"/>
          <w:sz w:val="32"/>
          <w:szCs w:val="32"/>
        </w:rPr>
        <w:t>808.96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97.45</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10.05</w:t>
      </w:r>
      <w:r>
        <w:rPr>
          <w:rFonts w:ascii="方正仿宋_GBK" w:hAnsi="方正仿宋_GBK" w:eastAsia="方正仿宋_GBK" w:cs="方正仿宋_GBK"/>
          <w:sz w:val="32"/>
          <w:szCs w:val="32"/>
          <w:shd w:val="clear" w:color="auto" w:fill="FFFFFF"/>
        </w:rPr>
        <w:t>万元，占1.21%；经营收入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11.15</w:t>
      </w:r>
      <w:r>
        <w:rPr>
          <w:rFonts w:ascii="方正仿宋_GBK" w:hAnsi="方正仿宋_GBK" w:eastAsia="方正仿宋_GBK" w:cs="方正仿宋_GBK"/>
          <w:sz w:val="32"/>
          <w:szCs w:val="32"/>
          <w:shd w:val="clear" w:color="auto" w:fill="FFFFFF"/>
        </w:rPr>
        <w:t>万元，占1.34%。此外，使用非财政拨款结余和专用结余</w:t>
      </w:r>
      <w:r>
        <w:rPr>
          <w:rFonts w:ascii="方正仿宋_GBK" w:hAnsi="方正仿宋_GBK" w:eastAsia="方正仿宋_GBK" w:cs="方正仿宋_GBK"/>
          <w:sz w:val="32"/>
          <w:szCs w:val="32"/>
        </w:rPr>
        <w:t>14.95</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3.61</w:t>
      </w:r>
      <w:r>
        <w:rPr>
          <w:rFonts w:ascii="方正仿宋_GBK" w:hAnsi="方正仿宋_GBK" w:eastAsia="方正仿宋_GBK" w:cs="方正仿宋_GBK"/>
          <w:sz w:val="32"/>
          <w:szCs w:val="32"/>
          <w:shd w:val="clear" w:color="auto" w:fill="FFFFFF"/>
        </w:rPr>
        <w:t>万元。</w:t>
      </w:r>
    </w:p>
    <w:p>
      <w:pPr>
        <w:spacing w:line="576" w:lineRule="exact"/>
        <w:ind w:firstLine="640"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845.10</w:t>
      </w:r>
      <w:r>
        <w:rPr>
          <w:rFonts w:ascii="方正仿宋_GBK" w:hAnsi="方正仿宋_GBK" w:eastAsia="方正仿宋_GBK" w:cs="方正仿宋_GBK"/>
          <w:sz w:val="32"/>
          <w:szCs w:val="32"/>
          <w:shd w:val="clear" w:color="auto" w:fill="FFFFFF"/>
        </w:rPr>
        <w:t>万元，与2023年度相比，增加123.81万元，增长17.17%，主要原因是本年政府性基金预算财政拨款安排的土地出让金增加所致。其中：基本支出</w:t>
      </w:r>
      <w:r>
        <w:rPr>
          <w:rFonts w:ascii="方正仿宋_GBK" w:hAnsi="方正仿宋_GBK" w:eastAsia="方正仿宋_GBK" w:cs="方正仿宋_GBK"/>
          <w:sz w:val="32"/>
          <w:szCs w:val="32"/>
        </w:rPr>
        <w:t>608.23</w:t>
      </w:r>
      <w:r>
        <w:rPr>
          <w:rFonts w:ascii="方正仿宋_GBK" w:hAnsi="方正仿宋_GBK" w:eastAsia="方正仿宋_GBK" w:cs="方正仿宋_GBK"/>
          <w:sz w:val="32"/>
          <w:szCs w:val="32"/>
          <w:shd w:val="clear" w:color="auto" w:fill="FFFFFF"/>
        </w:rPr>
        <w:t>万元，占71.97%；项目支出</w:t>
      </w:r>
      <w:r>
        <w:rPr>
          <w:rFonts w:ascii="方正仿宋_GBK" w:hAnsi="方正仿宋_GBK" w:eastAsia="方正仿宋_GBK" w:cs="方正仿宋_GBK"/>
          <w:sz w:val="32"/>
          <w:szCs w:val="32"/>
        </w:rPr>
        <w:t>236.86</w:t>
      </w:r>
      <w:r>
        <w:rPr>
          <w:rFonts w:ascii="方正仿宋_GBK" w:hAnsi="方正仿宋_GBK" w:eastAsia="方正仿宋_GBK" w:cs="方正仿宋_GBK"/>
          <w:sz w:val="32"/>
          <w:szCs w:val="32"/>
          <w:shd w:val="clear" w:color="auto" w:fill="FFFFFF"/>
        </w:rPr>
        <w:t>万元，占28.03%；经营支出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76"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3.61</w:t>
      </w:r>
      <w:r>
        <w:rPr>
          <w:rFonts w:ascii="方正仿宋_GBK" w:hAnsi="方正仿宋_GBK" w:eastAsia="方正仿宋_GBK" w:cs="方正仿宋_GBK"/>
          <w:sz w:val="32"/>
          <w:szCs w:val="32"/>
          <w:shd w:val="clear" w:color="auto" w:fill="FFFFFF"/>
        </w:rPr>
        <w:t>万元，与2023年度相比，无增减，主要原因是本年未使用上年结转结余资金。</w:t>
      </w:r>
    </w:p>
    <w:p>
      <w:pPr>
        <w:pStyle w:val="11"/>
        <w:autoSpaceDE w:val="0"/>
        <w:spacing w:line="57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11"/>
        <w:autoSpaceDE w:val="0"/>
        <w:spacing w:line="576"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度财政拨款收、支总计812.57万元。与202</w:t>
      </w:r>
      <w:r>
        <w:rPr>
          <w:rFonts w:hint="eastAsia"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年相比，财政拨款收、支总计各增加111.74万元，增长15.94%。主要原因是本年政府性基金预算财政拨款安排的土地出让金增加所致。</w:t>
      </w:r>
    </w:p>
    <w:p>
      <w:pPr>
        <w:pStyle w:val="6"/>
        <w:snapToGrid w:val="0"/>
        <w:spacing w:before="0" w:beforeAutospacing="0" w:after="0" w:afterAutospacing="0" w:line="57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576"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622.00</w:t>
      </w:r>
      <w:r>
        <w:rPr>
          <w:rFonts w:ascii="方正仿宋_GBK" w:hAnsi="方正仿宋_GBK" w:eastAsia="方正仿宋_GBK" w:cs="方正仿宋_GBK"/>
          <w:sz w:val="32"/>
          <w:szCs w:val="32"/>
          <w:shd w:val="clear" w:color="auto" w:fill="FFFFFF"/>
        </w:rPr>
        <w:t>万元，与2023年度相比，减少53.76万元，下降7.96%。主要原因是教师减少，学生减少，收入相应减少。较年初预算数增加109.74万元，增长21.42%。主要原因是</w:t>
      </w:r>
      <w:r>
        <w:rPr>
          <w:rFonts w:ascii="方正仿宋_GBK" w:eastAsia="方正仿宋_GBK"/>
          <w:sz w:val="32"/>
          <w:szCs w:val="32"/>
        </w:rPr>
        <w:t>调整教职工正常晋升、晋岗晋级、绩效清算补发等人员经费年初预算。</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3.61</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76" w:lineRule="exact"/>
        <w:ind w:firstLine="640" w:firstLineChars="200"/>
        <w:jc w:val="both"/>
        <w:rPr>
          <w:rFonts w:hint="default" w:ascii="方正仿宋_GBK" w:eastAsia="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622.00</w:t>
      </w:r>
      <w:r>
        <w:rPr>
          <w:rFonts w:ascii="方正仿宋_GBK" w:hAnsi="方正仿宋_GBK" w:eastAsia="方正仿宋_GBK" w:cs="方正仿宋_GBK"/>
          <w:sz w:val="32"/>
          <w:szCs w:val="32"/>
          <w:shd w:val="clear" w:color="auto" w:fill="FFFFFF"/>
        </w:rPr>
        <w:t>万元，与2023年度相比，减少75.22万元，下降10.79%。主要原因是教师减少，学生减少，支出相应减少。较年初预算数增加109.74万元，增长21.42%。主要原因是</w:t>
      </w:r>
      <w:r>
        <w:rPr>
          <w:rFonts w:ascii="方正仿宋_GBK" w:eastAsia="方正仿宋_GBK"/>
          <w:sz w:val="32"/>
          <w:szCs w:val="32"/>
        </w:rPr>
        <w:t>调整教职工正常晋升、晋岗晋级、绩效清算补发等人员经费年初预算。</w:t>
      </w:r>
    </w:p>
    <w:p>
      <w:pPr>
        <w:pStyle w:val="6"/>
        <w:snapToGrid w:val="0"/>
        <w:spacing w:before="0" w:beforeAutospacing="0" w:after="0" w:afterAutospacing="0" w:line="576"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3.61</w:t>
      </w:r>
      <w:r>
        <w:rPr>
          <w:rFonts w:ascii="方正仿宋_GBK" w:hAnsi="方正仿宋_GBK" w:eastAsia="方正仿宋_GBK" w:cs="方正仿宋_GBK"/>
          <w:sz w:val="32"/>
          <w:szCs w:val="32"/>
          <w:shd w:val="clear" w:color="auto" w:fill="FFFFFF"/>
        </w:rPr>
        <w:t>万元，与2023年度相比，无增减，主要原因是本年未使用上年结转结余资金。</w:t>
      </w:r>
    </w:p>
    <w:p>
      <w:pPr>
        <w:pStyle w:val="6"/>
        <w:snapToGrid w:val="0"/>
        <w:spacing w:before="0" w:beforeAutospacing="0" w:after="0" w:afterAutospacing="0" w:line="576" w:lineRule="exact"/>
        <w:ind w:firstLine="640"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spacing w:line="576"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411.96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66.23</w:t>
      </w:r>
      <w:r>
        <w:rPr>
          <w:rFonts w:ascii="方正仿宋_GBK" w:hAnsi="方正仿宋_GBK" w:eastAsia="方正仿宋_GBK" w:cs="方正仿宋_GBK"/>
          <w:sz w:val="32"/>
          <w:szCs w:val="32"/>
          <w:shd w:val="clear" w:color="auto" w:fill="FFFFFF"/>
        </w:rPr>
        <w:t>%，较年初预算数增加73.20万元，增长21.61%，主要原因是</w:t>
      </w:r>
      <w:r>
        <w:rPr>
          <w:rFonts w:ascii="方正仿宋_GBK" w:eastAsia="方正仿宋_GBK"/>
          <w:sz w:val="32"/>
          <w:szCs w:val="32"/>
        </w:rPr>
        <w:t>调整教职工正常晋升、晋岗晋级、绩效清算补发等人员经费年初预算。</w:t>
      </w:r>
    </w:p>
    <w:p>
      <w:pPr>
        <w:pStyle w:val="6"/>
        <w:snapToGrid w:val="0"/>
        <w:spacing w:before="0" w:beforeAutospacing="0" w:after="0" w:afterAutospacing="0" w:line="57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164.25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26.41</w:t>
      </w:r>
      <w:r>
        <w:rPr>
          <w:rFonts w:ascii="方正仿宋_GBK" w:hAnsi="方正仿宋_GBK" w:eastAsia="方正仿宋_GBK" w:cs="方正仿宋_GBK"/>
          <w:sz w:val="32"/>
          <w:szCs w:val="32"/>
          <w:shd w:val="clear" w:color="auto" w:fill="FFFFFF"/>
        </w:rPr>
        <w:t>%，较年初预算数增加33.77万元，增长25.88%，</w:t>
      </w:r>
      <w:r>
        <w:rPr>
          <w:rFonts w:ascii="方正仿宋_GBK" w:eastAsia="方正仿宋_GBK"/>
          <w:sz w:val="32"/>
          <w:szCs w:val="32"/>
        </w:rPr>
        <w:t>主要原因是本年预算执行中，调标补缴了2024年在职人员的养老、年金，近三年即将退休人员的2022-2023年养老、年金。</w:t>
      </w:r>
    </w:p>
    <w:p>
      <w:pPr>
        <w:spacing w:line="576"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20.82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3.35</w:t>
      </w:r>
      <w:r>
        <w:rPr>
          <w:rFonts w:ascii="方正仿宋_GBK" w:hAnsi="方正仿宋_GBK" w:eastAsia="方正仿宋_GBK" w:cs="方正仿宋_GBK"/>
          <w:sz w:val="32"/>
          <w:szCs w:val="32"/>
          <w:shd w:val="clear" w:color="auto" w:fill="FFFFFF"/>
        </w:rPr>
        <w:t>%，较年初预算数增加1.27万元，增长6.50%，</w:t>
      </w:r>
      <w:r>
        <w:rPr>
          <w:rFonts w:ascii="方正仿宋_GBK" w:eastAsia="方正仿宋_GBK"/>
          <w:sz w:val="32"/>
          <w:szCs w:val="32"/>
        </w:rPr>
        <w:t>主要原因是</w:t>
      </w:r>
      <w:bookmarkStart w:id="0" w:name="_GoBack"/>
      <w:bookmarkEnd w:id="0"/>
      <w:r>
        <w:rPr>
          <w:rFonts w:ascii="方正仿宋_GBK" w:eastAsia="方正仿宋_GBK"/>
          <w:sz w:val="32"/>
          <w:szCs w:val="32"/>
        </w:rPr>
        <w:t>人员变动，调整了年初预算。</w:t>
      </w:r>
    </w:p>
    <w:p>
      <w:pPr>
        <w:spacing w:line="576"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住房保障支出24.98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4.02</w:t>
      </w:r>
      <w:r>
        <w:rPr>
          <w:rFonts w:ascii="方正仿宋_GBK" w:hAnsi="方正仿宋_GBK" w:eastAsia="方正仿宋_GBK" w:cs="方正仿宋_GBK"/>
          <w:sz w:val="32"/>
          <w:szCs w:val="32"/>
          <w:shd w:val="clear" w:color="auto" w:fill="FFFFFF"/>
        </w:rPr>
        <w:t>%，较年初预算数增加1.52万元，增长6.48%，</w:t>
      </w:r>
      <w:r>
        <w:rPr>
          <w:rFonts w:ascii="方正仿宋_GBK" w:eastAsia="方正仿宋_GBK"/>
          <w:sz w:val="32"/>
          <w:szCs w:val="32"/>
        </w:rPr>
        <w:t>主要原因是人员变动，调整了年初预算。</w:t>
      </w:r>
    </w:p>
    <w:p>
      <w:pPr>
        <w:spacing w:line="576" w:lineRule="exact"/>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57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572.16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561.74</w:t>
      </w:r>
      <w:r>
        <w:rPr>
          <w:rFonts w:ascii="方正仿宋_GBK" w:hAnsi="方正仿宋_GBK" w:eastAsia="方正仿宋_GBK" w:cs="方正仿宋_GBK"/>
          <w:sz w:val="32"/>
          <w:szCs w:val="32"/>
          <w:shd w:val="clear" w:color="auto" w:fill="FFFFFF"/>
        </w:rPr>
        <w:t>万元，与2023年度相比，减少49.65万元，下降8.12%，主要原因是教师减少，学生减少，支出相应减少。</w:t>
      </w:r>
      <w:r>
        <w:rPr>
          <w:rFonts w:ascii="方正仿宋_GBK" w:eastAsia="方正仿宋_GBK"/>
          <w:sz w:val="32"/>
          <w:szCs w:val="32"/>
        </w:rPr>
        <w:t>人员经费用途主要包括教师统发工资、绩效工资、社会保障和就业支出、医疗卫生支出和住房保障支出。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10.42</w:t>
      </w:r>
      <w:r>
        <w:rPr>
          <w:rFonts w:ascii="方正仿宋_GBK" w:hAnsi="方正仿宋_GBK" w:eastAsia="方正仿宋_GBK" w:cs="方正仿宋_GBK"/>
          <w:sz w:val="32"/>
          <w:szCs w:val="32"/>
          <w:shd w:val="clear" w:color="auto" w:fill="FFFFFF"/>
        </w:rPr>
        <w:t>万元，与2023年度相比，减少6.12万元，下降37.00%，主要原因是教师减少，学生减少，支出相应减少。</w:t>
      </w:r>
      <w:r>
        <w:rPr>
          <w:rFonts w:ascii="方正仿宋_GBK" w:eastAsia="方正仿宋_GBK"/>
          <w:sz w:val="32"/>
          <w:szCs w:val="32"/>
        </w:rPr>
        <w:t>公用经费用途主要包括学校正常运行的办公支出、水电费等支出。</w:t>
      </w:r>
    </w:p>
    <w:p>
      <w:pPr>
        <w:pStyle w:val="11"/>
        <w:autoSpaceDE w:val="0"/>
        <w:spacing w:line="57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spacing w:line="57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186.96</w:t>
      </w:r>
      <w:r>
        <w:rPr>
          <w:rFonts w:ascii="方正仿宋_GBK" w:hAnsi="方正仿宋_GBK" w:eastAsia="方正仿宋_GBK" w:cs="方正仿宋_GBK"/>
          <w:sz w:val="32"/>
          <w:szCs w:val="32"/>
          <w:shd w:val="clear" w:color="auto" w:fill="FFFFFF"/>
        </w:rPr>
        <w:t>万元，与2023年度相比，增加186.96万元，增长100.00%，主要原因是本年政府性基金预算财政拨款安排的土地出让金增加所致。本年支出</w:t>
      </w:r>
      <w:r>
        <w:rPr>
          <w:rFonts w:ascii="方正仿宋_GBK" w:hAnsi="方正仿宋_GBK" w:eastAsia="方正仿宋_GBK" w:cs="方正仿宋_GBK"/>
          <w:sz w:val="32"/>
          <w:szCs w:val="32"/>
        </w:rPr>
        <w:t>186.96</w:t>
      </w:r>
      <w:r>
        <w:rPr>
          <w:rFonts w:ascii="方正仿宋_GBK" w:hAnsi="方正仿宋_GBK" w:eastAsia="方正仿宋_GBK" w:cs="方正仿宋_GBK"/>
          <w:sz w:val="32"/>
          <w:szCs w:val="32"/>
          <w:shd w:val="clear" w:color="auto" w:fill="FFFFFF"/>
        </w:rPr>
        <w:t>万元，与2023年度相比，增加186.96万元，增长100.00%，主要原因是本年政府性基金预算财政拨款安排的土地出让金增加所致。</w:t>
      </w:r>
    </w:p>
    <w:p>
      <w:pPr>
        <w:pStyle w:val="6"/>
        <w:snapToGrid w:val="0"/>
        <w:spacing w:before="0" w:beforeAutospacing="0" w:after="0" w:afterAutospacing="0" w:line="57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576" w:lineRule="exact"/>
        <w:ind w:firstLine="640" w:firstLineChars="200"/>
        <w:jc w:val="both"/>
        <w:rPr>
          <w:rFonts w:hint="default" w:ascii="方正仿宋_GBK" w:hAnsi="方正仿宋_GBK" w:eastAsia="方正仿宋_GBK" w:cs="方正仿宋_GBK"/>
          <w:sz w:val="32"/>
          <w:szCs w:val="32"/>
          <w:shd w:val="clear" w:color="auto" w:fill="FFFFFF"/>
        </w:rPr>
      </w:pPr>
      <w:r>
        <w:rPr>
          <w:rFonts w:cs="宋体"/>
          <w:sz w:val="32"/>
          <w:szCs w:val="32"/>
          <w:shd w:val="clear" w:color="auto" w:fill="FFFFFF"/>
        </w:rPr>
        <w:t> </w:t>
      </w: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eastAsia="方正仿宋_GBK"/>
          <w:sz w:val="32"/>
          <w:szCs w:val="32"/>
          <w:shd w:val="clear" w:color="auto" w:fill="FFFFFF"/>
        </w:rPr>
        <w:t>本单位2024年度无国有资本经营预算财政拨款支出。</w:t>
      </w:r>
    </w:p>
    <w:p>
      <w:pPr>
        <w:spacing w:line="576" w:lineRule="exact"/>
        <w:ind w:firstLine="643" w:firstLineChars="200"/>
        <w:rPr>
          <w:rFonts w:hint="default" w:ascii="方正黑体_GBK" w:eastAsia="方正黑体_GBK"/>
          <w:sz w:val="32"/>
          <w:szCs w:val="32"/>
        </w:rPr>
      </w:pPr>
      <w:r>
        <w:rPr>
          <w:rStyle w:val="10"/>
          <w:rFonts w:ascii="黑体" w:hAnsi="黑体" w:eastAsia="黑体" w:cs="黑体"/>
          <w:sz w:val="32"/>
          <w:szCs w:val="32"/>
          <w:shd w:val="clear" w:color="auto" w:fill="FFFFFF"/>
        </w:rPr>
        <w:t>三、财政拨款“三公”经费情况说明</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（一）“三公”经费支出总体情况说明</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2024年度“三公”经费支出共计0.00万元，较年初预算数无增减，主要原因是年初预算数未安排“三公”经费支出。较上年支出数无增减，主要原因是上年和本年均未发生“三公”经费开支。</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（二）“三公”经费分项支出情况</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本单位因公出国（境）费用0.00万元。费用支出较年初预算数无增减，主要原因是年初预算数未安排因公出国（境）费用，也未发生因公出国（境）费用。较上年支出数无增减，主要原因是上年和本年均未发生因公出国（境）费用。</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公务车购置费0.00万元。费用支出较年初预算数无增减，主要原因是年初预算数未安排公务车购置费用。较上年支出数无增减，主要原因是上年和本年均未发生公务车购置费用。</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公务</w:t>
      </w:r>
      <w:r>
        <w:rPr>
          <w:rFonts w:hint="eastAsia" w:ascii="方正仿宋_GBK" w:eastAsia="方正仿宋_GBK"/>
          <w:sz w:val="32"/>
          <w:szCs w:val="32"/>
          <w:lang w:val="en-US" w:eastAsia="zh-CN"/>
        </w:rPr>
        <w:t>用</w:t>
      </w:r>
      <w:r>
        <w:rPr>
          <w:rFonts w:ascii="方正仿宋_GBK" w:eastAsia="方正仿宋_GBK"/>
          <w:sz w:val="32"/>
          <w:szCs w:val="32"/>
        </w:rPr>
        <w:t>车运行维护费0.00万元。费用支出较年初预算数无增减，主要原因是年初预算数未安排公务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车运行维护费用。较上年支出数无增减，主要原因是上年和本年均未发生公务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公务接待费0.00万元。费用支出较年初预算数无增减，主要原因是年初预算数未安排公务接待费用。较上年支出数无增减，主要原因是上年和本年均未发生公务接待费用。</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（三）“三公”经费实物量情况</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spacing w:line="576" w:lineRule="exact"/>
        <w:ind w:firstLine="640" w:firstLineChars="200"/>
        <w:rPr>
          <w:rFonts w:hint="default" w:ascii="方正黑体_GBK" w:eastAsia="方正黑体_GBK"/>
          <w:sz w:val="32"/>
          <w:szCs w:val="32"/>
        </w:rPr>
      </w:pPr>
      <w:r>
        <w:rPr>
          <w:rFonts w:ascii="方正黑体_GBK" w:eastAsia="方正黑体_GBK"/>
          <w:sz w:val="32"/>
          <w:szCs w:val="32"/>
        </w:rPr>
        <w:t>四、其他需要说明的事项</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（一）财政拨款会议费和培训费情况说明</w:t>
      </w:r>
    </w:p>
    <w:p>
      <w:pPr>
        <w:pStyle w:val="6"/>
        <w:snapToGrid w:val="0"/>
        <w:spacing w:before="0" w:beforeAutospacing="0" w:after="0" w:afterAutospacing="0" w:line="576" w:lineRule="exact"/>
        <w:ind w:firstLine="640" w:firstLineChars="200"/>
        <w:jc w:val="both"/>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2.64</w:t>
      </w:r>
      <w:r>
        <w:rPr>
          <w:rFonts w:ascii="方正仿宋_GBK" w:hAnsi="方正仿宋_GBK" w:eastAsia="方正仿宋_GBK" w:cs="方正仿宋_GBK"/>
          <w:sz w:val="32"/>
          <w:szCs w:val="32"/>
          <w:shd w:val="clear" w:color="auto" w:fill="FFFFFF"/>
        </w:rPr>
        <w:t>万元，与2023年度相比，增加0.24万元，增长10.00%，</w:t>
      </w:r>
      <w:r>
        <w:rPr>
          <w:rFonts w:ascii="方正仿宋_GBK" w:eastAsia="方正仿宋_GBK"/>
          <w:sz w:val="32"/>
          <w:szCs w:val="32"/>
        </w:rPr>
        <w:t>主要原因是本年教职工培训次数有所增加。</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（二）机关运行经费情况说明</w:t>
      </w:r>
    </w:p>
    <w:p>
      <w:pPr>
        <w:spacing w:line="576"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（三）国有资产占用情况说明</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（四）政府采购支出情况说明</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本单位政府采购支出总额0.00万元，其中：政府采购货物支出0.00万元、政府采购工程支出0.00万元、政府采购服务支出0.00万元。授予中小企业合同金额0.00万元，占政府采购支出总额的0.00%，其中：授予小微企业合同金额0.00万元，占政府采购支出总额的0.00%。2024年度我单位未发生政府采购事项，无相关经费支出。</w:t>
      </w:r>
    </w:p>
    <w:p>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（一）单位自评情况</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根据预算绩效管理要求，我单位对 13 个二级项目开展 了绩效自评，涉及财政拨款项目支出资金236.8万元。</w:t>
      </w:r>
    </w:p>
    <w:p>
      <w:pPr>
        <w:spacing w:line="576" w:lineRule="exact"/>
        <w:rPr>
          <w:rFonts w:hint="default" w:ascii="方正仿宋_GBK" w:eastAsia="方正仿宋_GBK"/>
          <w:sz w:val="32"/>
          <w:szCs w:val="32"/>
        </w:rPr>
      </w:pPr>
    </w:p>
    <w:p>
      <w:pPr>
        <w:spacing w:line="576" w:lineRule="exact"/>
        <w:rPr>
          <w:rFonts w:hint="default" w:ascii="方正仿宋_GBK" w:eastAsia="方正仿宋_GBK"/>
          <w:sz w:val="32"/>
          <w:szCs w:val="32"/>
        </w:rPr>
      </w:pPr>
    </w:p>
    <w:p>
      <w:pPr>
        <w:spacing w:line="576" w:lineRule="exact"/>
        <w:ind w:firstLine="640" w:firstLineChars="200"/>
        <w:rPr>
          <w:rFonts w:hint="default" w:ascii="方正仿宋_GBK" w:eastAsia="方正仿宋_GBK"/>
          <w:sz w:val="32"/>
          <w:szCs w:val="32"/>
        </w:rPr>
        <w:sectPr>
          <w:footerReference r:id="rId3" w:type="default"/>
          <w:pgSz w:w="11915" w:h="16840"/>
          <w:pgMar w:top="1440" w:right="1800" w:bottom="1440" w:left="1800" w:header="851" w:footer="992" w:gutter="0"/>
          <w:pgNumType w:fmt="numberInDash"/>
          <w:cols w:space="720" w:num="1"/>
          <w:docGrid w:type="lines" w:linePitch="312" w:charSpace="0"/>
        </w:sectPr>
      </w:pPr>
    </w:p>
    <w:p>
      <w:pPr>
        <w:spacing w:line="576" w:lineRule="exact"/>
        <w:ind w:firstLine="640" w:firstLineChars="200"/>
        <w:rPr>
          <w:rFonts w:hint="default" w:ascii="方正仿宋_GBK" w:eastAsia="方正仿宋_GBK"/>
          <w:sz w:val="32"/>
          <w:szCs w:val="32"/>
        </w:rPr>
      </w:pPr>
    </w:p>
    <w:tbl>
      <w:tblPr>
        <w:tblStyle w:val="7"/>
        <w:tblW w:w="8300" w:type="dxa"/>
        <w:tblInd w:w="0" w:type="dxa"/>
        <w:tblLayout w:type="fixed"/>
        <w:tblCellMar>
          <w:top w:w="0" w:type="dxa"/>
          <w:left w:w="108" w:type="dxa"/>
          <w:bottom w:w="0" w:type="dxa"/>
          <w:right w:w="108" w:type="dxa"/>
        </w:tblCellMar>
      </w:tblPr>
      <w:tblGrid>
        <w:gridCol w:w="1142"/>
        <w:gridCol w:w="146"/>
        <w:gridCol w:w="268"/>
        <w:gridCol w:w="386"/>
        <w:gridCol w:w="194"/>
        <w:gridCol w:w="399"/>
        <w:gridCol w:w="47"/>
        <w:gridCol w:w="50"/>
        <w:gridCol w:w="572"/>
        <w:gridCol w:w="174"/>
        <w:gridCol w:w="150"/>
        <w:gridCol w:w="385"/>
        <w:gridCol w:w="771"/>
        <w:gridCol w:w="274"/>
        <w:gridCol w:w="612"/>
        <w:gridCol w:w="321"/>
        <w:gridCol w:w="273"/>
        <w:gridCol w:w="460"/>
        <w:gridCol w:w="133"/>
        <w:gridCol w:w="602"/>
        <w:gridCol w:w="226"/>
        <w:gridCol w:w="715"/>
      </w:tblGrid>
      <w:tr>
        <w:tblPrEx>
          <w:tblLayout w:type="fixed"/>
          <w:tblCellMar>
            <w:top w:w="0" w:type="dxa"/>
            <w:left w:w="108" w:type="dxa"/>
            <w:bottom w:w="0" w:type="dxa"/>
            <w:right w:w="108" w:type="dxa"/>
          </w:tblCellMar>
        </w:tblPrEx>
        <w:trPr>
          <w:trHeight w:val="321" w:hRule="atLeast"/>
        </w:trPr>
        <w:tc>
          <w:tcPr>
            <w:tcW w:w="8300" w:type="dxa"/>
            <w:gridSpan w:val="2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2024年度二级项目绩效自评表</w:t>
            </w:r>
          </w:p>
        </w:tc>
      </w:tr>
      <w:tr>
        <w:tblPrEx>
          <w:tblLayout w:type="fixed"/>
          <w:tblCellMar>
            <w:top w:w="0" w:type="dxa"/>
            <w:left w:w="108" w:type="dxa"/>
            <w:bottom w:w="0" w:type="dxa"/>
            <w:right w:w="108" w:type="dxa"/>
          </w:tblCellMar>
        </w:tblPrEx>
        <w:trPr>
          <w:trHeight w:val="321" w:hRule="atLeast"/>
        </w:trPr>
        <w:tc>
          <w:tcPr>
            <w:tcW w:w="8300" w:type="dxa"/>
            <w:gridSpan w:val="22"/>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00" w:firstLineChars="100"/>
              <w:jc w:val="right"/>
              <w:rPr>
                <w:rFonts w:hint="default" w:cs="宋体"/>
                <w:b/>
                <w:bCs/>
                <w:color w:val="DA3232"/>
                <w:sz w:val="20"/>
                <w:szCs w:val="20"/>
              </w:rPr>
            </w:pPr>
            <w:r>
              <w:rPr>
                <w:rFonts w:cs="宋体"/>
                <w:b/>
                <w:bCs/>
                <w:color w:val="DA3232"/>
                <w:sz w:val="20"/>
                <w:szCs w:val="20"/>
              </w:rPr>
              <w:t>状态：绩效审核已审</w:t>
            </w:r>
          </w:p>
        </w:tc>
      </w:tr>
      <w:tr>
        <w:tblPrEx>
          <w:tblLayout w:type="fixed"/>
          <w:tblCellMar>
            <w:top w:w="0" w:type="dxa"/>
            <w:left w:w="108" w:type="dxa"/>
            <w:bottom w:w="0" w:type="dxa"/>
            <w:right w:w="108" w:type="dxa"/>
          </w:tblCellMar>
        </w:tblPrEx>
        <w:trPr>
          <w:trHeight w:val="633"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项目名称：</w:t>
            </w:r>
          </w:p>
        </w:tc>
        <w:tc>
          <w:tcPr>
            <w:tcW w:w="1440" w:type="dxa"/>
            <w:gridSpan w:val="6"/>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遗属补助</w:t>
            </w:r>
          </w:p>
        </w:tc>
        <w:tc>
          <w:tcPr>
            <w:tcW w:w="946" w:type="dxa"/>
            <w:gridSpan w:val="4"/>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项目编码：</w:t>
            </w:r>
          </w:p>
        </w:tc>
        <w:tc>
          <w:tcPr>
            <w:tcW w:w="1430" w:type="dxa"/>
            <w:gridSpan w:val="3"/>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50023122T000000098554</w:t>
            </w:r>
          </w:p>
        </w:tc>
        <w:tc>
          <w:tcPr>
            <w:tcW w:w="93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自评总分：</w:t>
            </w:r>
          </w:p>
        </w:tc>
        <w:tc>
          <w:tcPr>
            <w:tcW w:w="733"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82.36</w:t>
            </w:r>
          </w:p>
        </w:tc>
        <w:tc>
          <w:tcPr>
            <w:tcW w:w="7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　</w:t>
            </w:r>
          </w:p>
        </w:tc>
        <w:tc>
          <w:tcPr>
            <w:tcW w:w="941" w:type="dxa"/>
            <w:gridSpan w:val="2"/>
            <w:tcBorders>
              <w:top w:val="nil"/>
              <w:left w:val="nil"/>
              <w:bottom w:val="single" w:color="auto" w:sz="4" w:space="0"/>
              <w:right w:val="single" w:color="auto" w:sz="4" w:space="0"/>
            </w:tcBorders>
            <w:shd w:val="clear" w:color="auto" w:fill="auto"/>
            <w:vAlign w:val="center"/>
          </w:tcPr>
          <w:p>
            <w:pPr>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321"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项目主管部门：</w:t>
            </w:r>
          </w:p>
        </w:tc>
        <w:tc>
          <w:tcPr>
            <w:tcW w:w="1440" w:type="dxa"/>
            <w:gridSpan w:val="6"/>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134-垫江县教育委员会</w:t>
            </w:r>
          </w:p>
        </w:tc>
        <w:tc>
          <w:tcPr>
            <w:tcW w:w="946" w:type="dxa"/>
            <w:gridSpan w:val="4"/>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财政归口处室：</w:t>
            </w:r>
          </w:p>
        </w:tc>
        <w:tc>
          <w:tcPr>
            <w:tcW w:w="1430" w:type="dxa"/>
            <w:gridSpan w:val="3"/>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004-行财科</w:t>
            </w:r>
          </w:p>
        </w:tc>
        <w:tc>
          <w:tcPr>
            <w:tcW w:w="93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部门联系人：</w:t>
            </w:r>
          </w:p>
        </w:tc>
        <w:tc>
          <w:tcPr>
            <w:tcW w:w="733"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胡建</w:t>
            </w:r>
          </w:p>
        </w:tc>
        <w:tc>
          <w:tcPr>
            <w:tcW w:w="7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联系电话：</w:t>
            </w:r>
          </w:p>
        </w:tc>
        <w:tc>
          <w:tcPr>
            <w:tcW w:w="941" w:type="dxa"/>
            <w:gridSpan w:val="2"/>
            <w:tcBorders>
              <w:top w:val="nil"/>
              <w:left w:val="nil"/>
              <w:bottom w:val="single" w:color="auto" w:sz="4" w:space="0"/>
              <w:right w:val="single" w:color="auto" w:sz="4" w:space="0"/>
            </w:tcBorders>
            <w:shd w:val="clear" w:color="auto" w:fill="auto"/>
            <w:vAlign w:val="center"/>
          </w:tcPr>
          <w:p>
            <w:pPr>
              <w:rPr>
                <w:rFonts w:hint="default" w:cs="宋体"/>
                <w:color w:val="000000"/>
                <w:sz w:val="20"/>
                <w:szCs w:val="20"/>
              </w:rPr>
            </w:pPr>
            <w:r>
              <w:rPr>
                <w:rFonts w:cs="宋体"/>
                <w:color w:val="000000"/>
                <w:sz w:val="20"/>
                <w:szCs w:val="20"/>
              </w:rPr>
              <w:t>15213646191</w:t>
            </w:r>
          </w:p>
        </w:tc>
      </w:tr>
      <w:tr>
        <w:tblPrEx>
          <w:tblLayout w:type="fixed"/>
          <w:tblCellMar>
            <w:top w:w="0" w:type="dxa"/>
            <w:left w:w="108" w:type="dxa"/>
            <w:bottom w:w="0" w:type="dxa"/>
            <w:right w:w="108" w:type="dxa"/>
          </w:tblCellMar>
        </w:tblPrEx>
        <w:trPr>
          <w:trHeight w:val="321" w:hRule="atLeast"/>
        </w:trPr>
        <w:tc>
          <w:tcPr>
            <w:tcW w:w="8300" w:type="dxa"/>
            <w:gridSpan w:val="2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7F7F7F"/>
                <w:sz w:val="20"/>
                <w:szCs w:val="20"/>
              </w:rPr>
            </w:pPr>
            <w:r>
              <w:rPr>
                <w:rFonts w:cs="宋体"/>
                <w:b/>
                <w:bCs/>
                <w:color w:val="7F7F7F"/>
                <w:sz w:val="20"/>
                <w:szCs w:val="20"/>
              </w:rPr>
              <w:t>资金情况</w:t>
            </w:r>
          </w:p>
        </w:tc>
      </w:tr>
      <w:tr>
        <w:tblPrEx>
          <w:tblLayout w:type="fixed"/>
          <w:tblCellMar>
            <w:top w:w="0" w:type="dxa"/>
            <w:left w:w="108" w:type="dxa"/>
            <w:bottom w:w="0" w:type="dxa"/>
            <w:right w:w="108" w:type="dxa"/>
          </w:tblCellMar>
        </w:tblPrEx>
        <w:trPr>
          <w:trHeight w:val="633" w:hRule="atLeast"/>
        </w:trPr>
        <w:tc>
          <w:tcPr>
            <w:tcW w:w="194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0"/>
                <w:szCs w:val="20"/>
              </w:rPr>
            </w:pPr>
            <w:r>
              <w:rPr>
                <w:rFonts w:cs="宋体"/>
                <w:color w:val="000000"/>
                <w:sz w:val="20"/>
                <w:szCs w:val="20"/>
              </w:rPr>
              <w:t>　</w:t>
            </w:r>
          </w:p>
        </w:tc>
        <w:tc>
          <w:tcPr>
            <w:tcW w:w="1262"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年初预算数</w:t>
            </w:r>
          </w:p>
        </w:tc>
        <w:tc>
          <w:tcPr>
            <w:tcW w:w="1480"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全年（调整）预算数</w:t>
            </w:r>
          </w:p>
        </w:tc>
        <w:tc>
          <w:tcPr>
            <w:tcW w:w="1480"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全年执行数</w:t>
            </w:r>
          </w:p>
        </w:tc>
        <w:tc>
          <w:tcPr>
            <w:tcW w:w="593"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执行率</w:t>
            </w:r>
          </w:p>
        </w:tc>
        <w:tc>
          <w:tcPr>
            <w:tcW w:w="828" w:type="dxa"/>
            <w:gridSpan w:val="2"/>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0"/>
                <w:szCs w:val="20"/>
              </w:rPr>
            </w:pPr>
            <w:r>
              <w:rPr>
                <w:rFonts w:cs="宋体"/>
                <w:b/>
                <w:bCs/>
                <w:color w:val="000000"/>
                <w:sz w:val="20"/>
                <w:szCs w:val="20"/>
              </w:rPr>
              <w:t>执行率权重</w:t>
            </w:r>
          </w:p>
        </w:tc>
        <w:tc>
          <w:tcPr>
            <w:tcW w:w="715"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执行率得分</w:t>
            </w:r>
          </w:p>
        </w:tc>
      </w:tr>
      <w:tr>
        <w:tblPrEx>
          <w:tblLayout w:type="fixed"/>
          <w:tblCellMar>
            <w:top w:w="0" w:type="dxa"/>
            <w:left w:w="108" w:type="dxa"/>
            <w:bottom w:w="0" w:type="dxa"/>
            <w:right w:w="108" w:type="dxa"/>
          </w:tblCellMar>
        </w:tblPrEx>
        <w:trPr>
          <w:trHeight w:val="321" w:hRule="atLeast"/>
        </w:trPr>
        <w:tc>
          <w:tcPr>
            <w:tcW w:w="1288" w:type="dxa"/>
            <w:gridSpan w:val="2"/>
            <w:tcBorders>
              <w:top w:val="nil"/>
              <w:left w:val="single" w:color="auto" w:sz="4" w:space="0"/>
              <w:bottom w:val="single" w:color="auto" w:sz="4" w:space="0"/>
              <w:right w:val="nil"/>
            </w:tcBorders>
            <w:shd w:val="clear" w:color="auto" w:fill="auto"/>
            <w:vAlign w:val="center"/>
          </w:tcPr>
          <w:p>
            <w:pPr>
              <w:rPr>
                <w:rFonts w:hint="default" w:cs="宋体"/>
                <w:color w:val="000000"/>
                <w:sz w:val="20"/>
                <w:szCs w:val="20"/>
              </w:rPr>
            </w:pPr>
            <w:r>
              <w:rPr>
                <w:rFonts w:cs="宋体"/>
                <w:color w:val="000000"/>
                <w:sz w:val="20"/>
                <w:szCs w:val="20"/>
              </w:rPr>
              <w:t>年度总金额</w:t>
            </w:r>
          </w:p>
        </w:tc>
        <w:tc>
          <w:tcPr>
            <w:tcW w:w="654" w:type="dxa"/>
            <w:gridSpan w:val="2"/>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593" w:type="dxa"/>
            <w:gridSpan w:val="2"/>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669" w:type="dxa"/>
            <w:gridSpan w:val="3"/>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 xml:space="preserve">43,440.00 </w:t>
            </w:r>
          </w:p>
        </w:tc>
        <w:tc>
          <w:tcPr>
            <w:tcW w:w="709" w:type="dxa"/>
            <w:gridSpan w:val="3"/>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771" w:type="dxa"/>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0"/>
                <w:szCs w:val="20"/>
              </w:rPr>
            </w:pPr>
            <w:r>
              <w:rPr>
                <w:rFonts w:cs="宋体"/>
                <w:color w:val="000000"/>
                <w:sz w:val="20"/>
                <w:szCs w:val="20"/>
              </w:rPr>
              <w:t xml:space="preserve">37,950.00 </w:t>
            </w:r>
          </w:p>
        </w:tc>
        <w:tc>
          <w:tcPr>
            <w:tcW w:w="886" w:type="dxa"/>
            <w:gridSpan w:val="2"/>
            <w:tcBorders>
              <w:top w:val="nil"/>
              <w:left w:val="nil"/>
              <w:bottom w:val="single" w:color="auto" w:sz="4" w:space="0"/>
              <w:right w:val="nil"/>
            </w:tcBorders>
            <w:shd w:val="clear" w:color="auto" w:fill="auto"/>
            <w:noWrap/>
            <w:vAlign w:val="center"/>
          </w:tcPr>
          <w:p>
            <w:pPr>
              <w:jc w:val="right"/>
              <w:rPr>
                <w:rFonts w:hint="default" w:cs="宋体"/>
                <w:color w:val="000000"/>
                <w:sz w:val="20"/>
                <w:szCs w:val="20"/>
              </w:rPr>
            </w:pPr>
            <w:r>
              <w:rPr>
                <w:rFonts w:cs="宋体"/>
                <w:color w:val="000000"/>
                <w:sz w:val="20"/>
                <w:szCs w:val="20"/>
              </w:rPr>
              <w:t xml:space="preserve">37,950.00 </w:t>
            </w:r>
          </w:p>
        </w:tc>
        <w:tc>
          <w:tcPr>
            <w:tcW w:w="594"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p>
        </w:tc>
        <w:tc>
          <w:tcPr>
            <w:tcW w:w="593" w:type="dxa"/>
            <w:gridSpan w:val="2"/>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828" w:type="dxa"/>
            <w:gridSpan w:val="2"/>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71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sz w:val="20"/>
                <w:szCs w:val="20"/>
              </w:rPr>
            </w:pPr>
            <w:r>
              <w:rPr>
                <w:rFonts w:cs="宋体"/>
                <w:sz w:val="20"/>
                <w:szCs w:val="20"/>
              </w:rPr>
              <w:t>　</w:t>
            </w:r>
          </w:p>
        </w:tc>
      </w:tr>
      <w:tr>
        <w:tblPrEx>
          <w:tblLayout w:type="fixed"/>
          <w:tblCellMar>
            <w:top w:w="0" w:type="dxa"/>
            <w:left w:w="108" w:type="dxa"/>
            <w:bottom w:w="0" w:type="dxa"/>
            <w:right w:w="108" w:type="dxa"/>
          </w:tblCellMar>
        </w:tblPrEx>
        <w:trPr>
          <w:trHeight w:val="321" w:hRule="atLeast"/>
        </w:trPr>
        <w:tc>
          <w:tcPr>
            <w:tcW w:w="1288" w:type="dxa"/>
            <w:gridSpan w:val="2"/>
            <w:tcBorders>
              <w:top w:val="nil"/>
              <w:left w:val="single" w:color="auto" w:sz="4" w:space="0"/>
              <w:bottom w:val="single" w:color="auto" w:sz="4" w:space="0"/>
              <w:right w:val="nil"/>
            </w:tcBorders>
            <w:shd w:val="clear" w:color="auto" w:fill="auto"/>
            <w:vAlign w:val="center"/>
          </w:tcPr>
          <w:p>
            <w:pPr>
              <w:rPr>
                <w:rFonts w:hint="default" w:cs="宋体"/>
                <w:color w:val="000000"/>
                <w:sz w:val="20"/>
                <w:szCs w:val="20"/>
              </w:rPr>
            </w:pPr>
            <w:r>
              <w:rPr>
                <w:rFonts w:cs="宋体"/>
                <w:color w:val="000000"/>
                <w:sz w:val="20"/>
                <w:szCs w:val="20"/>
              </w:rPr>
              <w:t>其中：财政拨款</w:t>
            </w:r>
          </w:p>
        </w:tc>
        <w:tc>
          <w:tcPr>
            <w:tcW w:w="654" w:type="dxa"/>
            <w:gridSpan w:val="2"/>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593" w:type="dxa"/>
            <w:gridSpan w:val="2"/>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669" w:type="dxa"/>
            <w:gridSpan w:val="3"/>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 xml:space="preserve">43,440.00 </w:t>
            </w:r>
          </w:p>
        </w:tc>
        <w:tc>
          <w:tcPr>
            <w:tcW w:w="709" w:type="dxa"/>
            <w:gridSpan w:val="3"/>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771" w:type="dxa"/>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0"/>
                <w:szCs w:val="20"/>
              </w:rPr>
            </w:pPr>
            <w:r>
              <w:rPr>
                <w:rFonts w:cs="宋体"/>
                <w:color w:val="000000"/>
                <w:sz w:val="20"/>
                <w:szCs w:val="20"/>
              </w:rPr>
              <w:t xml:space="preserve">37,950.00 </w:t>
            </w:r>
          </w:p>
        </w:tc>
        <w:tc>
          <w:tcPr>
            <w:tcW w:w="886" w:type="dxa"/>
            <w:gridSpan w:val="2"/>
            <w:tcBorders>
              <w:top w:val="nil"/>
              <w:left w:val="nil"/>
              <w:bottom w:val="single" w:color="auto" w:sz="4" w:space="0"/>
              <w:right w:val="nil"/>
            </w:tcBorders>
            <w:shd w:val="clear" w:color="auto" w:fill="auto"/>
            <w:noWrap/>
            <w:vAlign w:val="center"/>
          </w:tcPr>
          <w:p>
            <w:pPr>
              <w:jc w:val="right"/>
              <w:rPr>
                <w:rFonts w:hint="default" w:cs="宋体"/>
                <w:color w:val="000000"/>
                <w:sz w:val="20"/>
                <w:szCs w:val="20"/>
              </w:rPr>
            </w:pPr>
            <w:r>
              <w:rPr>
                <w:rFonts w:cs="宋体"/>
                <w:color w:val="000000"/>
                <w:sz w:val="20"/>
                <w:szCs w:val="20"/>
              </w:rPr>
              <w:t xml:space="preserve">37,950.00 </w:t>
            </w:r>
          </w:p>
        </w:tc>
        <w:tc>
          <w:tcPr>
            <w:tcW w:w="594"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p>
        </w:tc>
        <w:tc>
          <w:tcPr>
            <w:tcW w:w="59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100</w:t>
            </w:r>
          </w:p>
        </w:tc>
        <w:tc>
          <w:tcPr>
            <w:tcW w:w="828" w:type="dxa"/>
            <w:gridSpan w:val="2"/>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10.00</w:t>
            </w:r>
          </w:p>
        </w:tc>
        <w:tc>
          <w:tcPr>
            <w:tcW w:w="71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sz w:val="20"/>
                <w:szCs w:val="20"/>
              </w:rPr>
            </w:pPr>
            <w:r>
              <w:rPr>
                <w:rFonts w:cs="宋体"/>
                <w:sz w:val="20"/>
                <w:szCs w:val="20"/>
              </w:rPr>
              <w:t xml:space="preserve">10.00 </w:t>
            </w:r>
          </w:p>
        </w:tc>
      </w:tr>
      <w:tr>
        <w:tblPrEx>
          <w:tblLayout w:type="fixed"/>
          <w:tblCellMar>
            <w:top w:w="0" w:type="dxa"/>
            <w:left w:w="108" w:type="dxa"/>
            <w:bottom w:w="0" w:type="dxa"/>
            <w:right w:w="108" w:type="dxa"/>
          </w:tblCellMar>
        </w:tblPrEx>
        <w:trPr>
          <w:trHeight w:val="321" w:hRule="atLeast"/>
        </w:trPr>
        <w:tc>
          <w:tcPr>
            <w:tcW w:w="1288" w:type="dxa"/>
            <w:gridSpan w:val="2"/>
            <w:tcBorders>
              <w:top w:val="nil"/>
              <w:left w:val="single" w:color="auto" w:sz="4" w:space="0"/>
              <w:bottom w:val="single" w:color="auto" w:sz="4" w:space="0"/>
              <w:right w:val="nil"/>
            </w:tcBorders>
            <w:shd w:val="clear" w:color="auto" w:fill="auto"/>
            <w:vAlign w:val="center"/>
          </w:tcPr>
          <w:p>
            <w:pPr>
              <w:rPr>
                <w:rFonts w:hint="default" w:cs="宋体"/>
                <w:color w:val="000000"/>
                <w:sz w:val="20"/>
                <w:szCs w:val="20"/>
              </w:rPr>
            </w:pPr>
            <w:r>
              <w:rPr>
                <w:rFonts w:cs="宋体"/>
                <w:color w:val="000000"/>
                <w:sz w:val="20"/>
                <w:szCs w:val="20"/>
              </w:rPr>
              <w:t>一般公共预算</w:t>
            </w:r>
          </w:p>
        </w:tc>
        <w:tc>
          <w:tcPr>
            <w:tcW w:w="654" w:type="dxa"/>
            <w:gridSpan w:val="2"/>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593" w:type="dxa"/>
            <w:gridSpan w:val="2"/>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669" w:type="dxa"/>
            <w:gridSpan w:val="3"/>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 xml:space="preserve">43,440.00 </w:t>
            </w:r>
          </w:p>
        </w:tc>
        <w:tc>
          <w:tcPr>
            <w:tcW w:w="709" w:type="dxa"/>
            <w:gridSpan w:val="3"/>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771" w:type="dxa"/>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0"/>
                <w:szCs w:val="20"/>
              </w:rPr>
            </w:pPr>
            <w:r>
              <w:rPr>
                <w:rFonts w:cs="宋体"/>
                <w:color w:val="000000"/>
                <w:sz w:val="20"/>
                <w:szCs w:val="20"/>
              </w:rPr>
              <w:t xml:space="preserve">37,950.00 </w:t>
            </w:r>
          </w:p>
        </w:tc>
        <w:tc>
          <w:tcPr>
            <w:tcW w:w="886" w:type="dxa"/>
            <w:gridSpan w:val="2"/>
            <w:tcBorders>
              <w:top w:val="nil"/>
              <w:left w:val="nil"/>
              <w:bottom w:val="single" w:color="auto" w:sz="4" w:space="0"/>
              <w:right w:val="nil"/>
            </w:tcBorders>
            <w:shd w:val="clear" w:color="auto" w:fill="auto"/>
            <w:noWrap/>
            <w:vAlign w:val="center"/>
          </w:tcPr>
          <w:p>
            <w:pPr>
              <w:jc w:val="right"/>
              <w:rPr>
                <w:rFonts w:hint="default" w:cs="宋体"/>
                <w:color w:val="000000"/>
                <w:sz w:val="20"/>
                <w:szCs w:val="20"/>
              </w:rPr>
            </w:pPr>
            <w:r>
              <w:rPr>
                <w:rFonts w:cs="宋体"/>
                <w:color w:val="000000"/>
                <w:sz w:val="20"/>
                <w:szCs w:val="20"/>
              </w:rPr>
              <w:t xml:space="preserve">37,950.00 </w:t>
            </w:r>
          </w:p>
        </w:tc>
        <w:tc>
          <w:tcPr>
            <w:tcW w:w="594"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p>
        </w:tc>
        <w:tc>
          <w:tcPr>
            <w:tcW w:w="59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100</w:t>
            </w:r>
          </w:p>
        </w:tc>
        <w:tc>
          <w:tcPr>
            <w:tcW w:w="828" w:type="dxa"/>
            <w:gridSpan w:val="2"/>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71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sz w:val="20"/>
                <w:szCs w:val="20"/>
              </w:rPr>
            </w:pPr>
            <w:r>
              <w:rPr>
                <w:rFonts w:cs="宋体"/>
                <w:sz w:val="20"/>
                <w:szCs w:val="20"/>
              </w:rPr>
              <w:t>　</w:t>
            </w:r>
          </w:p>
        </w:tc>
      </w:tr>
      <w:tr>
        <w:tblPrEx>
          <w:tblLayout w:type="fixed"/>
          <w:tblCellMar>
            <w:top w:w="0" w:type="dxa"/>
            <w:left w:w="108" w:type="dxa"/>
            <w:bottom w:w="0" w:type="dxa"/>
            <w:right w:w="108" w:type="dxa"/>
          </w:tblCellMar>
        </w:tblPrEx>
        <w:trPr>
          <w:trHeight w:val="321" w:hRule="atLeast"/>
        </w:trPr>
        <w:tc>
          <w:tcPr>
            <w:tcW w:w="8300" w:type="dxa"/>
            <w:gridSpan w:val="2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7F7F7F"/>
                <w:sz w:val="20"/>
                <w:szCs w:val="20"/>
              </w:rPr>
            </w:pPr>
            <w:r>
              <w:rPr>
                <w:rFonts w:cs="宋体"/>
                <w:b/>
                <w:bCs/>
                <w:color w:val="7F7F7F"/>
                <w:sz w:val="20"/>
                <w:szCs w:val="20"/>
              </w:rPr>
              <w:t>绩效目标</w:t>
            </w:r>
          </w:p>
        </w:tc>
      </w:tr>
      <w:tr>
        <w:tblPrEx>
          <w:tblLayout w:type="fixed"/>
          <w:tblCellMar>
            <w:top w:w="0" w:type="dxa"/>
            <w:left w:w="108" w:type="dxa"/>
            <w:bottom w:w="0" w:type="dxa"/>
            <w:right w:w="108" w:type="dxa"/>
          </w:tblCellMar>
        </w:tblPrEx>
        <w:trPr>
          <w:trHeight w:val="321" w:hRule="atLeast"/>
        </w:trPr>
        <w:tc>
          <w:tcPr>
            <w:tcW w:w="3204"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年初绩效目标</w:t>
            </w:r>
          </w:p>
        </w:tc>
        <w:tc>
          <w:tcPr>
            <w:tcW w:w="2960" w:type="dxa"/>
            <w:gridSpan w:val="8"/>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全年（调整）绩效目标</w:t>
            </w:r>
          </w:p>
        </w:tc>
        <w:tc>
          <w:tcPr>
            <w:tcW w:w="2136"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全年目标实际完成情况</w:t>
            </w:r>
          </w:p>
        </w:tc>
      </w:tr>
      <w:tr>
        <w:tblPrEx>
          <w:tblLayout w:type="fixed"/>
          <w:tblCellMar>
            <w:top w:w="0" w:type="dxa"/>
            <w:left w:w="108" w:type="dxa"/>
            <w:bottom w:w="0" w:type="dxa"/>
            <w:right w:w="108" w:type="dxa"/>
          </w:tblCellMar>
        </w:tblPrEx>
        <w:trPr>
          <w:trHeight w:val="321" w:hRule="atLeast"/>
        </w:trPr>
        <w:tc>
          <w:tcPr>
            <w:tcW w:w="3204" w:type="dxa"/>
            <w:gridSpan w:val="9"/>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0"/>
                <w:szCs w:val="20"/>
              </w:rPr>
            </w:pPr>
            <w:r>
              <w:rPr>
                <w:rFonts w:cs="宋体"/>
                <w:color w:val="000000"/>
                <w:sz w:val="20"/>
                <w:szCs w:val="20"/>
              </w:rPr>
              <w:t>为遗属人员提供生活保障</w:t>
            </w:r>
          </w:p>
        </w:tc>
        <w:tc>
          <w:tcPr>
            <w:tcW w:w="2960" w:type="dxa"/>
            <w:gridSpan w:val="8"/>
            <w:tcBorders>
              <w:top w:val="single" w:color="auto" w:sz="4" w:space="0"/>
              <w:left w:val="nil"/>
              <w:bottom w:val="single" w:color="auto" w:sz="4" w:space="0"/>
              <w:right w:val="single" w:color="auto" w:sz="4" w:space="0"/>
            </w:tcBorders>
            <w:shd w:val="clear" w:color="auto" w:fill="auto"/>
          </w:tcPr>
          <w:p>
            <w:pPr>
              <w:rPr>
                <w:rFonts w:hint="default" w:cs="宋体"/>
                <w:color w:val="000000"/>
                <w:sz w:val="20"/>
                <w:szCs w:val="20"/>
              </w:rPr>
            </w:pPr>
            <w:r>
              <w:rPr>
                <w:rFonts w:cs="宋体"/>
                <w:color w:val="000000"/>
                <w:sz w:val="20"/>
                <w:szCs w:val="20"/>
              </w:rPr>
              <w:t>　</w:t>
            </w:r>
          </w:p>
        </w:tc>
        <w:tc>
          <w:tcPr>
            <w:tcW w:w="2136" w:type="dxa"/>
            <w:gridSpan w:val="5"/>
            <w:tcBorders>
              <w:top w:val="single" w:color="auto" w:sz="4" w:space="0"/>
              <w:left w:val="nil"/>
              <w:bottom w:val="single" w:color="auto" w:sz="4" w:space="0"/>
              <w:right w:val="single" w:color="auto" w:sz="4" w:space="0"/>
            </w:tcBorders>
            <w:shd w:val="clear" w:color="auto" w:fill="auto"/>
          </w:tcPr>
          <w:p>
            <w:pPr>
              <w:rPr>
                <w:rFonts w:hint="default" w:cs="宋体"/>
                <w:color w:val="000000"/>
                <w:sz w:val="20"/>
                <w:szCs w:val="20"/>
              </w:rPr>
            </w:pPr>
            <w:r>
              <w:rPr>
                <w:rFonts w:cs="宋体"/>
                <w:color w:val="000000"/>
                <w:sz w:val="20"/>
                <w:szCs w:val="20"/>
              </w:rPr>
              <w:t>已完成</w:t>
            </w:r>
          </w:p>
        </w:tc>
      </w:tr>
      <w:tr>
        <w:tblPrEx>
          <w:tblLayout w:type="fixed"/>
          <w:tblCellMar>
            <w:top w:w="0" w:type="dxa"/>
            <w:left w:w="108" w:type="dxa"/>
            <w:bottom w:w="0" w:type="dxa"/>
            <w:right w:w="108" w:type="dxa"/>
          </w:tblCellMar>
        </w:tblPrEx>
        <w:trPr>
          <w:trHeight w:val="321" w:hRule="atLeast"/>
        </w:trPr>
        <w:tc>
          <w:tcPr>
            <w:tcW w:w="8300" w:type="dxa"/>
            <w:gridSpan w:val="2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7F7F7F"/>
                <w:sz w:val="20"/>
                <w:szCs w:val="20"/>
              </w:rPr>
            </w:pPr>
            <w:r>
              <w:rPr>
                <w:rFonts w:cs="宋体"/>
                <w:b/>
                <w:bCs/>
                <w:color w:val="7F7F7F"/>
                <w:sz w:val="20"/>
                <w:szCs w:val="20"/>
              </w:rPr>
              <w:t>绩效指标</w:t>
            </w:r>
          </w:p>
        </w:tc>
      </w:tr>
      <w:tr>
        <w:tblPrEx>
          <w:tblLayout w:type="fixed"/>
          <w:tblCellMar>
            <w:top w:w="0" w:type="dxa"/>
            <w:left w:w="108" w:type="dxa"/>
            <w:bottom w:w="0" w:type="dxa"/>
            <w:right w:w="108" w:type="dxa"/>
          </w:tblCellMar>
        </w:tblPrEx>
        <w:trPr>
          <w:trHeight w:val="633" w:hRule="atLeast"/>
        </w:trPr>
        <w:tc>
          <w:tcPr>
            <w:tcW w:w="1556"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指标名称</w:t>
            </w:r>
          </w:p>
        </w:tc>
        <w:tc>
          <w:tcPr>
            <w:tcW w:w="580"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计量单位</w:t>
            </w:r>
          </w:p>
        </w:tc>
        <w:tc>
          <w:tcPr>
            <w:tcW w:w="496" w:type="dxa"/>
            <w:gridSpan w:val="3"/>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指标性质</w:t>
            </w:r>
          </w:p>
        </w:tc>
        <w:tc>
          <w:tcPr>
            <w:tcW w:w="746"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指标值</w:t>
            </w:r>
          </w:p>
        </w:tc>
        <w:tc>
          <w:tcPr>
            <w:tcW w:w="535"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全年完成值</w:t>
            </w:r>
          </w:p>
        </w:tc>
        <w:tc>
          <w:tcPr>
            <w:tcW w:w="771"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偏离度（%）</w:t>
            </w:r>
          </w:p>
        </w:tc>
        <w:tc>
          <w:tcPr>
            <w:tcW w:w="886"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得分系数（%）</w:t>
            </w:r>
          </w:p>
        </w:tc>
        <w:tc>
          <w:tcPr>
            <w:tcW w:w="594"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指标权重</w:t>
            </w:r>
          </w:p>
        </w:tc>
        <w:tc>
          <w:tcPr>
            <w:tcW w:w="593"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指标得分</w:t>
            </w:r>
          </w:p>
        </w:tc>
        <w:tc>
          <w:tcPr>
            <w:tcW w:w="828"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是否核心指标</w:t>
            </w:r>
          </w:p>
        </w:tc>
        <w:tc>
          <w:tcPr>
            <w:tcW w:w="715"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说明</w:t>
            </w:r>
          </w:p>
        </w:tc>
      </w:tr>
      <w:tr>
        <w:tblPrEx>
          <w:tblLayout w:type="fixed"/>
          <w:tblCellMar>
            <w:top w:w="0" w:type="dxa"/>
            <w:left w:w="108" w:type="dxa"/>
            <w:bottom w:w="0" w:type="dxa"/>
            <w:right w:w="108" w:type="dxa"/>
          </w:tblCellMar>
        </w:tblPrEx>
        <w:trPr>
          <w:trHeight w:val="321" w:hRule="atLeast"/>
        </w:trPr>
        <w:tc>
          <w:tcPr>
            <w:tcW w:w="1556" w:type="dxa"/>
            <w:gridSpan w:val="3"/>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遗属补助发放人数</w:t>
            </w:r>
          </w:p>
        </w:tc>
        <w:tc>
          <w:tcPr>
            <w:tcW w:w="580"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人</w:t>
            </w:r>
          </w:p>
        </w:tc>
        <w:tc>
          <w:tcPr>
            <w:tcW w:w="496" w:type="dxa"/>
            <w:gridSpan w:val="3"/>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746"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4</w:t>
            </w:r>
          </w:p>
        </w:tc>
        <w:tc>
          <w:tcPr>
            <w:tcW w:w="535"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3</w:t>
            </w:r>
          </w:p>
        </w:tc>
        <w:tc>
          <w:tcPr>
            <w:tcW w:w="77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25</w:t>
            </w:r>
          </w:p>
        </w:tc>
        <w:tc>
          <w:tcPr>
            <w:tcW w:w="886"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0</w:t>
            </w:r>
          </w:p>
        </w:tc>
        <w:tc>
          <w:tcPr>
            <w:tcW w:w="594"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13.5</w:t>
            </w:r>
          </w:p>
        </w:tc>
        <w:tc>
          <w:tcPr>
            <w:tcW w:w="593"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0</w:t>
            </w:r>
          </w:p>
        </w:tc>
        <w:tc>
          <w:tcPr>
            <w:tcW w:w="828"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否</w:t>
            </w:r>
          </w:p>
        </w:tc>
        <w:tc>
          <w:tcPr>
            <w:tcW w:w="715"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死亡1人</w:t>
            </w:r>
          </w:p>
        </w:tc>
      </w:tr>
      <w:tr>
        <w:tblPrEx>
          <w:tblLayout w:type="fixed"/>
          <w:tblCellMar>
            <w:top w:w="0" w:type="dxa"/>
            <w:left w:w="108" w:type="dxa"/>
            <w:bottom w:w="0" w:type="dxa"/>
            <w:right w:w="108" w:type="dxa"/>
          </w:tblCellMar>
        </w:tblPrEx>
        <w:trPr>
          <w:trHeight w:val="321" w:hRule="atLeast"/>
        </w:trPr>
        <w:tc>
          <w:tcPr>
            <w:tcW w:w="1556" w:type="dxa"/>
            <w:gridSpan w:val="3"/>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遗属补助发放覆盖率</w:t>
            </w:r>
          </w:p>
        </w:tc>
        <w:tc>
          <w:tcPr>
            <w:tcW w:w="580"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496" w:type="dxa"/>
            <w:gridSpan w:val="3"/>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746"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535"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77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0</w:t>
            </w:r>
          </w:p>
        </w:tc>
        <w:tc>
          <w:tcPr>
            <w:tcW w:w="886"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594"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13.5</w:t>
            </w:r>
          </w:p>
        </w:tc>
        <w:tc>
          <w:tcPr>
            <w:tcW w:w="593"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13.5</w:t>
            </w:r>
          </w:p>
        </w:tc>
        <w:tc>
          <w:tcPr>
            <w:tcW w:w="828"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否</w:t>
            </w:r>
          </w:p>
        </w:tc>
        <w:tc>
          <w:tcPr>
            <w:tcW w:w="715"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321" w:hRule="atLeast"/>
        </w:trPr>
        <w:tc>
          <w:tcPr>
            <w:tcW w:w="1556" w:type="dxa"/>
            <w:gridSpan w:val="3"/>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项目实施周期</w:t>
            </w:r>
          </w:p>
        </w:tc>
        <w:tc>
          <w:tcPr>
            <w:tcW w:w="580"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年</w:t>
            </w:r>
          </w:p>
        </w:tc>
        <w:tc>
          <w:tcPr>
            <w:tcW w:w="496" w:type="dxa"/>
            <w:gridSpan w:val="3"/>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746"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w:t>
            </w:r>
          </w:p>
        </w:tc>
        <w:tc>
          <w:tcPr>
            <w:tcW w:w="535"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w:t>
            </w:r>
          </w:p>
        </w:tc>
        <w:tc>
          <w:tcPr>
            <w:tcW w:w="77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0</w:t>
            </w:r>
          </w:p>
        </w:tc>
        <w:tc>
          <w:tcPr>
            <w:tcW w:w="886"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594"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13.5</w:t>
            </w:r>
          </w:p>
        </w:tc>
        <w:tc>
          <w:tcPr>
            <w:tcW w:w="593"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13.5</w:t>
            </w:r>
          </w:p>
        </w:tc>
        <w:tc>
          <w:tcPr>
            <w:tcW w:w="828"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否</w:t>
            </w:r>
          </w:p>
        </w:tc>
        <w:tc>
          <w:tcPr>
            <w:tcW w:w="715"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321" w:hRule="atLeast"/>
        </w:trPr>
        <w:tc>
          <w:tcPr>
            <w:tcW w:w="1556" w:type="dxa"/>
            <w:gridSpan w:val="3"/>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遗属人员生活有效保障</w:t>
            </w:r>
          </w:p>
        </w:tc>
        <w:tc>
          <w:tcPr>
            <w:tcW w:w="580"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c>
          <w:tcPr>
            <w:tcW w:w="496" w:type="dxa"/>
            <w:gridSpan w:val="3"/>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定性</w:t>
            </w:r>
          </w:p>
        </w:tc>
        <w:tc>
          <w:tcPr>
            <w:tcW w:w="746"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有效保障</w:t>
            </w:r>
          </w:p>
        </w:tc>
        <w:tc>
          <w:tcPr>
            <w:tcW w:w="535"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w:t>
            </w:r>
          </w:p>
        </w:tc>
        <w:tc>
          <w:tcPr>
            <w:tcW w:w="77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0</w:t>
            </w:r>
          </w:p>
        </w:tc>
        <w:tc>
          <w:tcPr>
            <w:tcW w:w="886"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594"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27</w:t>
            </w:r>
          </w:p>
        </w:tc>
        <w:tc>
          <w:tcPr>
            <w:tcW w:w="593"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27</w:t>
            </w:r>
          </w:p>
        </w:tc>
        <w:tc>
          <w:tcPr>
            <w:tcW w:w="828"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是</w:t>
            </w:r>
          </w:p>
        </w:tc>
        <w:tc>
          <w:tcPr>
            <w:tcW w:w="715"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321" w:hRule="atLeast"/>
        </w:trPr>
        <w:tc>
          <w:tcPr>
            <w:tcW w:w="1556" w:type="dxa"/>
            <w:gridSpan w:val="3"/>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遗属人员满意度</w:t>
            </w:r>
          </w:p>
        </w:tc>
        <w:tc>
          <w:tcPr>
            <w:tcW w:w="580"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496" w:type="dxa"/>
            <w:gridSpan w:val="3"/>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746"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90</w:t>
            </w:r>
          </w:p>
        </w:tc>
        <w:tc>
          <w:tcPr>
            <w:tcW w:w="535"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77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11.11</w:t>
            </w:r>
          </w:p>
        </w:tc>
        <w:tc>
          <w:tcPr>
            <w:tcW w:w="886"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594"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w:t>
            </w:r>
          </w:p>
        </w:tc>
        <w:tc>
          <w:tcPr>
            <w:tcW w:w="593"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w:t>
            </w:r>
          </w:p>
        </w:tc>
        <w:tc>
          <w:tcPr>
            <w:tcW w:w="828"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否</w:t>
            </w:r>
          </w:p>
        </w:tc>
        <w:tc>
          <w:tcPr>
            <w:tcW w:w="715"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331" w:hRule="atLeast"/>
        </w:trPr>
        <w:tc>
          <w:tcPr>
            <w:tcW w:w="1556" w:type="dxa"/>
            <w:gridSpan w:val="3"/>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月均发放标准</w:t>
            </w:r>
          </w:p>
        </w:tc>
        <w:tc>
          <w:tcPr>
            <w:tcW w:w="580"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元/月</w:t>
            </w:r>
          </w:p>
        </w:tc>
        <w:tc>
          <w:tcPr>
            <w:tcW w:w="496" w:type="dxa"/>
            <w:gridSpan w:val="3"/>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746"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905</w:t>
            </w:r>
          </w:p>
        </w:tc>
        <w:tc>
          <w:tcPr>
            <w:tcW w:w="535"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875</w:t>
            </w:r>
          </w:p>
        </w:tc>
        <w:tc>
          <w:tcPr>
            <w:tcW w:w="77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3.31</w:t>
            </w:r>
          </w:p>
        </w:tc>
        <w:tc>
          <w:tcPr>
            <w:tcW w:w="886"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66.9</w:t>
            </w:r>
          </w:p>
        </w:tc>
        <w:tc>
          <w:tcPr>
            <w:tcW w:w="594"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12.5</w:t>
            </w:r>
          </w:p>
        </w:tc>
        <w:tc>
          <w:tcPr>
            <w:tcW w:w="593"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8.36</w:t>
            </w:r>
          </w:p>
        </w:tc>
        <w:tc>
          <w:tcPr>
            <w:tcW w:w="828"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否</w:t>
            </w:r>
          </w:p>
        </w:tc>
        <w:tc>
          <w:tcPr>
            <w:tcW w:w="715"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r>
    </w:tbl>
    <w:p>
      <w:pPr>
        <w:spacing w:line="576" w:lineRule="exact"/>
        <w:ind w:firstLine="640" w:firstLineChars="200"/>
        <w:rPr>
          <w:rFonts w:hint="default" w:ascii="方正仿宋_GBK" w:eastAsia="方正仿宋_GBK"/>
          <w:sz w:val="32"/>
          <w:szCs w:val="32"/>
        </w:rPr>
      </w:pPr>
    </w:p>
    <w:tbl>
      <w:tblPr>
        <w:tblStyle w:val="7"/>
        <w:tblW w:w="8360" w:type="dxa"/>
        <w:tblInd w:w="0" w:type="dxa"/>
        <w:tblLayout w:type="fixed"/>
        <w:tblCellMar>
          <w:top w:w="0" w:type="dxa"/>
          <w:left w:w="108" w:type="dxa"/>
          <w:bottom w:w="0" w:type="dxa"/>
          <w:right w:w="108" w:type="dxa"/>
        </w:tblCellMar>
      </w:tblPr>
      <w:tblGrid>
        <w:gridCol w:w="1281"/>
        <w:gridCol w:w="202"/>
        <w:gridCol w:w="457"/>
        <w:gridCol w:w="295"/>
        <w:gridCol w:w="254"/>
        <w:gridCol w:w="331"/>
        <w:gridCol w:w="535"/>
        <w:gridCol w:w="217"/>
        <w:gridCol w:w="167"/>
        <w:gridCol w:w="271"/>
        <w:gridCol w:w="229"/>
        <w:gridCol w:w="477"/>
        <w:gridCol w:w="107"/>
        <w:gridCol w:w="705"/>
        <w:gridCol w:w="550"/>
        <w:gridCol w:w="550"/>
        <w:gridCol w:w="536"/>
        <w:gridCol w:w="224"/>
        <w:gridCol w:w="972"/>
      </w:tblGrid>
      <w:tr>
        <w:tblPrEx>
          <w:tblLayout w:type="fixed"/>
          <w:tblCellMar>
            <w:top w:w="0" w:type="dxa"/>
            <w:left w:w="108" w:type="dxa"/>
            <w:bottom w:w="0" w:type="dxa"/>
            <w:right w:w="108" w:type="dxa"/>
          </w:tblCellMar>
        </w:tblPrEx>
        <w:trPr>
          <w:trHeight w:val="342" w:hRule="atLeast"/>
        </w:trPr>
        <w:tc>
          <w:tcPr>
            <w:tcW w:w="8360" w:type="dxa"/>
            <w:gridSpan w:val="19"/>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2024年度二级项目绩效自评表</w:t>
            </w:r>
          </w:p>
        </w:tc>
      </w:tr>
      <w:tr>
        <w:tblPrEx>
          <w:tblLayout w:type="fixed"/>
          <w:tblCellMar>
            <w:top w:w="0" w:type="dxa"/>
            <w:left w:w="108" w:type="dxa"/>
            <w:bottom w:w="0" w:type="dxa"/>
            <w:right w:w="108" w:type="dxa"/>
          </w:tblCellMar>
        </w:tblPrEx>
        <w:trPr>
          <w:trHeight w:val="342" w:hRule="atLeast"/>
        </w:trPr>
        <w:tc>
          <w:tcPr>
            <w:tcW w:w="8360" w:type="dxa"/>
            <w:gridSpan w:val="19"/>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00" w:firstLineChars="100"/>
              <w:jc w:val="right"/>
              <w:rPr>
                <w:rFonts w:hint="default" w:cs="宋体"/>
                <w:b/>
                <w:bCs/>
                <w:color w:val="DA3232"/>
                <w:sz w:val="20"/>
                <w:szCs w:val="20"/>
              </w:rPr>
            </w:pPr>
            <w:r>
              <w:rPr>
                <w:rFonts w:cs="宋体"/>
                <w:b/>
                <w:bCs/>
                <w:color w:val="DA3232"/>
                <w:sz w:val="20"/>
                <w:szCs w:val="20"/>
              </w:rPr>
              <w:t>状态：绩效审核已审</w:t>
            </w:r>
          </w:p>
        </w:tc>
      </w:tr>
      <w:tr>
        <w:tblPrEx>
          <w:tblLayout w:type="fixed"/>
          <w:tblCellMar>
            <w:top w:w="0" w:type="dxa"/>
            <w:left w:w="108" w:type="dxa"/>
            <w:bottom w:w="0" w:type="dxa"/>
            <w:right w:w="108" w:type="dxa"/>
          </w:tblCellMar>
        </w:tblPrEx>
        <w:trPr>
          <w:trHeight w:val="1251" w:hRule="atLeast"/>
        </w:trPr>
        <w:tc>
          <w:tcPr>
            <w:tcW w:w="1281" w:type="dxa"/>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项目名称：</w:t>
            </w:r>
          </w:p>
        </w:tc>
        <w:tc>
          <w:tcPr>
            <w:tcW w:w="1539" w:type="dxa"/>
            <w:gridSpan w:val="5"/>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校园安全保障经费</w:t>
            </w:r>
          </w:p>
        </w:tc>
        <w:tc>
          <w:tcPr>
            <w:tcW w:w="919" w:type="dxa"/>
            <w:gridSpan w:val="3"/>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项目编码：</w:t>
            </w:r>
          </w:p>
        </w:tc>
        <w:tc>
          <w:tcPr>
            <w:tcW w:w="977" w:type="dxa"/>
            <w:gridSpan w:val="3"/>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50023123T000003468591</w:t>
            </w:r>
          </w:p>
        </w:tc>
        <w:tc>
          <w:tcPr>
            <w:tcW w:w="812"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自评总分：</w:t>
            </w:r>
          </w:p>
        </w:tc>
        <w:tc>
          <w:tcPr>
            <w:tcW w:w="1100"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100.00</w:t>
            </w:r>
          </w:p>
        </w:tc>
        <w:tc>
          <w:tcPr>
            <w:tcW w:w="760"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　</w:t>
            </w:r>
          </w:p>
        </w:tc>
        <w:tc>
          <w:tcPr>
            <w:tcW w:w="972" w:type="dxa"/>
            <w:tcBorders>
              <w:top w:val="nil"/>
              <w:left w:val="nil"/>
              <w:bottom w:val="single" w:color="auto" w:sz="4" w:space="0"/>
              <w:right w:val="single" w:color="auto" w:sz="4" w:space="0"/>
            </w:tcBorders>
            <w:shd w:val="clear" w:color="auto" w:fill="auto"/>
            <w:vAlign w:val="center"/>
          </w:tcPr>
          <w:p>
            <w:pPr>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941" w:hRule="atLeast"/>
        </w:trPr>
        <w:tc>
          <w:tcPr>
            <w:tcW w:w="1281" w:type="dxa"/>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项目主管部门：</w:t>
            </w:r>
          </w:p>
        </w:tc>
        <w:tc>
          <w:tcPr>
            <w:tcW w:w="1539" w:type="dxa"/>
            <w:gridSpan w:val="5"/>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134-垫江县教育委员会</w:t>
            </w:r>
          </w:p>
        </w:tc>
        <w:tc>
          <w:tcPr>
            <w:tcW w:w="919" w:type="dxa"/>
            <w:gridSpan w:val="3"/>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财政归口处室：</w:t>
            </w:r>
          </w:p>
        </w:tc>
        <w:tc>
          <w:tcPr>
            <w:tcW w:w="977" w:type="dxa"/>
            <w:gridSpan w:val="3"/>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004-行财科</w:t>
            </w:r>
          </w:p>
        </w:tc>
        <w:tc>
          <w:tcPr>
            <w:tcW w:w="812"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部门联系人：</w:t>
            </w:r>
          </w:p>
        </w:tc>
        <w:tc>
          <w:tcPr>
            <w:tcW w:w="1100"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胡建</w:t>
            </w:r>
          </w:p>
        </w:tc>
        <w:tc>
          <w:tcPr>
            <w:tcW w:w="760"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联系电话：</w:t>
            </w:r>
          </w:p>
        </w:tc>
        <w:tc>
          <w:tcPr>
            <w:tcW w:w="972" w:type="dxa"/>
            <w:tcBorders>
              <w:top w:val="nil"/>
              <w:left w:val="nil"/>
              <w:bottom w:val="single" w:color="auto" w:sz="4" w:space="0"/>
              <w:right w:val="single" w:color="auto" w:sz="4" w:space="0"/>
            </w:tcBorders>
            <w:shd w:val="clear" w:color="auto" w:fill="auto"/>
            <w:vAlign w:val="center"/>
          </w:tcPr>
          <w:p>
            <w:pPr>
              <w:rPr>
                <w:rFonts w:hint="default" w:cs="宋体"/>
                <w:color w:val="000000"/>
                <w:sz w:val="20"/>
                <w:szCs w:val="20"/>
              </w:rPr>
            </w:pPr>
            <w:r>
              <w:rPr>
                <w:rFonts w:cs="宋体"/>
                <w:color w:val="000000"/>
                <w:sz w:val="20"/>
                <w:szCs w:val="20"/>
              </w:rPr>
              <w:t>15213646191</w:t>
            </w:r>
          </w:p>
        </w:tc>
      </w:tr>
      <w:tr>
        <w:tblPrEx>
          <w:tblLayout w:type="fixed"/>
          <w:tblCellMar>
            <w:top w:w="0" w:type="dxa"/>
            <w:left w:w="108" w:type="dxa"/>
            <w:bottom w:w="0" w:type="dxa"/>
            <w:right w:w="108" w:type="dxa"/>
          </w:tblCellMar>
        </w:tblPrEx>
        <w:trPr>
          <w:trHeight w:val="342" w:hRule="atLeast"/>
        </w:trPr>
        <w:tc>
          <w:tcPr>
            <w:tcW w:w="8360" w:type="dxa"/>
            <w:gridSpan w:val="19"/>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7F7F7F"/>
                <w:sz w:val="20"/>
                <w:szCs w:val="20"/>
              </w:rPr>
            </w:pPr>
            <w:r>
              <w:rPr>
                <w:rFonts w:cs="宋体"/>
                <w:b/>
                <w:bCs/>
                <w:color w:val="7F7F7F"/>
                <w:sz w:val="20"/>
                <w:szCs w:val="20"/>
              </w:rPr>
              <w:t>资金情况</w:t>
            </w:r>
          </w:p>
        </w:tc>
      </w:tr>
      <w:tr>
        <w:tblPrEx>
          <w:tblLayout w:type="fixed"/>
          <w:tblCellMar>
            <w:top w:w="0" w:type="dxa"/>
            <w:left w:w="108" w:type="dxa"/>
            <w:bottom w:w="0" w:type="dxa"/>
            <w:right w:w="108" w:type="dxa"/>
          </w:tblCellMar>
        </w:tblPrEx>
        <w:trPr>
          <w:trHeight w:val="941" w:hRule="atLeast"/>
        </w:trPr>
        <w:tc>
          <w:tcPr>
            <w:tcW w:w="19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0"/>
                <w:szCs w:val="20"/>
              </w:rPr>
            </w:pPr>
            <w:r>
              <w:rPr>
                <w:rFonts w:cs="宋体"/>
                <w:color w:val="000000"/>
                <w:sz w:val="20"/>
                <w:szCs w:val="20"/>
              </w:rPr>
              <w:t>　</w:t>
            </w:r>
          </w:p>
        </w:tc>
        <w:tc>
          <w:tcPr>
            <w:tcW w:w="1415"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年初预算数</w:t>
            </w:r>
          </w:p>
        </w:tc>
        <w:tc>
          <w:tcPr>
            <w:tcW w:w="1361"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全年（调整）预算数</w:t>
            </w:r>
          </w:p>
        </w:tc>
        <w:tc>
          <w:tcPr>
            <w:tcW w:w="1362"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全年执行数</w:t>
            </w:r>
          </w:p>
        </w:tc>
        <w:tc>
          <w:tcPr>
            <w:tcW w:w="550"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执行率</w:t>
            </w:r>
          </w:p>
        </w:tc>
        <w:tc>
          <w:tcPr>
            <w:tcW w:w="760" w:type="dxa"/>
            <w:gridSpan w:val="2"/>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0"/>
                <w:szCs w:val="20"/>
              </w:rPr>
            </w:pPr>
            <w:r>
              <w:rPr>
                <w:rFonts w:cs="宋体"/>
                <w:b/>
                <w:bCs/>
                <w:color w:val="000000"/>
                <w:sz w:val="20"/>
                <w:szCs w:val="20"/>
              </w:rPr>
              <w:t>执行率权重</w:t>
            </w:r>
          </w:p>
        </w:tc>
        <w:tc>
          <w:tcPr>
            <w:tcW w:w="972"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执行率得分</w:t>
            </w:r>
          </w:p>
        </w:tc>
      </w:tr>
      <w:tr>
        <w:tblPrEx>
          <w:tblLayout w:type="fixed"/>
          <w:tblCellMar>
            <w:top w:w="0" w:type="dxa"/>
            <w:left w:w="108" w:type="dxa"/>
            <w:bottom w:w="0" w:type="dxa"/>
            <w:right w:w="108" w:type="dxa"/>
          </w:tblCellMar>
        </w:tblPrEx>
        <w:trPr>
          <w:trHeight w:val="941" w:hRule="atLeast"/>
        </w:trPr>
        <w:tc>
          <w:tcPr>
            <w:tcW w:w="1281" w:type="dxa"/>
            <w:tcBorders>
              <w:top w:val="nil"/>
              <w:left w:val="single" w:color="auto" w:sz="4" w:space="0"/>
              <w:bottom w:val="single" w:color="auto" w:sz="4" w:space="0"/>
              <w:right w:val="nil"/>
            </w:tcBorders>
            <w:shd w:val="clear" w:color="auto" w:fill="auto"/>
            <w:vAlign w:val="center"/>
          </w:tcPr>
          <w:p>
            <w:pPr>
              <w:rPr>
                <w:rFonts w:hint="default" w:cs="宋体"/>
                <w:color w:val="000000"/>
                <w:sz w:val="20"/>
                <w:szCs w:val="20"/>
              </w:rPr>
            </w:pPr>
            <w:r>
              <w:rPr>
                <w:rFonts w:cs="宋体"/>
                <w:color w:val="000000"/>
                <w:sz w:val="20"/>
                <w:szCs w:val="20"/>
              </w:rPr>
              <w:t>年度总金额</w:t>
            </w:r>
          </w:p>
        </w:tc>
        <w:tc>
          <w:tcPr>
            <w:tcW w:w="659" w:type="dxa"/>
            <w:gridSpan w:val="2"/>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549" w:type="dxa"/>
            <w:gridSpan w:val="2"/>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866"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 xml:space="preserve">0.00 </w:t>
            </w:r>
          </w:p>
        </w:tc>
        <w:tc>
          <w:tcPr>
            <w:tcW w:w="655" w:type="dxa"/>
            <w:gridSpan w:val="3"/>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706" w:type="dxa"/>
            <w:gridSpan w:val="2"/>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0"/>
                <w:szCs w:val="20"/>
              </w:rPr>
            </w:pPr>
            <w:r>
              <w:rPr>
                <w:rFonts w:cs="宋体"/>
                <w:color w:val="000000"/>
                <w:sz w:val="20"/>
                <w:szCs w:val="20"/>
              </w:rPr>
              <w:t xml:space="preserve">48,141.00 </w:t>
            </w:r>
          </w:p>
        </w:tc>
        <w:tc>
          <w:tcPr>
            <w:tcW w:w="812" w:type="dxa"/>
            <w:gridSpan w:val="2"/>
            <w:tcBorders>
              <w:top w:val="nil"/>
              <w:left w:val="nil"/>
              <w:bottom w:val="single" w:color="auto" w:sz="4" w:space="0"/>
              <w:right w:val="nil"/>
            </w:tcBorders>
            <w:shd w:val="clear" w:color="auto" w:fill="auto"/>
            <w:noWrap/>
            <w:vAlign w:val="center"/>
          </w:tcPr>
          <w:p>
            <w:pPr>
              <w:jc w:val="right"/>
              <w:rPr>
                <w:rFonts w:hint="default" w:cs="宋体"/>
                <w:color w:val="000000"/>
                <w:sz w:val="20"/>
                <w:szCs w:val="20"/>
              </w:rPr>
            </w:pPr>
            <w:r>
              <w:rPr>
                <w:rFonts w:cs="宋体"/>
                <w:color w:val="000000"/>
                <w:sz w:val="20"/>
                <w:szCs w:val="20"/>
              </w:rPr>
              <w:t xml:space="preserve">48,141.00 </w:t>
            </w:r>
          </w:p>
        </w:tc>
        <w:tc>
          <w:tcPr>
            <w:tcW w:w="55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p>
        </w:tc>
        <w:tc>
          <w:tcPr>
            <w:tcW w:w="55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760" w:type="dxa"/>
            <w:gridSpan w:val="2"/>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972"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sz w:val="20"/>
                <w:szCs w:val="20"/>
              </w:rPr>
            </w:pPr>
            <w:r>
              <w:rPr>
                <w:rFonts w:cs="宋体"/>
                <w:sz w:val="20"/>
                <w:szCs w:val="20"/>
              </w:rPr>
              <w:t>　</w:t>
            </w:r>
          </w:p>
        </w:tc>
      </w:tr>
      <w:tr>
        <w:tblPrEx>
          <w:tblLayout w:type="fixed"/>
          <w:tblCellMar>
            <w:top w:w="0" w:type="dxa"/>
            <w:left w:w="108" w:type="dxa"/>
            <w:bottom w:w="0" w:type="dxa"/>
            <w:right w:w="108" w:type="dxa"/>
          </w:tblCellMar>
        </w:tblPrEx>
        <w:trPr>
          <w:trHeight w:val="941" w:hRule="atLeast"/>
        </w:trPr>
        <w:tc>
          <w:tcPr>
            <w:tcW w:w="1281" w:type="dxa"/>
            <w:tcBorders>
              <w:top w:val="nil"/>
              <w:left w:val="single" w:color="auto" w:sz="4" w:space="0"/>
              <w:bottom w:val="single" w:color="auto" w:sz="4" w:space="0"/>
              <w:right w:val="nil"/>
            </w:tcBorders>
            <w:shd w:val="clear" w:color="auto" w:fill="auto"/>
            <w:vAlign w:val="center"/>
          </w:tcPr>
          <w:p>
            <w:pPr>
              <w:rPr>
                <w:rFonts w:hint="default" w:cs="宋体"/>
                <w:color w:val="000000"/>
                <w:sz w:val="20"/>
                <w:szCs w:val="20"/>
              </w:rPr>
            </w:pPr>
            <w:r>
              <w:rPr>
                <w:rFonts w:cs="宋体"/>
                <w:color w:val="000000"/>
                <w:sz w:val="20"/>
                <w:szCs w:val="20"/>
              </w:rPr>
              <w:t>其中：财政拨款</w:t>
            </w:r>
          </w:p>
        </w:tc>
        <w:tc>
          <w:tcPr>
            <w:tcW w:w="659" w:type="dxa"/>
            <w:gridSpan w:val="2"/>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549" w:type="dxa"/>
            <w:gridSpan w:val="2"/>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866"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 xml:space="preserve">0.00 </w:t>
            </w:r>
          </w:p>
        </w:tc>
        <w:tc>
          <w:tcPr>
            <w:tcW w:w="655" w:type="dxa"/>
            <w:gridSpan w:val="3"/>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706" w:type="dxa"/>
            <w:gridSpan w:val="2"/>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0"/>
                <w:szCs w:val="20"/>
              </w:rPr>
            </w:pPr>
            <w:r>
              <w:rPr>
                <w:rFonts w:cs="宋体"/>
                <w:color w:val="000000"/>
                <w:sz w:val="20"/>
                <w:szCs w:val="20"/>
              </w:rPr>
              <w:t xml:space="preserve">48,141.00 </w:t>
            </w:r>
          </w:p>
        </w:tc>
        <w:tc>
          <w:tcPr>
            <w:tcW w:w="812" w:type="dxa"/>
            <w:gridSpan w:val="2"/>
            <w:tcBorders>
              <w:top w:val="nil"/>
              <w:left w:val="nil"/>
              <w:bottom w:val="single" w:color="auto" w:sz="4" w:space="0"/>
              <w:right w:val="nil"/>
            </w:tcBorders>
            <w:shd w:val="clear" w:color="auto" w:fill="auto"/>
            <w:noWrap/>
            <w:vAlign w:val="center"/>
          </w:tcPr>
          <w:p>
            <w:pPr>
              <w:jc w:val="right"/>
              <w:rPr>
                <w:rFonts w:hint="default" w:cs="宋体"/>
                <w:color w:val="000000"/>
                <w:sz w:val="20"/>
                <w:szCs w:val="20"/>
              </w:rPr>
            </w:pPr>
            <w:r>
              <w:rPr>
                <w:rFonts w:cs="宋体"/>
                <w:color w:val="000000"/>
                <w:sz w:val="20"/>
                <w:szCs w:val="20"/>
              </w:rPr>
              <w:t xml:space="preserve">48,141.00 </w:t>
            </w:r>
          </w:p>
        </w:tc>
        <w:tc>
          <w:tcPr>
            <w:tcW w:w="55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p>
        </w:tc>
        <w:tc>
          <w:tcPr>
            <w:tcW w:w="55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100</w:t>
            </w:r>
          </w:p>
        </w:tc>
        <w:tc>
          <w:tcPr>
            <w:tcW w:w="760" w:type="dxa"/>
            <w:gridSpan w:val="2"/>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10.00</w:t>
            </w:r>
          </w:p>
        </w:tc>
        <w:tc>
          <w:tcPr>
            <w:tcW w:w="972"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sz w:val="20"/>
                <w:szCs w:val="20"/>
              </w:rPr>
            </w:pPr>
            <w:r>
              <w:rPr>
                <w:rFonts w:cs="宋体"/>
                <w:sz w:val="20"/>
                <w:szCs w:val="20"/>
              </w:rPr>
              <w:t xml:space="preserve">10.00 </w:t>
            </w:r>
          </w:p>
        </w:tc>
      </w:tr>
      <w:tr>
        <w:tblPrEx>
          <w:tblLayout w:type="fixed"/>
          <w:tblCellMar>
            <w:top w:w="0" w:type="dxa"/>
            <w:left w:w="108" w:type="dxa"/>
            <w:bottom w:w="0" w:type="dxa"/>
            <w:right w:w="108" w:type="dxa"/>
          </w:tblCellMar>
        </w:tblPrEx>
        <w:trPr>
          <w:trHeight w:val="941" w:hRule="atLeast"/>
        </w:trPr>
        <w:tc>
          <w:tcPr>
            <w:tcW w:w="1281" w:type="dxa"/>
            <w:tcBorders>
              <w:top w:val="nil"/>
              <w:left w:val="single" w:color="auto" w:sz="4" w:space="0"/>
              <w:bottom w:val="single" w:color="auto" w:sz="4" w:space="0"/>
              <w:right w:val="nil"/>
            </w:tcBorders>
            <w:shd w:val="clear" w:color="auto" w:fill="auto"/>
            <w:vAlign w:val="center"/>
          </w:tcPr>
          <w:p>
            <w:pPr>
              <w:rPr>
                <w:rFonts w:hint="default" w:cs="宋体"/>
                <w:color w:val="000000"/>
                <w:sz w:val="20"/>
                <w:szCs w:val="20"/>
              </w:rPr>
            </w:pPr>
            <w:r>
              <w:rPr>
                <w:rFonts w:cs="宋体"/>
                <w:color w:val="000000"/>
                <w:sz w:val="20"/>
                <w:szCs w:val="20"/>
              </w:rPr>
              <w:t>一般公共预算</w:t>
            </w:r>
          </w:p>
        </w:tc>
        <w:tc>
          <w:tcPr>
            <w:tcW w:w="659" w:type="dxa"/>
            <w:gridSpan w:val="2"/>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549" w:type="dxa"/>
            <w:gridSpan w:val="2"/>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866"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 xml:space="preserve">0.00 </w:t>
            </w:r>
          </w:p>
        </w:tc>
        <w:tc>
          <w:tcPr>
            <w:tcW w:w="655" w:type="dxa"/>
            <w:gridSpan w:val="3"/>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706" w:type="dxa"/>
            <w:gridSpan w:val="2"/>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0"/>
                <w:szCs w:val="20"/>
              </w:rPr>
            </w:pPr>
            <w:r>
              <w:rPr>
                <w:rFonts w:cs="宋体"/>
                <w:color w:val="000000"/>
                <w:sz w:val="20"/>
                <w:szCs w:val="20"/>
              </w:rPr>
              <w:t xml:space="preserve">48,141.00 </w:t>
            </w:r>
          </w:p>
        </w:tc>
        <w:tc>
          <w:tcPr>
            <w:tcW w:w="812" w:type="dxa"/>
            <w:gridSpan w:val="2"/>
            <w:tcBorders>
              <w:top w:val="nil"/>
              <w:left w:val="nil"/>
              <w:bottom w:val="single" w:color="auto" w:sz="4" w:space="0"/>
              <w:right w:val="nil"/>
            </w:tcBorders>
            <w:shd w:val="clear" w:color="auto" w:fill="auto"/>
            <w:noWrap/>
            <w:vAlign w:val="center"/>
          </w:tcPr>
          <w:p>
            <w:pPr>
              <w:jc w:val="right"/>
              <w:rPr>
                <w:rFonts w:hint="default" w:cs="宋体"/>
                <w:color w:val="000000"/>
                <w:sz w:val="20"/>
                <w:szCs w:val="20"/>
              </w:rPr>
            </w:pPr>
            <w:r>
              <w:rPr>
                <w:rFonts w:cs="宋体"/>
                <w:color w:val="000000"/>
                <w:sz w:val="20"/>
                <w:szCs w:val="20"/>
              </w:rPr>
              <w:t xml:space="preserve">48,141.00 </w:t>
            </w:r>
          </w:p>
        </w:tc>
        <w:tc>
          <w:tcPr>
            <w:tcW w:w="55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p>
        </w:tc>
        <w:tc>
          <w:tcPr>
            <w:tcW w:w="55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100</w:t>
            </w:r>
          </w:p>
        </w:tc>
        <w:tc>
          <w:tcPr>
            <w:tcW w:w="760" w:type="dxa"/>
            <w:gridSpan w:val="2"/>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972"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sz w:val="20"/>
                <w:szCs w:val="20"/>
              </w:rPr>
            </w:pPr>
            <w:r>
              <w:rPr>
                <w:rFonts w:cs="宋体"/>
                <w:sz w:val="20"/>
                <w:szCs w:val="20"/>
              </w:rPr>
              <w:t>　</w:t>
            </w:r>
          </w:p>
        </w:tc>
      </w:tr>
      <w:tr>
        <w:tblPrEx>
          <w:tblLayout w:type="fixed"/>
          <w:tblCellMar>
            <w:top w:w="0" w:type="dxa"/>
            <w:left w:w="108" w:type="dxa"/>
            <w:bottom w:w="0" w:type="dxa"/>
            <w:right w:w="108" w:type="dxa"/>
          </w:tblCellMar>
        </w:tblPrEx>
        <w:trPr>
          <w:trHeight w:val="342" w:hRule="atLeast"/>
        </w:trPr>
        <w:tc>
          <w:tcPr>
            <w:tcW w:w="8360" w:type="dxa"/>
            <w:gridSpan w:val="19"/>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7F7F7F"/>
                <w:sz w:val="20"/>
                <w:szCs w:val="20"/>
              </w:rPr>
            </w:pPr>
            <w:r>
              <w:rPr>
                <w:rFonts w:cs="宋体"/>
                <w:b/>
                <w:bCs/>
                <w:color w:val="7F7F7F"/>
                <w:sz w:val="20"/>
                <w:szCs w:val="20"/>
              </w:rPr>
              <w:t>绩效目标</w:t>
            </w:r>
          </w:p>
        </w:tc>
      </w:tr>
      <w:tr>
        <w:tblPrEx>
          <w:tblLayout w:type="fixed"/>
          <w:tblCellMar>
            <w:top w:w="0" w:type="dxa"/>
            <w:left w:w="108" w:type="dxa"/>
            <w:bottom w:w="0" w:type="dxa"/>
            <w:right w:w="108" w:type="dxa"/>
          </w:tblCellMar>
        </w:tblPrEx>
        <w:trPr>
          <w:trHeight w:val="631" w:hRule="atLeast"/>
        </w:trPr>
        <w:tc>
          <w:tcPr>
            <w:tcW w:w="3355"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年初绩效目标</w:t>
            </w:r>
          </w:p>
        </w:tc>
        <w:tc>
          <w:tcPr>
            <w:tcW w:w="2723" w:type="dxa"/>
            <w:gridSpan w:val="8"/>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全年（调整）绩效目标</w:t>
            </w:r>
          </w:p>
        </w:tc>
        <w:tc>
          <w:tcPr>
            <w:tcW w:w="2282"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全年目标实际完成情况</w:t>
            </w:r>
          </w:p>
        </w:tc>
      </w:tr>
      <w:tr>
        <w:tblPrEx>
          <w:tblLayout w:type="fixed"/>
          <w:tblCellMar>
            <w:top w:w="0" w:type="dxa"/>
            <w:left w:w="108" w:type="dxa"/>
            <w:bottom w:w="0" w:type="dxa"/>
            <w:right w:w="108" w:type="dxa"/>
          </w:tblCellMar>
        </w:tblPrEx>
        <w:trPr>
          <w:trHeight w:val="1561" w:hRule="atLeast"/>
        </w:trPr>
        <w:tc>
          <w:tcPr>
            <w:tcW w:w="3355" w:type="dxa"/>
            <w:gridSpan w:val="7"/>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0"/>
                <w:szCs w:val="20"/>
              </w:rPr>
            </w:pPr>
            <w:r>
              <w:rPr>
                <w:rFonts w:cs="宋体"/>
                <w:color w:val="000000"/>
                <w:sz w:val="20"/>
                <w:szCs w:val="20"/>
              </w:rPr>
              <w:t>实施安全保障经费，确保安保人员工资待遇等经费，为学校的教育环境安全提供保障，确保校园安全。</w:t>
            </w:r>
          </w:p>
        </w:tc>
        <w:tc>
          <w:tcPr>
            <w:tcW w:w="2723" w:type="dxa"/>
            <w:gridSpan w:val="8"/>
            <w:tcBorders>
              <w:top w:val="single" w:color="auto" w:sz="4" w:space="0"/>
              <w:left w:val="nil"/>
              <w:bottom w:val="single" w:color="auto" w:sz="4" w:space="0"/>
              <w:right w:val="single" w:color="auto" w:sz="4" w:space="0"/>
            </w:tcBorders>
            <w:shd w:val="clear" w:color="auto" w:fill="auto"/>
          </w:tcPr>
          <w:p>
            <w:pPr>
              <w:rPr>
                <w:rFonts w:hint="default" w:cs="宋体"/>
                <w:color w:val="000000"/>
                <w:sz w:val="20"/>
                <w:szCs w:val="20"/>
              </w:rPr>
            </w:pPr>
            <w:r>
              <w:rPr>
                <w:rFonts w:cs="宋体"/>
                <w:color w:val="000000"/>
                <w:sz w:val="20"/>
                <w:szCs w:val="20"/>
              </w:rPr>
              <w:t>实施安全保障经费，确保安保人员工资待遇等经费，为学校的教育环境安全提供保障，确保校园安全。</w:t>
            </w:r>
          </w:p>
        </w:tc>
        <w:tc>
          <w:tcPr>
            <w:tcW w:w="2282" w:type="dxa"/>
            <w:gridSpan w:val="4"/>
            <w:tcBorders>
              <w:top w:val="single" w:color="auto" w:sz="4" w:space="0"/>
              <w:left w:val="nil"/>
              <w:bottom w:val="single" w:color="auto" w:sz="4" w:space="0"/>
              <w:right w:val="single" w:color="auto" w:sz="4" w:space="0"/>
            </w:tcBorders>
            <w:shd w:val="clear" w:color="auto" w:fill="auto"/>
          </w:tcPr>
          <w:p>
            <w:pPr>
              <w:rPr>
                <w:rFonts w:hint="default" w:cs="宋体"/>
                <w:color w:val="000000"/>
                <w:sz w:val="20"/>
                <w:szCs w:val="20"/>
              </w:rPr>
            </w:pPr>
            <w:r>
              <w:rPr>
                <w:rFonts w:cs="宋体"/>
                <w:color w:val="000000"/>
                <w:sz w:val="20"/>
                <w:szCs w:val="20"/>
              </w:rPr>
              <w:t>已完成</w:t>
            </w:r>
          </w:p>
        </w:tc>
      </w:tr>
      <w:tr>
        <w:tblPrEx>
          <w:tblLayout w:type="fixed"/>
          <w:tblCellMar>
            <w:top w:w="0" w:type="dxa"/>
            <w:left w:w="108" w:type="dxa"/>
            <w:bottom w:w="0" w:type="dxa"/>
            <w:right w:w="108" w:type="dxa"/>
          </w:tblCellMar>
        </w:tblPrEx>
        <w:trPr>
          <w:trHeight w:val="342" w:hRule="atLeast"/>
        </w:trPr>
        <w:tc>
          <w:tcPr>
            <w:tcW w:w="8360" w:type="dxa"/>
            <w:gridSpan w:val="19"/>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7F7F7F"/>
                <w:sz w:val="20"/>
                <w:szCs w:val="20"/>
              </w:rPr>
            </w:pPr>
            <w:r>
              <w:rPr>
                <w:rFonts w:cs="宋体"/>
                <w:b/>
                <w:bCs/>
                <w:color w:val="7F7F7F"/>
                <w:sz w:val="20"/>
                <w:szCs w:val="20"/>
              </w:rPr>
              <w:t>绩效指标</w:t>
            </w:r>
          </w:p>
        </w:tc>
      </w:tr>
      <w:tr>
        <w:tblPrEx>
          <w:tblLayout w:type="fixed"/>
          <w:tblCellMar>
            <w:top w:w="0" w:type="dxa"/>
            <w:left w:w="108" w:type="dxa"/>
            <w:bottom w:w="0" w:type="dxa"/>
            <w:right w:w="108" w:type="dxa"/>
          </w:tblCellMar>
        </w:tblPrEx>
        <w:trPr>
          <w:trHeight w:val="1251" w:hRule="atLeast"/>
        </w:trPr>
        <w:tc>
          <w:tcPr>
            <w:tcW w:w="1483"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指标名称</w:t>
            </w:r>
          </w:p>
        </w:tc>
        <w:tc>
          <w:tcPr>
            <w:tcW w:w="752"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计量单位</w:t>
            </w:r>
          </w:p>
        </w:tc>
        <w:tc>
          <w:tcPr>
            <w:tcW w:w="585"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指标性质</w:t>
            </w:r>
          </w:p>
        </w:tc>
        <w:tc>
          <w:tcPr>
            <w:tcW w:w="752"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指标值</w:t>
            </w:r>
          </w:p>
        </w:tc>
        <w:tc>
          <w:tcPr>
            <w:tcW w:w="667" w:type="dxa"/>
            <w:gridSpan w:val="3"/>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全年完成值</w:t>
            </w:r>
          </w:p>
        </w:tc>
        <w:tc>
          <w:tcPr>
            <w:tcW w:w="584"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偏离度（%）</w:t>
            </w:r>
          </w:p>
        </w:tc>
        <w:tc>
          <w:tcPr>
            <w:tcW w:w="705"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得分系数（%）</w:t>
            </w:r>
          </w:p>
        </w:tc>
        <w:tc>
          <w:tcPr>
            <w:tcW w:w="550"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指标权重</w:t>
            </w:r>
          </w:p>
        </w:tc>
        <w:tc>
          <w:tcPr>
            <w:tcW w:w="550"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指标得分</w:t>
            </w:r>
          </w:p>
        </w:tc>
        <w:tc>
          <w:tcPr>
            <w:tcW w:w="536"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是否核心指标</w:t>
            </w:r>
          </w:p>
        </w:tc>
        <w:tc>
          <w:tcPr>
            <w:tcW w:w="1196"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说明</w:t>
            </w:r>
          </w:p>
        </w:tc>
      </w:tr>
      <w:tr>
        <w:tblPrEx>
          <w:tblLayout w:type="fixed"/>
          <w:tblCellMar>
            <w:top w:w="0" w:type="dxa"/>
            <w:left w:w="108" w:type="dxa"/>
            <w:bottom w:w="0" w:type="dxa"/>
            <w:right w:w="108" w:type="dxa"/>
          </w:tblCellMar>
        </w:tblPrEx>
        <w:trPr>
          <w:trHeight w:val="941" w:hRule="atLeast"/>
        </w:trPr>
        <w:tc>
          <w:tcPr>
            <w:tcW w:w="1483" w:type="dxa"/>
            <w:gridSpan w:val="2"/>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项目实施受助人数</w:t>
            </w:r>
          </w:p>
        </w:tc>
        <w:tc>
          <w:tcPr>
            <w:tcW w:w="752"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人</w:t>
            </w:r>
          </w:p>
        </w:tc>
        <w:tc>
          <w:tcPr>
            <w:tcW w:w="585"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752"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2</w:t>
            </w:r>
          </w:p>
        </w:tc>
        <w:tc>
          <w:tcPr>
            <w:tcW w:w="667" w:type="dxa"/>
            <w:gridSpan w:val="3"/>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2</w:t>
            </w:r>
          </w:p>
        </w:tc>
        <w:tc>
          <w:tcPr>
            <w:tcW w:w="584"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0</w:t>
            </w:r>
          </w:p>
        </w:tc>
        <w:tc>
          <w:tcPr>
            <w:tcW w:w="70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55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13.5</w:t>
            </w:r>
          </w:p>
        </w:tc>
        <w:tc>
          <w:tcPr>
            <w:tcW w:w="55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13.5</w:t>
            </w:r>
          </w:p>
        </w:tc>
        <w:tc>
          <w:tcPr>
            <w:tcW w:w="536"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c>
          <w:tcPr>
            <w:tcW w:w="1196"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941" w:hRule="atLeast"/>
        </w:trPr>
        <w:tc>
          <w:tcPr>
            <w:tcW w:w="1483" w:type="dxa"/>
            <w:gridSpan w:val="2"/>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项目受助过覆盖率</w:t>
            </w:r>
          </w:p>
        </w:tc>
        <w:tc>
          <w:tcPr>
            <w:tcW w:w="752"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585"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752"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667" w:type="dxa"/>
            <w:gridSpan w:val="3"/>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584"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0</w:t>
            </w:r>
          </w:p>
        </w:tc>
        <w:tc>
          <w:tcPr>
            <w:tcW w:w="70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55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13.5</w:t>
            </w:r>
          </w:p>
        </w:tc>
        <w:tc>
          <w:tcPr>
            <w:tcW w:w="55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13.5</w:t>
            </w:r>
          </w:p>
        </w:tc>
        <w:tc>
          <w:tcPr>
            <w:tcW w:w="536"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c>
          <w:tcPr>
            <w:tcW w:w="1196"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941" w:hRule="atLeast"/>
        </w:trPr>
        <w:tc>
          <w:tcPr>
            <w:tcW w:w="1483" w:type="dxa"/>
            <w:gridSpan w:val="2"/>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项目实施受助周期</w:t>
            </w:r>
          </w:p>
        </w:tc>
        <w:tc>
          <w:tcPr>
            <w:tcW w:w="752"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年</w:t>
            </w:r>
          </w:p>
        </w:tc>
        <w:tc>
          <w:tcPr>
            <w:tcW w:w="585"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752"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w:t>
            </w:r>
          </w:p>
        </w:tc>
        <w:tc>
          <w:tcPr>
            <w:tcW w:w="667" w:type="dxa"/>
            <w:gridSpan w:val="3"/>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w:t>
            </w:r>
          </w:p>
        </w:tc>
        <w:tc>
          <w:tcPr>
            <w:tcW w:w="584"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0</w:t>
            </w:r>
          </w:p>
        </w:tc>
        <w:tc>
          <w:tcPr>
            <w:tcW w:w="70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55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13.5</w:t>
            </w:r>
          </w:p>
        </w:tc>
        <w:tc>
          <w:tcPr>
            <w:tcW w:w="55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13.5</w:t>
            </w:r>
          </w:p>
        </w:tc>
        <w:tc>
          <w:tcPr>
            <w:tcW w:w="536"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c>
          <w:tcPr>
            <w:tcW w:w="1196"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631" w:hRule="atLeast"/>
        </w:trPr>
        <w:tc>
          <w:tcPr>
            <w:tcW w:w="1483" w:type="dxa"/>
            <w:gridSpan w:val="2"/>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学校安全得以改善</w:t>
            </w:r>
          </w:p>
        </w:tc>
        <w:tc>
          <w:tcPr>
            <w:tcW w:w="752"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c>
          <w:tcPr>
            <w:tcW w:w="585"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定性</w:t>
            </w:r>
          </w:p>
        </w:tc>
        <w:tc>
          <w:tcPr>
            <w:tcW w:w="752"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好</w:t>
            </w:r>
          </w:p>
        </w:tc>
        <w:tc>
          <w:tcPr>
            <w:tcW w:w="667" w:type="dxa"/>
            <w:gridSpan w:val="3"/>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w:t>
            </w:r>
          </w:p>
        </w:tc>
        <w:tc>
          <w:tcPr>
            <w:tcW w:w="584"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0</w:t>
            </w:r>
          </w:p>
        </w:tc>
        <w:tc>
          <w:tcPr>
            <w:tcW w:w="70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55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27</w:t>
            </w:r>
          </w:p>
        </w:tc>
        <w:tc>
          <w:tcPr>
            <w:tcW w:w="55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27</w:t>
            </w:r>
          </w:p>
        </w:tc>
        <w:tc>
          <w:tcPr>
            <w:tcW w:w="536"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c>
          <w:tcPr>
            <w:tcW w:w="1196"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941" w:hRule="atLeast"/>
        </w:trPr>
        <w:tc>
          <w:tcPr>
            <w:tcW w:w="1483" w:type="dxa"/>
            <w:gridSpan w:val="2"/>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学生、家长、社会满意度</w:t>
            </w:r>
          </w:p>
        </w:tc>
        <w:tc>
          <w:tcPr>
            <w:tcW w:w="752"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585"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752"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95</w:t>
            </w:r>
          </w:p>
        </w:tc>
        <w:tc>
          <w:tcPr>
            <w:tcW w:w="667" w:type="dxa"/>
            <w:gridSpan w:val="3"/>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97</w:t>
            </w:r>
          </w:p>
        </w:tc>
        <w:tc>
          <w:tcPr>
            <w:tcW w:w="584"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2.11</w:t>
            </w:r>
          </w:p>
        </w:tc>
        <w:tc>
          <w:tcPr>
            <w:tcW w:w="70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55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w:t>
            </w:r>
          </w:p>
        </w:tc>
        <w:tc>
          <w:tcPr>
            <w:tcW w:w="55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w:t>
            </w:r>
          </w:p>
        </w:tc>
        <w:tc>
          <w:tcPr>
            <w:tcW w:w="536"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c>
          <w:tcPr>
            <w:tcW w:w="1196"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950" w:hRule="atLeast"/>
        </w:trPr>
        <w:tc>
          <w:tcPr>
            <w:tcW w:w="1483" w:type="dxa"/>
            <w:gridSpan w:val="2"/>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项目实施受助标准</w:t>
            </w:r>
          </w:p>
        </w:tc>
        <w:tc>
          <w:tcPr>
            <w:tcW w:w="752"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元/人年</w:t>
            </w:r>
          </w:p>
        </w:tc>
        <w:tc>
          <w:tcPr>
            <w:tcW w:w="585"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752"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19070.5</w:t>
            </w:r>
          </w:p>
        </w:tc>
        <w:tc>
          <w:tcPr>
            <w:tcW w:w="667" w:type="dxa"/>
            <w:gridSpan w:val="3"/>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24070.5</w:t>
            </w:r>
          </w:p>
        </w:tc>
        <w:tc>
          <w:tcPr>
            <w:tcW w:w="584"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26.22</w:t>
            </w:r>
          </w:p>
        </w:tc>
        <w:tc>
          <w:tcPr>
            <w:tcW w:w="70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55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12.5</w:t>
            </w:r>
          </w:p>
        </w:tc>
        <w:tc>
          <w:tcPr>
            <w:tcW w:w="55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12.5</w:t>
            </w:r>
          </w:p>
        </w:tc>
        <w:tc>
          <w:tcPr>
            <w:tcW w:w="536"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c>
          <w:tcPr>
            <w:tcW w:w="1196"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财政预算资金增加</w:t>
            </w:r>
          </w:p>
        </w:tc>
      </w:tr>
    </w:tbl>
    <w:p>
      <w:pPr>
        <w:spacing w:line="576" w:lineRule="exact"/>
        <w:ind w:firstLine="640" w:firstLineChars="200"/>
        <w:rPr>
          <w:rFonts w:hint="default" w:ascii="方正楷体_GBK" w:eastAsia="方正楷体_GBK"/>
          <w:b/>
          <w:sz w:val="32"/>
          <w:szCs w:val="32"/>
        </w:rPr>
        <w:sectPr>
          <w:pgSz w:w="11915" w:h="16840"/>
          <w:pgMar w:top="1440" w:right="1797" w:bottom="1440" w:left="1797" w:header="851" w:footer="992" w:gutter="0"/>
          <w:pgNumType w:fmt="numberInDash"/>
          <w:cols w:space="720" w:num="1"/>
          <w:docGrid w:type="linesAndChars" w:linePitch="312" w:charSpace="0"/>
        </w:sectPr>
      </w:pP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 xml:space="preserve">（二）单位绩效评价情况 </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 xml:space="preserve">我单位未组织开展绩效评价。 </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 xml:space="preserve">（三）财政绩效评价情况 </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县财政局未委托第三方对我单位开展绩效评价。</w:t>
      </w:r>
    </w:p>
    <w:p>
      <w:pPr>
        <w:spacing w:line="576" w:lineRule="exact"/>
        <w:ind w:firstLine="640" w:firstLineChars="200"/>
        <w:rPr>
          <w:rFonts w:hint="default" w:ascii="方正黑体_GBK" w:eastAsia="方正黑体_GBK"/>
          <w:sz w:val="32"/>
          <w:szCs w:val="32"/>
        </w:rPr>
      </w:pPr>
      <w:r>
        <w:rPr>
          <w:rFonts w:ascii="方正黑体_GBK" w:eastAsia="方正黑体_GBK"/>
          <w:sz w:val="32"/>
          <w:szCs w:val="32"/>
        </w:rPr>
        <w:t>六、专业名词解释</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（一）财政拨款收入：</w:t>
      </w:r>
      <w:r>
        <w:rPr>
          <w:rFonts w:ascii="方正仿宋_GBK" w:eastAsia="方正仿宋_GBK"/>
          <w:sz w:val="32"/>
          <w:szCs w:val="32"/>
        </w:rPr>
        <w:t>指本年度从本级财政单位取得的财政拨款，包括一般公共预算财政拨款和政府性基金预算财政拨款。</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（二）事业收入：</w:t>
      </w:r>
      <w:r>
        <w:rPr>
          <w:rFonts w:ascii="方正仿宋_GBK" w:eastAsia="方正仿宋_GBK"/>
          <w:sz w:val="32"/>
          <w:szCs w:val="32"/>
        </w:rPr>
        <w:t>指事业单位开展专业业务活动及其辅助活动取得的现金流入；事业单位收到的财政专户实际核拨的教育收费等资金在此反映。</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（三）经营收入：</w:t>
      </w:r>
      <w:r>
        <w:rPr>
          <w:rFonts w:ascii="方正仿宋_GBK" w:eastAsia="方正仿宋_GBK"/>
          <w:sz w:val="32"/>
          <w:szCs w:val="32"/>
        </w:rPr>
        <w:t>指事业单位在专业业务活动及其辅助活动之外开展非独立核算经营活动取得的现金流入。</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（四）其他收入：</w:t>
      </w:r>
      <w:r>
        <w:rPr>
          <w:rFonts w:ascii="方正仿宋_GBK" w:eastAsia="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（五）使用非财政拨款结余：</w:t>
      </w:r>
      <w:r>
        <w:rPr>
          <w:rFonts w:ascii="方正仿宋_GBK" w:eastAsia="方正仿宋_GBK"/>
          <w:sz w:val="32"/>
          <w:szCs w:val="32"/>
        </w:rPr>
        <w:t>指单位在当年的“财政拨款收入”“事业收入”“经营收入”“其他收入”等不足以安排当年支出的情况下，使用以前年度积累的非财政拨款结余弥补本年度收支缺口的资金。</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（六）年初结转和结余：</w:t>
      </w:r>
      <w:r>
        <w:rPr>
          <w:rFonts w:ascii="方正仿宋_GBK" w:eastAsia="方正仿宋_GBK"/>
          <w:sz w:val="32"/>
          <w:szCs w:val="32"/>
        </w:rPr>
        <w:t>指单位上年结转本年使用的基本支出结转、项目支出结转和结余、经营结余。</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（七）结余分配：</w:t>
      </w:r>
      <w:r>
        <w:rPr>
          <w:rFonts w:ascii="方正仿宋_GBK" w:eastAsia="方正仿宋_GBK"/>
          <w:sz w:val="32"/>
          <w:szCs w:val="32"/>
        </w:rPr>
        <w:t>指单位按照国家有关规定，缴纳所得税、提取专用基金、转入非财政拨款结余等当年结余的分配情况。</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（八）年末结转和结余：</w:t>
      </w:r>
      <w:r>
        <w:rPr>
          <w:rFonts w:ascii="方正仿宋_GBK" w:eastAsia="方正仿宋_GBK"/>
          <w:sz w:val="32"/>
          <w:szCs w:val="32"/>
        </w:rPr>
        <w:t>指单位结转下年的基本支出结转、项目支出结转和结余、经营结余。</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（九）基本支出：</w:t>
      </w:r>
      <w:r>
        <w:rPr>
          <w:rFonts w:ascii="方正仿宋_GBK"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（十）项目支出：</w:t>
      </w:r>
      <w:r>
        <w:rPr>
          <w:rFonts w:ascii="方正仿宋_GBK" w:eastAsia="方正仿宋_GBK"/>
          <w:sz w:val="32"/>
          <w:szCs w:val="32"/>
        </w:rPr>
        <w:t>指在基本支出之外为完成特定行政任务和事业发展目标所发生的支出。</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（十一）经营支出：</w:t>
      </w:r>
      <w:r>
        <w:rPr>
          <w:rFonts w:ascii="方正仿宋_GBK" w:eastAsia="方正仿宋_GBK"/>
          <w:sz w:val="32"/>
          <w:szCs w:val="32"/>
        </w:rPr>
        <w:t>指事业单位在专业业务活动及其辅助活动之外开展非独立核算经营活动发生的支出。</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（十二）“三公”经费：</w:t>
      </w:r>
      <w:r>
        <w:rPr>
          <w:rFonts w:ascii="方正仿宋_GBK"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（十三）机关运行经费：</w:t>
      </w:r>
      <w:r>
        <w:rPr>
          <w:rFonts w:ascii="方正仿宋_GBK" w:eastAsia="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（十四）工资福利支出（支出经济分类科目类级）：</w:t>
      </w:r>
      <w:r>
        <w:rPr>
          <w:rFonts w:ascii="方正仿宋_GBK" w:eastAsia="方正仿宋_GBK"/>
          <w:sz w:val="32"/>
          <w:szCs w:val="32"/>
        </w:rPr>
        <w:t>反映单位开支的在职职工和编制外长期聘用人员的各类劳动报酬，以及为上述人员缴纳的各项社会保险费等。</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（十五）商品和服务支出（支出经济分类科目类级）：</w:t>
      </w:r>
      <w:r>
        <w:rPr>
          <w:rFonts w:ascii="方正仿宋_GBK" w:eastAsia="方正仿宋_GBK"/>
          <w:sz w:val="32"/>
          <w:szCs w:val="32"/>
        </w:rPr>
        <w:t>反映单位购买商品和服务的支出（不包括用于购置固定资产的支出、战略性和应急储备支出）。</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（十六）对个人和家庭的补助（支出经济分类科目类级）：</w:t>
      </w:r>
      <w:r>
        <w:rPr>
          <w:rFonts w:ascii="方正仿宋_GBK" w:eastAsia="方正仿宋_GBK"/>
          <w:sz w:val="32"/>
          <w:szCs w:val="32"/>
        </w:rPr>
        <w:t>反映用于对个人和家庭的补助支出。</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（十七）其他资本性支出（支出经济分类科目类级）：</w:t>
      </w:r>
      <w:r>
        <w:rPr>
          <w:rFonts w:ascii="方正仿宋_GBK" w:eastAsia="方正仿宋_GBK"/>
          <w:sz w:val="32"/>
          <w:szCs w:val="32"/>
        </w:rPr>
        <w:t>反映非各级发展与改革单位集中安排的用于购置固定资产、战略性和应急性储备、土地和无形资产，以及构建基础设施、大型修缮和财政支持企业更新改造所发生的支出。</w:t>
      </w:r>
    </w:p>
    <w:p>
      <w:pPr>
        <w:spacing w:line="576" w:lineRule="exact"/>
        <w:ind w:firstLine="640" w:firstLineChars="200"/>
        <w:rPr>
          <w:rFonts w:hint="default" w:ascii="方正黑体_GBK" w:eastAsia="方正黑体_GBK"/>
          <w:sz w:val="32"/>
          <w:szCs w:val="32"/>
        </w:rPr>
      </w:pPr>
      <w:r>
        <w:rPr>
          <w:rFonts w:ascii="方正黑体_GBK" w:eastAsia="方正黑体_GBK"/>
          <w:sz w:val="32"/>
          <w:szCs w:val="32"/>
        </w:rPr>
        <w:t>七、决算公开联系方式及信息反馈渠道</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本单位决算公开信息反馈和联系方式：</w:t>
      </w:r>
    </w:p>
    <w:p>
      <w:pPr>
        <w:spacing w:line="576" w:lineRule="exact"/>
        <w:ind w:firstLine="640" w:firstLineChars="200"/>
        <w:rPr>
          <w:rStyle w:val="10"/>
          <w:rFonts w:hint="default" w:ascii="方正仿宋_GBK" w:hAnsi="方正仿宋_GBK" w:eastAsia="方正仿宋_GBK" w:cs="方正仿宋_GBK"/>
          <w:sz w:val="32"/>
          <w:szCs w:val="32"/>
          <w:shd w:val="clear" w:color="auto" w:fill="FFFF00"/>
        </w:rPr>
      </w:pPr>
      <w:r>
        <w:rPr>
          <w:rFonts w:ascii="方正仿宋_GBK" w:eastAsia="方正仿宋_GBK"/>
          <w:sz w:val="32"/>
          <w:szCs w:val="32"/>
        </w:rPr>
        <w:t>胡老师，023-74559520</w:t>
      </w:r>
    </w:p>
    <w:p>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sz w:val="32"/>
          <w:szCs w:val="32"/>
          <w:shd w:val="clear" w:color="auto" w:fill="FFFF00"/>
        </w:rPr>
        <w:sectPr>
          <w:pgSz w:w="11915" w:h="16840"/>
          <w:pgMar w:top="1440" w:right="1797" w:bottom="1440" w:left="1797"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3456" w:type="dxa"/>
        <w:tblInd w:w="0" w:type="dxa"/>
        <w:tblLayout w:type="fixed"/>
        <w:tblCellMar>
          <w:top w:w="0" w:type="dxa"/>
          <w:left w:w="0" w:type="dxa"/>
          <w:bottom w:w="0" w:type="dxa"/>
          <w:right w:w="0" w:type="dxa"/>
        </w:tblCellMar>
      </w:tblPr>
      <w:tblGrid>
        <w:gridCol w:w="3922"/>
        <w:gridCol w:w="3248"/>
        <w:gridCol w:w="3692"/>
        <w:gridCol w:w="2594"/>
      </w:tblGrid>
      <w:tr>
        <w:tblPrEx>
          <w:tblLayout w:type="fixed"/>
          <w:tblCellMar>
            <w:top w:w="0" w:type="dxa"/>
            <w:left w:w="0" w:type="dxa"/>
            <w:bottom w:w="0" w:type="dxa"/>
            <w:right w:w="0" w:type="dxa"/>
          </w:tblCellMar>
        </w:tblPrEx>
        <w:trPr>
          <w:trHeight w:val="232" w:hRule="atLeast"/>
        </w:trPr>
        <w:tc>
          <w:tcPr>
            <w:tcW w:w="13456"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392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24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369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59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170"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垫江县沙河小学校</w:t>
            </w:r>
          </w:p>
        </w:tc>
        <w:tc>
          <w:tcPr>
            <w:tcW w:w="369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59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1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286"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622.00</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186.96</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448.10</w:t>
            </w: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24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11.15</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164.25</w:t>
            </w: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20.82</w:t>
            </w: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186.96</w:t>
            </w: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90"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24.98</w:t>
            </w: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830.15</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845.10</w:t>
            </w: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14.95</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59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w:t>
            </w:r>
          </w:p>
        </w:tc>
      </w:tr>
      <w:tr>
        <w:tblPrEx>
          <w:tblLayout w:type="fixed"/>
          <w:tblCellMar>
            <w:top w:w="0" w:type="dxa"/>
            <w:left w:w="0" w:type="dxa"/>
            <w:bottom w:w="0" w:type="dxa"/>
            <w:right w:w="0" w:type="dxa"/>
          </w:tblCellMar>
        </w:tblPrEx>
        <w:trPr>
          <w:trHeight w:val="25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848.71</w:t>
            </w:r>
          </w:p>
        </w:tc>
        <w:tc>
          <w:tcPr>
            <w:tcW w:w="3692"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848.71</w:t>
            </w:r>
          </w:p>
        </w:tc>
      </w:tr>
    </w:tbl>
    <w:p>
      <w:pPr>
        <w:rPr>
          <w:rFonts w:hint="default" w:cs="宋体"/>
          <w:sz w:val="21"/>
          <w:szCs w:val="21"/>
        </w:rPr>
      </w:pPr>
    </w:p>
    <w:p>
      <w:pPr>
        <w:spacing w:line="240" w:lineRule="exact"/>
        <w:rPr>
          <w:rFonts w:hint="default" w:cs="宋体"/>
          <w:sz w:val="20"/>
          <w:szCs w:val="20"/>
        </w:rPr>
      </w:pPr>
    </w:p>
    <w:p>
      <w:pPr>
        <w:spacing w:line="240" w:lineRule="exact"/>
        <w:rPr>
          <w:rFonts w:hint="default" w:cs="宋体"/>
          <w:sz w:val="20"/>
          <w:szCs w:val="20"/>
        </w:rPr>
      </w:pPr>
    </w:p>
    <w:p>
      <w:pPr>
        <w:spacing w:line="240" w:lineRule="exact"/>
        <w:rPr>
          <w:rFonts w:hint="default" w:cs="宋体"/>
          <w:sz w:val="20"/>
          <w:szCs w:val="20"/>
        </w:rPr>
      </w:pPr>
    </w:p>
    <w:p>
      <w:pPr>
        <w:spacing w:line="240" w:lineRule="exact"/>
        <w:rPr>
          <w:rFonts w:hint="default" w:cs="宋体"/>
          <w:sz w:val="20"/>
          <w:szCs w:val="20"/>
        </w:rPr>
      </w:pPr>
    </w:p>
    <w:p>
      <w:pPr>
        <w:spacing w:line="240" w:lineRule="exact"/>
        <w:rPr>
          <w:rFonts w:hint="default" w:cs="宋体"/>
          <w:sz w:val="20"/>
          <w:szCs w:val="20"/>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4155" w:type="dxa"/>
        <w:tblInd w:w="0" w:type="dxa"/>
        <w:tblLayout w:type="fixed"/>
        <w:tblCellMar>
          <w:top w:w="0" w:type="dxa"/>
          <w:left w:w="0" w:type="dxa"/>
          <w:bottom w:w="0" w:type="dxa"/>
          <w:right w:w="0" w:type="dxa"/>
        </w:tblCellMar>
      </w:tblPr>
      <w:tblGrid>
        <w:gridCol w:w="1305"/>
        <w:gridCol w:w="2664"/>
        <w:gridCol w:w="1444"/>
        <w:gridCol w:w="1322"/>
        <w:gridCol w:w="1147"/>
        <w:gridCol w:w="1311"/>
        <w:gridCol w:w="1333"/>
        <w:gridCol w:w="1181"/>
        <w:gridCol w:w="1231"/>
        <w:gridCol w:w="1217"/>
      </w:tblGrid>
      <w:tr>
        <w:tblPrEx>
          <w:tblLayout w:type="fixed"/>
          <w:tblCellMar>
            <w:top w:w="0" w:type="dxa"/>
            <w:left w:w="0" w:type="dxa"/>
            <w:bottom w:w="0" w:type="dxa"/>
            <w:right w:w="0" w:type="dxa"/>
          </w:tblCellMar>
        </w:tblPrEx>
        <w:trPr>
          <w:trHeight w:val="641" w:hRule="atLeast"/>
        </w:trPr>
        <w:tc>
          <w:tcPr>
            <w:tcW w:w="14155"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413"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垫江县沙河小学校</w:t>
            </w:r>
          </w:p>
        </w:tc>
        <w:tc>
          <w:tcPr>
            <w:tcW w:w="132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41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396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4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6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305"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66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0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66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0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66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0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66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39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830.15</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808.96</w:t>
            </w:r>
          </w:p>
        </w:tc>
        <w:tc>
          <w:tcPr>
            <w:tcW w:w="1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10.05</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10.05</w:t>
            </w:r>
          </w:p>
        </w:tc>
        <w:tc>
          <w:tcPr>
            <w:tcW w:w="11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11.15</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433.15</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411.96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11.15</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429.74</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408.54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11.15</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13.43</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416.31</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405.16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11.15</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0.92</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教育费附加安排的支出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2050999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其他教育费附加安排的支出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164.25</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164.25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155.74</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155.74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48.38</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24.20</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83.17</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20.82</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20.82</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20.82</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186.96</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186.96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186.96</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186.96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186.96</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186.96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24.98</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24.98</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24.98</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3990" w:type="dxa"/>
        <w:tblInd w:w="0" w:type="dxa"/>
        <w:tblLayout w:type="fixed"/>
        <w:tblCellMar>
          <w:top w:w="0" w:type="dxa"/>
          <w:left w:w="0" w:type="dxa"/>
          <w:bottom w:w="0" w:type="dxa"/>
          <w:right w:w="0" w:type="dxa"/>
        </w:tblCellMar>
      </w:tblPr>
      <w:tblGrid>
        <w:gridCol w:w="1179"/>
        <w:gridCol w:w="3290"/>
        <w:gridCol w:w="1679"/>
        <w:gridCol w:w="1609"/>
        <w:gridCol w:w="1480"/>
        <w:gridCol w:w="1421"/>
        <w:gridCol w:w="1544"/>
        <w:gridCol w:w="1788"/>
      </w:tblGrid>
      <w:tr>
        <w:tblPrEx>
          <w:tblLayout w:type="fixed"/>
          <w:tblCellMar>
            <w:top w:w="0" w:type="dxa"/>
            <w:left w:w="0" w:type="dxa"/>
            <w:bottom w:w="0" w:type="dxa"/>
            <w:right w:w="0" w:type="dxa"/>
          </w:tblCellMar>
        </w:tblPrEx>
        <w:trPr>
          <w:trHeight w:val="654" w:hRule="atLeast"/>
        </w:trPr>
        <w:tc>
          <w:tcPr>
            <w:tcW w:w="1399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14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垫江县沙河小学校</w:t>
            </w:r>
          </w:p>
        </w:tc>
        <w:tc>
          <w:tcPr>
            <w:tcW w:w="16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8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4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8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14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8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4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8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17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17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9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17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9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17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9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845.10</w:t>
            </w:r>
          </w:p>
        </w:tc>
        <w:tc>
          <w:tcPr>
            <w:tcW w:w="1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608.23</w:t>
            </w:r>
          </w:p>
        </w:tc>
        <w:tc>
          <w:tcPr>
            <w:tcW w:w="1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236.86</w:t>
            </w:r>
          </w:p>
        </w:tc>
        <w:tc>
          <w:tcPr>
            <w:tcW w:w="14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5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448.10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398.43</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49.67</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444.68</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397.51</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47.17</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27.86</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24.41</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416.83</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373.10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0.92</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教育费附加安排的支出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2050999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其他教育费附加安排的支出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164.25</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164.01</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155.74</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155.51</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48.38</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48.38</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83.17</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82.93</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20.82</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20.82</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20.82</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186.96</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186.96</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186.96</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186.96</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186.96</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186.96</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24.98</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24.98</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24.98</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24.98</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24.98</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24.98</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3402" w:type="dxa"/>
        <w:tblInd w:w="0" w:type="dxa"/>
        <w:tblLayout w:type="fixed"/>
        <w:tblCellMar>
          <w:top w:w="0" w:type="dxa"/>
          <w:left w:w="0" w:type="dxa"/>
          <w:bottom w:w="0" w:type="dxa"/>
          <w:right w:w="0" w:type="dxa"/>
        </w:tblCellMar>
      </w:tblPr>
      <w:tblGrid>
        <w:gridCol w:w="2709"/>
        <w:gridCol w:w="1388"/>
        <w:gridCol w:w="2903"/>
        <w:gridCol w:w="1547"/>
        <w:gridCol w:w="1547"/>
        <w:gridCol w:w="1547"/>
        <w:gridCol w:w="1761"/>
      </w:tblGrid>
      <w:tr>
        <w:tblPrEx>
          <w:tblLayout w:type="fixed"/>
          <w:tblCellMar>
            <w:top w:w="0" w:type="dxa"/>
            <w:left w:w="0" w:type="dxa"/>
            <w:bottom w:w="0" w:type="dxa"/>
            <w:right w:w="0" w:type="dxa"/>
          </w:tblCellMar>
        </w:tblPrEx>
        <w:trPr>
          <w:trHeight w:val="90" w:hRule="atLeast"/>
        </w:trPr>
        <w:tc>
          <w:tcPr>
            <w:tcW w:w="1340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000"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垫江县沙河小学校</w:t>
            </w: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61"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000"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61"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0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930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7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290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640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7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9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622.00</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186.96</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411.96</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411.96</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164.25</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164.25</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20.82</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20.82</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186.96</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186.96</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24.98</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24.98</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808.96</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808.96</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622.00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186.96</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812.57</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812.57</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625.62</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186.96</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3990" w:type="dxa"/>
        <w:tblInd w:w="0" w:type="dxa"/>
        <w:tblLayout w:type="fixed"/>
        <w:tblCellMar>
          <w:top w:w="0" w:type="dxa"/>
          <w:left w:w="0" w:type="dxa"/>
          <w:bottom w:w="0" w:type="dxa"/>
          <w:right w:w="0" w:type="dxa"/>
        </w:tblCellMar>
      </w:tblPr>
      <w:tblGrid>
        <w:gridCol w:w="1191"/>
        <w:gridCol w:w="3719"/>
        <w:gridCol w:w="3019"/>
        <w:gridCol w:w="3011"/>
        <w:gridCol w:w="3050"/>
      </w:tblGrid>
      <w:tr>
        <w:tblPrEx>
          <w:tblLayout w:type="fixed"/>
          <w:tblCellMar>
            <w:top w:w="0" w:type="dxa"/>
            <w:left w:w="0" w:type="dxa"/>
            <w:bottom w:w="0" w:type="dxa"/>
            <w:right w:w="0" w:type="dxa"/>
          </w:tblCellMar>
        </w:tblPrEx>
        <w:trPr>
          <w:trHeight w:val="510" w:hRule="atLeast"/>
        </w:trPr>
        <w:tc>
          <w:tcPr>
            <w:tcW w:w="1399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7929"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垫江县沙河小学校</w:t>
            </w:r>
          </w:p>
        </w:tc>
        <w:tc>
          <w:tcPr>
            <w:tcW w:w="30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5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792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5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49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08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19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7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0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01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19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19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491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622.00</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572.16</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49.84</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411.96</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362.35</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49.61</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408.54</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361.43</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47.11</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405.16</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361.43</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43.73</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0.92</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0.92</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0.92</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0.92</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20509</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教育费附加安排的支出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2050999</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其他教育费附加安排的支出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164.25</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164.01</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0.24</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155.74</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155.51</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0.24</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48.38</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48.38</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24.20</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24.20</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83.17</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82.93</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8.51</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8.51</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8.51</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8.51</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20.82</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20.82</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20.82</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20.82</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20.82</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20.82</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24.98</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24.98</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24.98</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24.98</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24.98</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24.98</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3973" w:type="dxa"/>
        <w:tblInd w:w="0" w:type="dxa"/>
        <w:tblLayout w:type="fixed"/>
        <w:tblCellMar>
          <w:top w:w="0" w:type="dxa"/>
          <w:left w:w="0" w:type="dxa"/>
          <w:bottom w:w="0" w:type="dxa"/>
          <w:right w:w="0" w:type="dxa"/>
        </w:tblCellMar>
      </w:tblPr>
      <w:tblGrid>
        <w:gridCol w:w="732"/>
        <w:gridCol w:w="2565"/>
        <w:gridCol w:w="1406"/>
        <w:gridCol w:w="796"/>
        <w:gridCol w:w="1856"/>
        <w:gridCol w:w="1294"/>
        <w:gridCol w:w="796"/>
        <w:gridCol w:w="3161"/>
        <w:gridCol w:w="1367"/>
      </w:tblGrid>
      <w:tr>
        <w:tblPrEx>
          <w:tblLayout w:type="fixed"/>
          <w:tblCellMar>
            <w:top w:w="0" w:type="dxa"/>
            <w:left w:w="0" w:type="dxa"/>
            <w:bottom w:w="0" w:type="dxa"/>
            <w:right w:w="0" w:type="dxa"/>
          </w:tblCellMar>
        </w:tblPrEx>
        <w:trPr>
          <w:trHeight w:val="90" w:hRule="atLeast"/>
        </w:trPr>
        <w:tc>
          <w:tcPr>
            <w:tcW w:w="13973"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7355"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垫江县沙河小学校</w:t>
            </w:r>
          </w:p>
        </w:tc>
        <w:tc>
          <w:tcPr>
            <w:tcW w:w="1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9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6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7355"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9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6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927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73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5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7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8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29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7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73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5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7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8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2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7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3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470.30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114.78</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216.86</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48.38</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0.59</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24.98</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91.44</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77.93</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5.16</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29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4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561.74</w:t>
            </w:r>
          </w:p>
        </w:tc>
        <w:tc>
          <w:tcPr>
            <w:tcW w:w="7903"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10.42</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3990" w:type="dxa"/>
        <w:tblInd w:w="0" w:type="dxa"/>
        <w:tblLayout w:type="fixed"/>
        <w:tblCellMar>
          <w:top w:w="0" w:type="dxa"/>
          <w:left w:w="0" w:type="dxa"/>
          <w:bottom w:w="0" w:type="dxa"/>
          <w:right w:w="0" w:type="dxa"/>
        </w:tblCellMar>
      </w:tblPr>
      <w:tblGrid>
        <w:gridCol w:w="1205"/>
        <w:gridCol w:w="3282"/>
        <w:gridCol w:w="1553"/>
        <w:gridCol w:w="1553"/>
        <w:gridCol w:w="1553"/>
        <w:gridCol w:w="1553"/>
        <w:gridCol w:w="1612"/>
        <w:gridCol w:w="1679"/>
      </w:tblGrid>
      <w:tr>
        <w:tblPrEx>
          <w:tblLayout w:type="fixed"/>
          <w:tblCellMar>
            <w:top w:w="0" w:type="dxa"/>
            <w:left w:w="0" w:type="dxa"/>
            <w:bottom w:w="0" w:type="dxa"/>
            <w:right w:w="0" w:type="dxa"/>
          </w:tblCellMar>
        </w:tblPrEx>
        <w:trPr>
          <w:trHeight w:val="644" w:hRule="atLeast"/>
        </w:trPr>
        <w:tc>
          <w:tcPr>
            <w:tcW w:w="1399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040"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垫江县沙河小学校</w:t>
            </w: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04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4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55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471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5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5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48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186.96</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186.96</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186.96</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2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186.96</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186.96</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6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186.96</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2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186.96</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186.96</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6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186.96</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32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186.96</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186.96</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6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186.96</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3990" w:type="dxa"/>
        <w:tblInd w:w="0" w:type="dxa"/>
        <w:tblLayout w:type="fixed"/>
        <w:tblCellMar>
          <w:top w:w="0" w:type="dxa"/>
          <w:left w:w="0" w:type="dxa"/>
          <w:bottom w:w="0" w:type="dxa"/>
          <w:right w:w="0" w:type="dxa"/>
        </w:tblCellMar>
      </w:tblPr>
      <w:tblGrid>
        <w:gridCol w:w="1181"/>
        <w:gridCol w:w="3302"/>
        <w:gridCol w:w="2988"/>
        <w:gridCol w:w="173"/>
        <w:gridCol w:w="3162"/>
        <w:gridCol w:w="78"/>
        <w:gridCol w:w="3106"/>
      </w:tblGrid>
      <w:tr>
        <w:tblPrEx>
          <w:tblLayout w:type="fixed"/>
          <w:tblCellMar>
            <w:top w:w="0" w:type="dxa"/>
            <w:left w:w="0" w:type="dxa"/>
            <w:bottom w:w="0" w:type="dxa"/>
            <w:right w:w="0" w:type="dxa"/>
          </w:tblCellMar>
        </w:tblPrEx>
        <w:trPr>
          <w:trHeight w:val="650" w:hRule="atLeast"/>
        </w:trPr>
        <w:tc>
          <w:tcPr>
            <w:tcW w:w="1399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7471"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垫江县沙河小学校</w:t>
            </w:r>
          </w:p>
        </w:tc>
        <w:tc>
          <w:tcPr>
            <w:tcW w:w="3413"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10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747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3"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10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4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950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18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30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161"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1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184"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18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8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18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8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18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8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4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16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31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1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488" w:hRule="atLeast"/>
        </w:trPr>
        <w:tc>
          <w:tcPr>
            <w:tcW w:w="11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16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1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1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2902" w:type="dxa"/>
        <w:tblInd w:w="0" w:type="dxa"/>
        <w:tblLayout w:type="fixed"/>
        <w:tblCellMar>
          <w:top w:w="0" w:type="dxa"/>
          <w:left w:w="170" w:type="dxa"/>
          <w:bottom w:w="0" w:type="dxa"/>
          <w:right w:w="170" w:type="dxa"/>
        </w:tblCellMar>
      </w:tblPr>
      <w:tblGrid>
        <w:gridCol w:w="2900"/>
        <w:gridCol w:w="2206"/>
        <w:gridCol w:w="2168"/>
        <w:gridCol w:w="3352"/>
        <w:gridCol w:w="2276"/>
      </w:tblGrid>
      <w:tr>
        <w:tblPrEx>
          <w:tblLayout w:type="fixed"/>
          <w:tblCellMar>
            <w:top w:w="0" w:type="dxa"/>
            <w:left w:w="170" w:type="dxa"/>
            <w:bottom w:w="0" w:type="dxa"/>
            <w:right w:w="170" w:type="dxa"/>
          </w:tblCellMar>
        </w:tblPrEx>
        <w:trPr>
          <w:trHeight w:val="343" w:hRule="atLeast"/>
        </w:trPr>
        <w:tc>
          <w:tcPr>
            <w:tcW w:w="1290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2900"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20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168"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352"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276"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106"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垫江县沙河小学校</w:t>
            </w:r>
          </w:p>
        </w:tc>
        <w:tc>
          <w:tcPr>
            <w:tcW w:w="2168"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35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27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86"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2.64</w:t>
            </w: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2.99</w:t>
            </w: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40" w:h="11915" w:orient="landscape"/>
      <w:pgMar w:top="1797" w:right="1440" w:bottom="1797" w:left="1440" w:header="0" w:footer="284"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00000" w:usb3="00000000" w:csb0="00000000" w:csb1="00000000"/>
  </w:font>
  <w:font w:name="方正黑体_GBK">
    <w:altName w:val="Arial Unicode MS"/>
    <w:panose1 w:val="02010600010101010101"/>
    <w:charset w:val="86"/>
    <w:family w:val="script"/>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方正楷体_GBK">
    <w:altName w:val="Arial Unicode MS"/>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仿宋_GBK">
    <w:altName w:val="Arial Unicode MS"/>
    <w:panose1 w:val="02000000000000000000"/>
    <w:charset w:val="86"/>
    <w:family w:val="script"/>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- 6 -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A41A0"/>
    <w:rsid w:val="002B254B"/>
    <w:rsid w:val="0034050A"/>
    <w:rsid w:val="00354CF0"/>
    <w:rsid w:val="003A73CC"/>
    <w:rsid w:val="003E58DC"/>
    <w:rsid w:val="00413700"/>
    <w:rsid w:val="0044504F"/>
    <w:rsid w:val="00466C9B"/>
    <w:rsid w:val="00485CCF"/>
    <w:rsid w:val="00486CFC"/>
    <w:rsid w:val="00491DDD"/>
    <w:rsid w:val="00550ABE"/>
    <w:rsid w:val="00602782"/>
    <w:rsid w:val="00623A85"/>
    <w:rsid w:val="00666424"/>
    <w:rsid w:val="00770383"/>
    <w:rsid w:val="007819D4"/>
    <w:rsid w:val="007B419D"/>
    <w:rsid w:val="007B7C4B"/>
    <w:rsid w:val="007D3D39"/>
    <w:rsid w:val="008F391C"/>
    <w:rsid w:val="00984C6A"/>
    <w:rsid w:val="00987956"/>
    <w:rsid w:val="00994AF7"/>
    <w:rsid w:val="009B67B8"/>
    <w:rsid w:val="009C14C9"/>
    <w:rsid w:val="009D2B67"/>
    <w:rsid w:val="009E1452"/>
    <w:rsid w:val="00A566F9"/>
    <w:rsid w:val="00AF2751"/>
    <w:rsid w:val="00AF5E04"/>
    <w:rsid w:val="00B03CCD"/>
    <w:rsid w:val="00BE2B89"/>
    <w:rsid w:val="00BF0D89"/>
    <w:rsid w:val="00C10E9E"/>
    <w:rsid w:val="00C17150"/>
    <w:rsid w:val="00C20C3E"/>
    <w:rsid w:val="00C5163E"/>
    <w:rsid w:val="00CF2ACF"/>
    <w:rsid w:val="00D03AAF"/>
    <w:rsid w:val="00D7112E"/>
    <w:rsid w:val="00DD0539"/>
    <w:rsid w:val="00E07662"/>
    <w:rsid w:val="00E1579D"/>
    <w:rsid w:val="00E368E9"/>
    <w:rsid w:val="00EB4B28"/>
    <w:rsid w:val="00EE1E33"/>
    <w:rsid w:val="00F73F90"/>
    <w:rsid w:val="00FB4B3B"/>
    <w:rsid w:val="01474EBF"/>
    <w:rsid w:val="01F3521E"/>
    <w:rsid w:val="03B87EA0"/>
    <w:rsid w:val="03E3214F"/>
    <w:rsid w:val="044C50BA"/>
    <w:rsid w:val="05904B04"/>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07371A"/>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ED4C1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4D27D82"/>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AC3546"/>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2367</Words>
  <Characters>13494</Characters>
  <Lines>112</Lines>
  <Paragraphs>31</Paragraphs>
  <TotalTime>5</TotalTime>
  <ScaleCrop>false</ScaleCrop>
  <LinksUpToDate>false</LinksUpToDate>
  <CharactersWithSpaces>15830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2025-08-15T10:48:00Z</dcterms:created>
  <dc:creator>Administrator</dc:creator>
  <cp:lastModifiedBy>Administrator</cp:lastModifiedBy>
  <dcterms:modified xsi:type="dcterms:W3CDTF">2025-09-23T01:06:32Z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