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垫江县三溪小学校</w:t>
      </w:r>
    </w:p>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spacing w:line="600" w:lineRule="exact"/>
        <w:ind w:firstLine="640" w:firstLineChars="200"/>
        <w:rPr>
          <w:rFonts w:ascii="Times New Roman" w:hAnsi="Times New Roman" w:eastAsia="方正黑体_GBK"/>
          <w:sz w:val="32"/>
        </w:rPr>
      </w:pPr>
    </w:p>
    <w:p>
      <w:pPr>
        <w:spacing w:line="600" w:lineRule="exact"/>
        <w:ind w:firstLine="640" w:firstLineChars="200"/>
        <w:rPr>
          <w:rFonts w:hint="default" w:ascii="Times New Roman" w:hAnsi="Times New Roman" w:eastAsia="方正黑体_GBK"/>
          <w:sz w:val="32"/>
        </w:rPr>
      </w:pPr>
      <w:r>
        <w:rPr>
          <w:rFonts w:ascii="Times New Roman" w:hAnsi="Times New Roman" w:eastAsia="方正黑体_GBK"/>
          <w:sz w:val="32"/>
        </w:rPr>
        <w:t>一、单位基本情况</w:t>
      </w:r>
    </w:p>
    <w:p>
      <w:pPr>
        <w:spacing w:line="600" w:lineRule="exact"/>
        <w:ind w:firstLine="643" w:firstLineChars="200"/>
        <w:rPr>
          <w:rFonts w:hint="default" w:ascii="方正楷体_GBK" w:eastAsia="方正楷体_GBK"/>
          <w:b/>
          <w:sz w:val="32"/>
          <w:szCs w:val="32"/>
        </w:rPr>
      </w:pPr>
      <w:r>
        <w:rPr>
          <w:rFonts w:ascii="方正楷体_GBK" w:eastAsia="方正楷体_GBK"/>
          <w:b/>
          <w:sz w:val="32"/>
          <w:szCs w:val="32"/>
        </w:rPr>
        <w:t>（一）职能职责</w:t>
      </w:r>
    </w:p>
    <w:p>
      <w:pPr>
        <w:widowControl w:val="0"/>
        <w:tabs>
          <w:tab w:val="center" w:pos="4153"/>
          <w:tab w:val="left" w:pos="7275"/>
        </w:tabs>
        <w:spacing w:line="600" w:lineRule="exact"/>
        <w:ind w:firstLine="640" w:firstLineChars="200"/>
        <w:jc w:val="both"/>
        <w:rPr>
          <w:rFonts w:hint="default" w:ascii="Calibri" w:hAnsi="Calibri" w:eastAsia="方正仿宋_GBK" w:cs="方正仿宋_GBK"/>
          <w:kern w:val="2"/>
          <w:sz w:val="32"/>
          <w:szCs w:val="32"/>
        </w:rPr>
      </w:pPr>
      <w:r>
        <w:rPr>
          <w:rFonts w:ascii="Calibri" w:hAnsi="Calibri" w:eastAsia="方正仿宋_GBK" w:cs="方正仿宋_GBK"/>
          <w:kern w:val="2"/>
          <w:sz w:val="32"/>
          <w:szCs w:val="32"/>
        </w:rPr>
        <w:t>1</w:t>
      </w:r>
      <w:r>
        <w:rPr>
          <w:rFonts w:hint="eastAsia" w:ascii="Calibri" w:hAnsi="Calibri" w:eastAsia="方正仿宋_GBK" w:cs="方正仿宋_GBK"/>
          <w:kern w:val="2"/>
          <w:sz w:val="32"/>
          <w:szCs w:val="32"/>
          <w:lang w:val="en-US" w:eastAsia="zh-CN"/>
        </w:rPr>
        <w:t>.</w:t>
      </w:r>
      <w:r>
        <w:rPr>
          <w:rFonts w:ascii="Calibri" w:hAnsi="Calibri" w:eastAsia="方正仿宋_GBK" w:cs="方正仿宋_GBK"/>
          <w:kern w:val="2"/>
          <w:sz w:val="32"/>
          <w:szCs w:val="32"/>
        </w:rPr>
        <w:t>负责辖区适龄儿童义务教育工作；负责辖区学前儿童教育与保育工作。</w:t>
      </w:r>
    </w:p>
    <w:p>
      <w:pPr>
        <w:widowControl w:val="0"/>
        <w:tabs>
          <w:tab w:val="center" w:pos="4153"/>
          <w:tab w:val="left" w:pos="7275"/>
        </w:tabs>
        <w:spacing w:line="600" w:lineRule="exact"/>
        <w:ind w:firstLine="640" w:firstLineChars="200"/>
        <w:jc w:val="both"/>
        <w:rPr>
          <w:rFonts w:hint="default" w:ascii="Times New Roman" w:hAnsi="Times New Roman" w:eastAsia="方正仿宋_GBK"/>
          <w:kern w:val="2"/>
          <w:sz w:val="32"/>
          <w:szCs w:val="22"/>
        </w:rPr>
      </w:pPr>
      <w:r>
        <w:rPr>
          <w:rFonts w:ascii="Calibri" w:hAnsi="Calibri" w:eastAsia="方正仿宋_GBK" w:cs="方正仿宋_GBK"/>
          <w:kern w:val="2"/>
          <w:sz w:val="32"/>
          <w:szCs w:val="32"/>
        </w:rPr>
        <w:t>2</w:t>
      </w:r>
      <w:r>
        <w:rPr>
          <w:rFonts w:hint="eastAsia" w:ascii="Calibri" w:hAnsi="Calibri" w:eastAsia="方正仿宋_GBK" w:cs="方正仿宋_GBK"/>
          <w:kern w:val="2"/>
          <w:sz w:val="32"/>
          <w:szCs w:val="32"/>
          <w:lang w:val="en-US" w:eastAsia="zh-CN"/>
        </w:rPr>
        <w:t>.</w:t>
      </w:r>
      <w:r>
        <w:rPr>
          <w:rFonts w:ascii="Calibri" w:hAnsi="Calibri" w:eastAsia="方正仿宋_GBK" w:cs="方正仿宋_GBK"/>
          <w:kern w:val="2"/>
          <w:sz w:val="32"/>
          <w:szCs w:val="32"/>
        </w:rPr>
        <w:t>受县教育行政部门委托，负责所在乡镇各学校（不含直属学校），做好党的教育方针及教育法规贯彻落实，做好所在乡镇的义务教育，全面推进素质教育。制定并实施本乡镇教育发展规划；负责学校教育教学、教育科研、师资队伍、学校经费收支与校产管理与指导；负责教育统计；负责学校卫生、安全、稳定工作；负责落实其他工作。协助所在乡镇人民政府做好适龄青少年依法接受义务教育的工作</w:t>
      </w:r>
      <w:r>
        <w:rPr>
          <w:rFonts w:ascii="Times New Roman" w:hAnsi="Times New Roman" w:eastAsia="方正仿宋_GBK"/>
          <w:kern w:val="2"/>
          <w:sz w:val="32"/>
          <w:szCs w:val="22"/>
        </w:rPr>
        <w:t>。</w:t>
      </w:r>
    </w:p>
    <w:p>
      <w:pPr>
        <w:spacing w:line="600" w:lineRule="exact"/>
        <w:ind w:firstLine="643" w:firstLineChars="200"/>
        <w:rPr>
          <w:rFonts w:hint="default" w:ascii="Times New Roman" w:hAnsi="Times New Roman" w:eastAsia="方正仿宋_GBK"/>
          <w:sz w:val="32"/>
        </w:rPr>
      </w:pPr>
      <w:r>
        <w:rPr>
          <w:rFonts w:ascii="方正楷体_GBK" w:eastAsia="方正楷体_GBK"/>
          <w:b/>
          <w:sz w:val="32"/>
          <w:szCs w:val="32"/>
        </w:rPr>
        <w:t>（二）机构设置</w:t>
      </w:r>
    </w:p>
    <w:p>
      <w:pPr>
        <w:pStyle w:val="6"/>
        <w:shd w:val="clear" w:color="auto" w:fill="FFFFFF"/>
        <w:spacing w:before="0" w:beforeAutospacing="0" w:after="0" w:afterAutospacing="0" w:line="600" w:lineRule="exact"/>
        <w:ind w:firstLine="640" w:firstLineChars="200"/>
        <w:rPr>
          <w:rFonts w:ascii="方正仿宋_GBK" w:eastAsia="方正仿宋_GBK"/>
          <w:sz w:val="32"/>
          <w:szCs w:val="32"/>
        </w:rPr>
      </w:pPr>
      <w:r>
        <w:rPr>
          <w:rFonts w:ascii="Times New Roman" w:hAnsi="Times New Roman" w:eastAsia="方正仿宋_GBK"/>
          <w:kern w:val="2"/>
          <w:sz w:val="32"/>
          <w:szCs w:val="22"/>
        </w:rPr>
        <w:t>学校内设教务处、教科处、德育处</w:t>
      </w:r>
      <w:r>
        <w:rPr>
          <w:rFonts w:ascii="方正仿宋_GBK" w:eastAsia="方正仿宋_GBK"/>
          <w:sz w:val="32"/>
          <w:szCs w:val="32"/>
        </w:rPr>
        <w:t>。</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二、单位决算收支情况说明</w:t>
      </w:r>
    </w:p>
    <w:p>
      <w:pPr>
        <w:pStyle w:val="11"/>
        <w:autoSpaceDE w:val="0"/>
        <w:spacing w:line="60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6"/>
        <w:shd w:val="clear" w:color="auto" w:fill="FFFFFF"/>
        <w:spacing w:before="0" w:beforeAutospacing="0" w:after="0" w:afterAutospacing="0" w:line="600" w:lineRule="exact"/>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2024年度收入总计1073.06万元，支出总计</w:t>
      </w:r>
      <w:r>
        <w:rPr>
          <w:rFonts w:ascii="方正仿宋_GBK" w:hAnsi="方正仿宋_GBK" w:eastAsia="方正仿宋_GBK" w:cs="方正仿宋_GBK"/>
          <w:sz w:val="32"/>
          <w:szCs w:val="32"/>
        </w:rPr>
        <w:t>1073.06</w:t>
      </w:r>
      <w:r>
        <w:rPr>
          <w:rFonts w:ascii="方正仿宋_GBK" w:hAnsi="方正仿宋_GBK" w:eastAsia="方正仿宋_GBK" w:cs="方正仿宋_GBK"/>
          <w:sz w:val="32"/>
          <w:szCs w:val="32"/>
          <w:shd w:val="clear" w:color="auto" w:fill="FFFFFF"/>
        </w:rPr>
        <w:t>万元。收、支与2023年度相比，增加206.17万元，增长23.78%，主要原因是箐口小学撤销建制后其收支并入我校所致。</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2024年度收入合计1066.81万元，与2023年度相比，增加215.66万元，增长25.34%，主要原因是箐口小学撤销建制后其收支并入我校所致。其中：财政拨款收入</w:t>
      </w:r>
      <w:r>
        <w:rPr>
          <w:rFonts w:ascii="方正仿宋_GBK" w:hAnsi="方正仿宋_GBK" w:eastAsia="方正仿宋_GBK" w:cs="方正仿宋_GBK"/>
          <w:sz w:val="32"/>
          <w:szCs w:val="32"/>
        </w:rPr>
        <w:t>1027.22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96.29</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15.81</w:t>
      </w:r>
      <w:r>
        <w:rPr>
          <w:rFonts w:ascii="方正仿宋_GBK" w:hAnsi="方正仿宋_GBK" w:eastAsia="方正仿宋_GBK" w:cs="方正仿宋_GBK"/>
          <w:sz w:val="32"/>
          <w:szCs w:val="32"/>
          <w:shd w:val="clear" w:color="auto" w:fill="FFFFFF"/>
        </w:rPr>
        <w:t>万元，占1.48%；经营收入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23.77</w:t>
      </w:r>
      <w:r>
        <w:rPr>
          <w:rFonts w:ascii="方正仿宋_GBK" w:hAnsi="方正仿宋_GBK" w:eastAsia="方正仿宋_GBK" w:cs="方正仿宋_GBK"/>
          <w:sz w:val="32"/>
          <w:szCs w:val="32"/>
          <w:shd w:val="clear" w:color="auto" w:fill="FFFFFF"/>
        </w:rPr>
        <w:t>万元，占2.23%。此外，使用非财政拨款结余和专用结余</w:t>
      </w:r>
      <w:r>
        <w:rPr>
          <w:rFonts w:ascii="方正仿宋_GBK" w:hAnsi="方正仿宋_GBK" w:eastAsia="方正仿宋_GBK" w:cs="方正仿宋_GBK"/>
          <w:sz w:val="32"/>
          <w:szCs w:val="32"/>
        </w:rPr>
        <w:t>6.25</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1072.38</w:t>
      </w:r>
      <w:r>
        <w:rPr>
          <w:rFonts w:ascii="方正仿宋_GBK" w:hAnsi="方正仿宋_GBK" w:eastAsia="方正仿宋_GBK" w:cs="方正仿宋_GBK"/>
          <w:sz w:val="32"/>
          <w:szCs w:val="32"/>
          <w:shd w:val="clear" w:color="auto" w:fill="FFFFFF"/>
        </w:rPr>
        <w:t>万元，与2023年度相比，增加217.06万元，增长25.38%，主要原因是箐口小学撤销建制后其收支并入我校所致。其中：基本支出</w:t>
      </w:r>
      <w:r>
        <w:rPr>
          <w:rFonts w:ascii="方正仿宋_GBK" w:hAnsi="方正仿宋_GBK" w:eastAsia="方正仿宋_GBK" w:cs="方正仿宋_GBK"/>
          <w:sz w:val="32"/>
          <w:szCs w:val="32"/>
        </w:rPr>
        <w:t>971.82</w:t>
      </w:r>
      <w:r>
        <w:rPr>
          <w:rFonts w:ascii="方正仿宋_GBK" w:hAnsi="方正仿宋_GBK" w:eastAsia="方正仿宋_GBK" w:cs="方正仿宋_GBK"/>
          <w:sz w:val="32"/>
          <w:szCs w:val="32"/>
          <w:shd w:val="clear" w:color="auto" w:fill="FFFFFF"/>
        </w:rPr>
        <w:t>万元，占90.62%；项目支出</w:t>
      </w:r>
      <w:r>
        <w:rPr>
          <w:rFonts w:ascii="方正仿宋_GBK" w:hAnsi="方正仿宋_GBK" w:eastAsia="方正仿宋_GBK" w:cs="方正仿宋_GBK"/>
          <w:sz w:val="32"/>
          <w:szCs w:val="32"/>
        </w:rPr>
        <w:t>100.55</w:t>
      </w:r>
      <w:r>
        <w:rPr>
          <w:rFonts w:ascii="方正仿宋_GBK" w:hAnsi="方正仿宋_GBK" w:eastAsia="方正仿宋_GBK" w:cs="方正仿宋_GBK"/>
          <w:sz w:val="32"/>
          <w:szCs w:val="32"/>
          <w:shd w:val="clear" w:color="auto" w:fill="FFFFFF"/>
        </w:rPr>
        <w:t>万元，占9.38%；经营支出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0.68</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万元，与2023年度相比，无增减，主要原因是2023年和2024年无结转结余资金。</w:t>
      </w:r>
    </w:p>
    <w:p>
      <w:pPr>
        <w:pStyle w:val="11"/>
        <w:autoSpaceDE w:val="0"/>
        <w:spacing w:line="60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2024年度财政拨款收、支总计1027.22万元。与2023年相比，财政拨款收、支总计各增加211.17万元，增长25.88%。主要原因是箐口小学撤销建制后其收支并入我校所致。</w:t>
      </w:r>
    </w:p>
    <w:p>
      <w:pPr>
        <w:pStyle w:val="11"/>
        <w:autoSpaceDE w:val="0"/>
        <w:spacing w:line="60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1027.22</w:t>
      </w:r>
      <w:r>
        <w:rPr>
          <w:rFonts w:ascii="方正仿宋_GBK" w:hAnsi="方正仿宋_GBK" w:eastAsia="方正仿宋_GBK" w:cs="方正仿宋_GBK"/>
          <w:sz w:val="32"/>
          <w:szCs w:val="32"/>
          <w:shd w:val="clear" w:color="auto" w:fill="FFFFFF"/>
        </w:rPr>
        <w:t>万元，与2023年度相比，增加211.33万元，增长25.90%。主要原因是箐口小学撤销建制后其收支并入我校所致。较年初预算数增加404.25万元，增长64.89%。主要原因是合并箐口小学所致。此外，年初财政拨款结转和结余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1027.22</w:t>
      </w:r>
      <w:r>
        <w:rPr>
          <w:rFonts w:ascii="方正仿宋_GBK" w:hAnsi="方正仿宋_GBK" w:eastAsia="方正仿宋_GBK" w:cs="方正仿宋_GBK"/>
          <w:sz w:val="32"/>
          <w:szCs w:val="32"/>
          <w:shd w:val="clear" w:color="auto" w:fill="FFFFFF"/>
        </w:rPr>
        <w:t>万元，与2023年度相比，增加211.17万元，增长25.88%。主要原因是箐口小学撤销建制后其收支并入我校所致。较年初预算数增加404.25万元，增长64.89%。主要原因是合并箐口小学所致。</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万元，与2023年度相比，无增减，主要原因是2023、2024年均无一般公共预算财政拨款结转和结余。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r>
        <w:rPr>
          <w:rFonts w:hint="default" w:ascii="方正仿宋_GBK" w:hAnsi="方正仿宋_GBK" w:eastAsia="方正仿宋_GBK" w:cs="方正仿宋_GBK"/>
          <w:sz w:val="32"/>
          <w:szCs w:val="32"/>
        </w:rPr>
        <w:t xml:space="preserve"> </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705.09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68.64</w:t>
      </w:r>
      <w:r>
        <w:rPr>
          <w:rFonts w:ascii="方正仿宋_GBK" w:hAnsi="方正仿宋_GBK" w:eastAsia="方正仿宋_GBK" w:cs="方正仿宋_GBK"/>
          <w:sz w:val="32"/>
          <w:szCs w:val="32"/>
          <w:shd w:val="clear" w:color="auto" w:fill="FFFFFF"/>
        </w:rPr>
        <w:t>%，较年初预算数增加257.83万元，增长57.65%，主要原因是本年预算因箐口小学撤销建制后其收支并入我校所致。</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247.94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24.14</w:t>
      </w:r>
      <w:r>
        <w:rPr>
          <w:rFonts w:ascii="方正仿宋_GBK" w:hAnsi="方正仿宋_GBK" w:eastAsia="方正仿宋_GBK" w:cs="方正仿宋_GBK"/>
          <w:sz w:val="32"/>
          <w:szCs w:val="32"/>
          <w:shd w:val="clear" w:color="auto" w:fill="FFFFFF"/>
        </w:rPr>
        <w:t>%，较年初预算数增加127.39万元，增长105.67%，主要原因是本年预算因箐口小学撤销建制后其收支并入我校所致。</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33.72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3.28</w:t>
      </w:r>
      <w:r>
        <w:rPr>
          <w:rFonts w:ascii="方正仿宋_GBK" w:hAnsi="方正仿宋_GBK" w:eastAsia="方正仿宋_GBK" w:cs="方正仿宋_GBK"/>
          <w:sz w:val="32"/>
          <w:szCs w:val="32"/>
          <w:shd w:val="clear" w:color="auto" w:fill="FFFFFF"/>
        </w:rPr>
        <w:t>%，较年初预算数增加8.65万元，增长34.50%，主要原因是本年预算因箐口小学撤销建制后其收支并入我校所致。</w:t>
      </w:r>
    </w:p>
    <w:p>
      <w:pPr>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住房保障支出40.47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3.94</w:t>
      </w:r>
      <w:r>
        <w:rPr>
          <w:rFonts w:ascii="方正仿宋_GBK" w:hAnsi="方正仿宋_GBK" w:eastAsia="方正仿宋_GBK" w:cs="方正仿宋_GBK"/>
          <w:sz w:val="32"/>
          <w:szCs w:val="32"/>
          <w:shd w:val="clear" w:color="auto" w:fill="FFFFFF"/>
        </w:rPr>
        <w:t>%，较年初预算数增加10.38万元，增长34.50%，主要原因是本年预算因箐口小学撤销建制后其收支并入我校所致。</w:t>
      </w:r>
    </w:p>
    <w:p>
      <w:pPr>
        <w:pStyle w:val="11"/>
        <w:autoSpaceDE w:val="0"/>
        <w:spacing w:line="60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w:t>
      </w:r>
      <w:r>
        <w:rPr>
          <w:rFonts w:hint="eastAsia" w:ascii="方正仿宋_GBK" w:hAnsi="方正仿宋_GBK" w:eastAsia="方正仿宋_GBK" w:cs="方正仿宋_GBK"/>
          <w:sz w:val="32"/>
          <w:szCs w:val="32"/>
          <w:shd w:val="clear" w:color="auto" w:fill="FFFFFF"/>
          <w:lang w:val="en-US" w:eastAsia="zh-CN"/>
        </w:rPr>
        <w:t>预算</w:t>
      </w:r>
      <w:r>
        <w:rPr>
          <w:rFonts w:ascii="方正仿宋_GBK" w:hAnsi="方正仿宋_GBK" w:eastAsia="方正仿宋_GBK" w:cs="方正仿宋_GBK"/>
          <w:sz w:val="32"/>
          <w:szCs w:val="32"/>
          <w:shd w:val="clear" w:color="auto" w:fill="FFFFFF"/>
        </w:rPr>
        <w:t>财政拨款基本支出</w:t>
      </w:r>
      <w:r>
        <w:rPr>
          <w:rFonts w:ascii="方正仿宋_GBK" w:hAnsi="方正仿宋_GBK" w:eastAsia="方正仿宋_GBK" w:cs="方正仿宋_GBK"/>
          <w:sz w:val="32"/>
          <w:szCs w:val="32"/>
        </w:rPr>
        <w:t>930.11</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913.47</w:t>
      </w:r>
      <w:r>
        <w:rPr>
          <w:rFonts w:ascii="方正仿宋_GBK" w:hAnsi="方正仿宋_GBK" w:eastAsia="方正仿宋_GBK" w:cs="方正仿宋_GBK"/>
          <w:sz w:val="32"/>
          <w:szCs w:val="32"/>
          <w:shd w:val="clear" w:color="auto" w:fill="FFFFFF"/>
        </w:rPr>
        <w:t>万元，与2023年度相比，增加193.46万元，增长26.87%，主要原因箐口小学撤销建制后其收支并入我校所致。人员经费用途主要包括</w:t>
      </w:r>
      <w:r>
        <w:rPr>
          <w:rFonts w:ascii="方正仿宋_GBK" w:eastAsia="方正仿宋_GBK"/>
          <w:sz w:val="32"/>
          <w:szCs w:val="32"/>
        </w:rPr>
        <w:t>教师岗位工资、薪级工资、津补贴、绩效工资、社会保障和就业支出、医疗卫生支出和住房保障支出、健康休养费、退休人员生活补贴</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16.64</w:t>
      </w:r>
      <w:r>
        <w:rPr>
          <w:rFonts w:ascii="方正仿宋_GBK" w:hAnsi="方正仿宋_GBK" w:eastAsia="方正仿宋_GBK" w:cs="方正仿宋_GBK"/>
          <w:sz w:val="32"/>
          <w:szCs w:val="32"/>
          <w:shd w:val="clear" w:color="auto" w:fill="FFFFFF"/>
        </w:rPr>
        <w:t>万元，与2023年度相比，增加4.94万元，增长42.22%，主要原因是箐口小学撤销建制后其公用经费并入我校所致。公用经费用途主要包括</w:t>
      </w:r>
      <w:r>
        <w:rPr>
          <w:rFonts w:ascii="方正仿宋_GBK" w:eastAsia="方正仿宋_GBK"/>
          <w:sz w:val="32"/>
          <w:szCs w:val="32"/>
        </w:rPr>
        <w:t>学校师资培训、教职工体检和工作餐等福利、工会补助等支出</w:t>
      </w:r>
      <w:r>
        <w:rPr>
          <w:rFonts w:ascii="方正仿宋_GBK" w:hAnsi="方正仿宋_GBK" w:eastAsia="方正仿宋_GBK" w:cs="方正仿宋_GBK"/>
          <w:sz w:val="32"/>
          <w:szCs w:val="32"/>
          <w:shd w:val="clear" w:color="auto" w:fill="FFFFFF"/>
        </w:rPr>
        <w:t>。</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2024年度政府性基金预算财政拨款年初结转结余0.00万元，年末结转结余0.00万元。本年收入0.00万元，与2023年度相比，无增减，主要原因是本年度无政府性基金预算财政拨款收入。本年支出0.00万元，与2023年度相比，无增减，主要原因是本年度无政府性基金预算财政拨款支出。本单位2024年度无政府性基金预算财政拨款收支。</w:t>
      </w:r>
    </w:p>
    <w:p>
      <w:pPr>
        <w:pStyle w:val="6"/>
        <w:snapToGrid w:val="0"/>
        <w:spacing w:before="0" w:beforeAutospacing="0" w:after="0" w:afterAutospacing="0" w:line="600" w:lineRule="exact"/>
        <w:ind w:firstLine="643" w:firstLineChars="200"/>
        <w:jc w:val="both"/>
        <w:rPr>
          <w:rFonts w:hint="default" w:ascii="方正楷体_GBK" w:hAnsi="方正仿宋_GBK" w:eastAsia="方正楷体_GBK" w:cs="方正仿宋_GBK"/>
          <w:sz w:val="32"/>
          <w:szCs w:val="32"/>
        </w:rPr>
      </w:pPr>
      <w:r>
        <w:rPr>
          <w:rFonts w:ascii="方正楷体_GBK" w:hAnsi="楷体" w:eastAsia="方正楷体_GBK" w:cs="楷体"/>
          <w:b/>
          <w:bCs/>
          <w:sz w:val="32"/>
          <w:szCs w:val="32"/>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2024年度国有资本经营预算财政拨</w:t>
      </w:r>
      <w:r>
        <w:rPr>
          <w:rFonts w:hint="eastAsia" w:ascii="方正仿宋_GBK" w:hAnsi="方正仿宋_GBK" w:eastAsia="方正仿宋_GBK" w:cs="方正仿宋_GBK"/>
          <w:sz w:val="32"/>
          <w:szCs w:val="32"/>
          <w:shd w:val="clear" w:color="auto" w:fill="FFFFFF"/>
          <w:lang w:val="en-US"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w:t>
      </w:r>
      <w:r>
        <w:rPr>
          <w:rFonts w:hint="default" w:ascii="方正仿宋_GBK" w:hAnsi="方正仿宋_GBK" w:eastAsia="方正仿宋_GBK" w:cs="方正仿宋_GBK"/>
          <w:sz w:val="32"/>
          <w:szCs w:val="32"/>
          <w:shd w:val="clear" w:color="auto" w:fill="FFFFFF"/>
        </w:rPr>
        <w:t>202</w:t>
      </w:r>
      <w:r>
        <w:rPr>
          <w:rFonts w:ascii="方正仿宋_GBK" w:hAnsi="方正仿宋_GBK" w:eastAsia="方正仿宋_GBK" w:cs="方正仿宋_GBK"/>
          <w:sz w:val="32"/>
          <w:szCs w:val="32"/>
          <w:shd w:val="clear" w:color="auto" w:fill="FFFFFF"/>
        </w:rPr>
        <w:t>4</w:t>
      </w:r>
      <w:r>
        <w:rPr>
          <w:rFonts w:hint="default" w:ascii="方正仿宋_GBK" w:hAnsi="方正仿宋_GBK" w:eastAsia="方正仿宋_GBK" w:cs="方正仿宋_GBK"/>
          <w:sz w:val="32"/>
          <w:szCs w:val="32"/>
          <w:shd w:val="clear" w:color="auto" w:fill="FFFFFF"/>
        </w:rPr>
        <w:t>年度无国有资本经营预算财政拨款支出。</w:t>
      </w:r>
    </w:p>
    <w:p>
      <w:pPr>
        <w:spacing w:line="600" w:lineRule="exact"/>
        <w:ind w:firstLine="640" w:firstLineChars="200"/>
        <w:rPr>
          <w:rFonts w:hint="default" w:ascii="Times New Roman" w:hAnsi="Times New Roman" w:eastAsia="方正黑体_GBK"/>
          <w:sz w:val="32"/>
        </w:rPr>
      </w:pPr>
      <w:r>
        <w:rPr>
          <w:rFonts w:ascii="Times New Roman" w:hAnsi="Times New Roman" w:eastAsia="方正黑体_GBK"/>
          <w:sz w:val="32"/>
        </w:rPr>
        <w:t>三、财政拨款“三公”经费情况说明</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（一）“三公”经费支出总体情况说明</w:t>
      </w:r>
    </w:p>
    <w:p>
      <w:pPr>
        <w:spacing w:line="600" w:lineRule="exact"/>
        <w:ind w:firstLine="640" w:firstLineChars="200"/>
        <w:rPr>
          <w:rFonts w:ascii="方正仿宋_GBK" w:eastAsia="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w:t>
      </w:r>
      <w:r>
        <w:rPr>
          <w:rFonts w:ascii="方正仿宋_GBK" w:eastAsia="方正仿宋_GBK"/>
          <w:sz w:val="32"/>
          <w:szCs w:val="32"/>
        </w:rPr>
        <w:t>主要原因是年初预算数</w:t>
      </w:r>
      <w:r>
        <w:rPr>
          <w:rFonts w:ascii="方正仿宋_GBK" w:hAnsi="方正仿宋_GBK" w:eastAsia="方正仿宋_GBK" w:cs="方正仿宋_GBK"/>
          <w:sz w:val="32"/>
          <w:szCs w:val="32"/>
          <w:shd w:val="clear" w:color="auto" w:fill="FFFFFF"/>
        </w:rPr>
        <w:t>未安排“三公”</w:t>
      </w:r>
      <w:r>
        <w:rPr>
          <w:rFonts w:ascii="方正仿宋_GBK" w:eastAsia="方正仿宋_GBK"/>
          <w:sz w:val="32"/>
          <w:szCs w:val="32"/>
        </w:rPr>
        <w:t>经费支出。</w:t>
      </w:r>
      <w:r>
        <w:rPr>
          <w:rFonts w:ascii="方正仿宋_GBK" w:hAnsi="方正仿宋_GBK" w:eastAsia="方正仿宋_GBK" w:cs="方正仿宋_GBK"/>
          <w:sz w:val="32"/>
          <w:szCs w:val="32"/>
          <w:shd w:val="clear" w:color="auto" w:fill="FFFFFF"/>
        </w:rPr>
        <w:t>较上年支出数无增减，主要原因是上年和本年均未发生</w:t>
      </w:r>
      <w:r>
        <w:rPr>
          <w:rFonts w:ascii="方正仿宋_GBK" w:eastAsia="方正仿宋_GBK"/>
          <w:sz w:val="32"/>
          <w:szCs w:val="32"/>
        </w:rPr>
        <w:t>“三公”经费开支。</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（二）“三公”经费分项支出情况</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主要原因是年初预算数未安排因公出国（境）费用，也未发生因公出国（境）费用。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主要原因是上年和本年均未发生因公出国（境）费用。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主要原因是年初预算数未安排公务车购置费用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主要原因是上年和本年均未发生公务车购置费用。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val="en-US" w:eastAsia="zh-CN"/>
        </w:rPr>
        <w:t>用</w:t>
      </w:r>
      <w:r>
        <w:rPr>
          <w:rFonts w:ascii="方正仿宋_GBK" w:hAnsi="方正仿宋_GBK" w:eastAsia="方正仿宋_GBK" w:cs="方正仿宋_GBK"/>
          <w:sz w:val="32"/>
          <w:szCs w:val="32"/>
          <w:shd w:val="clear" w:color="auto" w:fill="FFFFFF"/>
        </w:rPr>
        <w:t>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（三）“三公”经费实物量情况</w:t>
      </w:r>
    </w:p>
    <w:p>
      <w:pPr>
        <w:spacing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四、其他需要说明的事项</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（一）财政拨款会议费和培训费情况说明</w:t>
      </w:r>
    </w:p>
    <w:p>
      <w:pPr>
        <w:spacing w:line="600" w:lineRule="exact"/>
        <w:ind w:firstLine="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w:t>
      </w:r>
      <w:r>
        <w:rPr>
          <w:rFonts w:ascii="方正仿宋_GBK" w:eastAsia="方正仿宋_GBK"/>
          <w:sz w:val="32"/>
          <w:szCs w:val="32"/>
        </w:rPr>
        <w:t>主要原因是上年和本年均未发生会议费支出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1.89</w:t>
      </w:r>
      <w:r>
        <w:rPr>
          <w:rFonts w:ascii="方正仿宋_GBK" w:hAnsi="方正仿宋_GBK" w:eastAsia="方正仿宋_GBK" w:cs="方正仿宋_GBK"/>
          <w:sz w:val="32"/>
          <w:szCs w:val="32"/>
          <w:shd w:val="clear" w:color="auto" w:fill="FFFFFF"/>
        </w:rPr>
        <w:t>万元，与2023年度相比，减少0.09万元，下降4.55%，主要原因是学校压缩公用经费支出，减少了师资队伍的培训</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0万元，机关运行经费较上年支出数无增减，主要原因是按照部门决算列报口</w:t>
      </w:r>
      <w:r>
        <w:rPr>
          <w:rFonts w:ascii="方正仿宋_GBK" w:eastAsia="方正仿宋_GBK"/>
          <w:bCs/>
          <w:sz w:val="32"/>
          <w:szCs w:val="32"/>
        </w:rPr>
        <w:t>径，我单位不在机关运行经费统计范围之内。</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（三）国有资产占用情况说明</w:t>
      </w:r>
    </w:p>
    <w:p>
      <w:pPr>
        <w:pStyle w:val="11"/>
        <w:autoSpaceDE w:val="0"/>
        <w:spacing w:line="600" w:lineRule="exact"/>
        <w:ind w:firstLine="64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截至202</w:t>
      </w:r>
      <w:r>
        <w:rPr>
          <w:rFonts w:hint="eastAsia"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spacing w:line="600" w:lineRule="exact"/>
        <w:ind w:firstLine="643"/>
        <w:rPr>
          <w:rFonts w:ascii="楷体" w:hAnsi="楷体" w:eastAsia="楷体" w:cs="楷体"/>
          <w:b/>
          <w:bCs/>
          <w:sz w:val="32"/>
          <w:szCs w:val="32"/>
          <w:shd w:val="clear" w:color="auto" w:fill="FFFFFF"/>
        </w:rPr>
      </w:pPr>
      <w:r>
        <w:rPr>
          <w:rFonts w:hint="eastAsia" w:ascii="方正楷体_GBK" w:hAnsi="楷体" w:eastAsia="方正楷体_GBK" w:cs="楷体"/>
          <w:b/>
          <w:bCs/>
          <w:sz w:val="32"/>
          <w:szCs w:val="32"/>
          <w:shd w:val="clear" w:color="auto" w:fill="FFFFFF"/>
        </w:rPr>
        <w:t>（四）政府采购支出情况说明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lang w:val="en-US" w:eastAsia="zh-CN"/>
        </w:rPr>
        <w:t>.00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lang w:val="en-US" w:eastAsia="zh-CN"/>
        </w:rPr>
        <w:t>.00</w:t>
      </w:r>
      <w:r>
        <w:rPr>
          <w:rFonts w:ascii="方正仿宋_GBK" w:hAnsi="方正仿宋_GBK" w:eastAsia="方正仿宋_GBK" w:cs="方正仿宋_GBK"/>
          <w:sz w:val="32"/>
          <w:szCs w:val="32"/>
          <w:shd w:val="clear" w:color="auto" w:fill="FFFFFF"/>
        </w:rPr>
        <w:t>%。2024年度我单位未发生政府采购事项，无相关经费支出。</w:t>
      </w:r>
    </w:p>
    <w:p>
      <w:pPr>
        <w:spacing w:line="600" w:lineRule="exact"/>
        <w:ind w:firstLine="640" w:firstLineChars="200"/>
        <w:rPr>
          <w:rFonts w:hint="default" w:ascii="Times New Roman" w:hAnsi="Times New Roman" w:eastAsia="方正黑体_GBK"/>
          <w:sz w:val="32"/>
        </w:rPr>
      </w:pPr>
      <w:r>
        <w:rPr>
          <w:rFonts w:ascii="Times New Roman" w:hAnsi="Times New Roman" w:eastAsia="方正黑体_GBK"/>
          <w:sz w:val="32"/>
        </w:rPr>
        <w:t>五、2024年度预算绩效管理情况说明</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（一）单位自评情况</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hint="eastAsia" w:ascii="方正仿宋_GBK" w:hAnsi="方正仿宋_GBK" w:eastAsia="方正仿宋_GBK" w:cs="方正仿宋_GBK"/>
          <w:sz w:val="32"/>
          <w:szCs w:val="32"/>
          <w:shd w:val="clear" w:color="auto" w:fill="FFFFFF"/>
        </w:rPr>
        <w:t>根据预算绩效管理要求，我单位对14个二级项目开展了绩效自评，涉及财政拨款项目支出资金97.11万元。</w:t>
      </w:r>
    </w:p>
    <w:p>
      <w:pPr>
        <w:pStyle w:val="11"/>
        <w:widowControl w:val="0"/>
        <w:autoSpaceDE w:val="0"/>
        <w:spacing w:line="600" w:lineRule="atLeast"/>
        <w:ind w:firstLine="640"/>
        <w:rPr>
          <w:rFonts w:ascii="方正楷体_GBK" w:hAnsi="楷体" w:eastAsia="方正楷体_GBK" w:cs="楷体"/>
          <w:b/>
          <w:bCs/>
          <w:sz w:val="32"/>
          <w:szCs w:val="32"/>
          <w:shd w:val="clear" w:color="auto" w:fill="FFFFFF"/>
          <w:lang w:bidi="ar"/>
        </w:rPr>
      </w:pPr>
    </w:p>
    <w:p>
      <w:pPr>
        <w:pStyle w:val="12"/>
        <w:keepNext w:val="0"/>
        <w:keepLines w:val="0"/>
        <w:pageBreakBefore w:val="0"/>
        <w:widowControl/>
        <w:kinsoku/>
        <w:wordWrap/>
        <w:overflowPunct/>
        <w:topLinePunct w:val="0"/>
        <w:autoSpaceDE w:val="0"/>
        <w:autoSpaceDN/>
        <w:bidi w:val="0"/>
        <w:adjustRightInd/>
        <w:snapToGrid/>
        <w:spacing w:before="0" w:beforeAutospacing="0" w:line="600" w:lineRule="exact"/>
        <w:ind w:firstLine="640" w:firstLineChars="200"/>
        <w:textAlignment w:val="auto"/>
        <w:rPr>
          <w:rFonts w:ascii="方正仿宋_GBK" w:eastAsia="方正仿宋_GBK"/>
          <w:bCs/>
          <w:color w:val="000000"/>
          <w:sz w:val="32"/>
          <w:szCs w:val="32"/>
        </w:rPr>
        <w:sectPr>
          <w:pgSz w:w="11915" w:h="16840"/>
          <w:pgMar w:top="1440" w:right="1800" w:bottom="1440" w:left="1800" w:header="851" w:footer="992" w:gutter="0"/>
          <w:pgNumType w:fmt="numberInDash"/>
          <w:cols w:space="720" w:num="1"/>
          <w:docGrid w:type="lines" w:linePitch="312" w:charSpace="0"/>
        </w:sectPr>
      </w:pPr>
    </w:p>
    <w:p>
      <w:pPr>
        <w:rPr>
          <w:rFonts w:hint="default" w:ascii="楷体" w:hAnsi="楷体" w:eastAsia="楷体" w:cs="宋体"/>
          <w:b/>
          <w:bCs/>
          <w:color w:val="000000"/>
          <w:sz w:val="32"/>
          <w:szCs w:val="32"/>
          <w:shd w:val="clear" w:color="auto" w:fill="FFFFFF"/>
        </w:rPr>
        <w:sectPr>
          <w:pgSz w:w="11915" w:h="16840"/>
          <w:pgMar w:top="1440" w:right="1800" w:bottom="1440" w:left="1800" w:header="851" w:footer="992" w:gutter="0"/>
          <w:pgNumType w:fmt="numberInDash"/>
          <w:cols w:space="720" w:num="1"/>
          <w:docGrid w:type="lines" w:linePitch="312" w:charSpace="0"/>
        </w:sectPr>
      </w:pPr>
      <w:r>
        <w:drawing>
          <wp:inline distT="0" distB="0" distL="114300" distR="114300">
            <wp:extent cx="5291455" cy="4938395"/>
            <wp:effectExtent l="0" t="0" r="4445" b="508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5291455" cy="4938395"/>
                    </a:xfrm>
                    <a:prstGeom prst="rect">
                      <a:avLst/>
                    </a:prstGeom>
                    <a:noFill/>
                    <a:ln>
                      <a:noFill/>
                    </a:ln>
                  </pic:spPr>
                </pic:pic>
              </a:graphicData>
            </a:graphic>
          </wp:inline>
        </w:drawing>
      </w:r>
      <w:r>
        <w:t xml:space="preserve"> </w:t>
      </w:r>
      <w:r>
        <w:drawing>
          <wp:inline distT="0" distB="0" distL="114300" distR="114300">
            <wp:extent cx="5392420" cy="4946015"/>
            <wp:effectExtent l="0" t="0" r="8255"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392420" cy="4946015"/>
                    </a:xfrm>
                    <a:prstGeom prst="rect">
                      <a:avLst/>
                    </a:prstGeom>
                    <a:noFill/>
                    <a:ln>
                      <a:noFill/>
                    </a:ln>
                  </pic:spPr>
                </pic:pic>
              </a:graphicData>
            </a:graphic>
          </wp:inline>
        </w:drawing>
      </w:r>
    </w:p>
    <w:p>
      <w:pPr>
        <w:pStyle w:val="11"/>
        <w:ind w:firstLine="643"/>
        <w:rPr>
          <w:rFonts w:ascii="方正楷体_GBK" w:hAnsi="楷体" w:eastAsia="方正楷体_GBK" w:cs="楷体"/>
          <w:b/>
          <w:bCs/>
          <w:color w:val="000000"/>
          <w:sz w:val="32"/>
          <w:szCs w:val="32"/>
          <w:shd w:val="clear" w:color="auto" w:fill="FFFFFF"/>
        </w:rPr>
      </w:pPr>
      <w:r>
        <w:rPr>
          <w:rFonts w:hint="eastAsia" w:ascii="方正楷体_GBK" w:hAnsi="楷体" w:eastAsia="方正楷体_GBK" w:cs="楷体"/>
          <w:b/>
          <w:bCs/>
          <w:color w:val="000000"/>
          <w:sz w:val="32"/>
          <w:szCs w:val="32"/>
          <w:shd w:val="clear" w:color="auto" w:fill="FFFFFF"/>
        </w:rPr>
        <w:t>（二）单位绩效评价情况</w:t>
      </w:r>
    </w:p>
    <w:p>
      <w:pPr>
        <w:pStyle w:val="11"/>
        <w:ind w:firstLine="640"/>
        <w:rPr>
          <w:rFonts w:ascii="方正仿宋_GBK" w:eastAsia="方正仿宋_GBK"/>
          <w:color w:val="000000"/>
          <w:sz w:val="32"/>
          <w:szCs w:val="32"/>
          <w:shd w:val="clear" w:color="auto" w:fill="FFFFFF"/>
        </w:rPr>
      </w:pPr>
      <w:r>
        <w:rPr>
          <w:rFonts w:hint="eastAsia" w:ascii="方正仿宋_GBK" w:eastAsia="方正仿宋_GBK"/>
          <w:color w:val="000000"/>
          <w:sz w:val="32"/>
          <w:szCs w:val="32"/>
          <w:shd w:val="clear" w:color="auto" w:fill="FFFFFF"/>
        </w:rPr>
        <w:t>我单位未组织开展绩效评价。</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（三）财政绩效评价情况</w:t>
      </w:r>
    </w:p>
    <w:p>
      <w:pPr>
        <w:pStyle w:val="6"/>
        <w:snapToGrid w:val="0"/>
        <w:spacing w:before="0" w:beforeAutospacing="0" w:after="0" w:afterAutospacing="0" w:line="600" w:lineRule="exact"/>
        <w:ind w:firstLine="640" w:firstLineChars="200"/>
        <w:jc w:val="both"/>
        <w:rPr>
          <w:rStyle w:val="10"/>
          <w:rFonts w:hint="default" w:ascii="方正黑体_GBK" w:hAnsi="黑体" w:eastAsia="方正黑体_GBK" w:cs="黑体"/>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县财政局未委托第三方对我单位开展绩效评价。</w:t>
      </w:r>
    </w:p>
    <w:p>
      <w:pPr>
        <w:spacing w:line="600" w:lineRule="exact"/>
        <w:ind w:firstLine="640" w:firstLineChars="200"/>
        <w:rPr>
          <w:rFonts w:hint="default" w:ascii="Times New Roman" w:hAnsi="Times New Roman" w:eastAsia="方正黑体_GBK"/>
          <w:sz w:val="32"/>
        </w:rPr>
      </w:pPr>
      <w:r>
        <w:rPr>
          <w:rFonts w:ascii="Times New Roman" w:hAnsi="Times New Roman" w:eastAsia="方正黑体_GBK"/>
          <w:sz w:val="32"/>
        </w:rPr>
        <w:t>六、专业名词解释</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w:t>
      </w:r>
      <w:bookmarkStart w:id="0" w:name="_GoBack"/>
      <w:bookmarkEnd w:id="0"/>
      <w:r>
        <w:rPr>
          <w:rFonts w:ascii="方正仿宋_GBK" w:hAnsi="方正仿宋_GBK" w:eastAsia="方正仿宋_GBK" w:cs="方正仿宋_GBK"/>
          <w:sz w:val="32"/>
          <w:szCs w:val="32"/>
          <w:shd w:val="clear" w:color="auto" w:fill="FFFFFF"/>
        </w:rPr>
        <w:t>“事业收入”“经营收入”“其他收入”等不足以安排当年支出的情况下，使用以前年度积累的非财政拨款结余弥补本年度收支缺口的资金。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七、决算公开联系方式及信息反馈渠道</w:t>
      </w:r>
    </w:p>
    <w:p>
      <w:pPr>
        <w:pStyle w:val="6"/>
        <w:shd w:val="clear" w:color="auto" w:fill="FFFFFF"/>
        <w:spacing w:before="0" w:beforeAutospacing="0" w:after="0" w:afterAutospacing="0" w:line="600" w:lineRule="exact"/>
        <w:ind w:firstLine="640" w:firstLineChars="200"/>
        <w:rPr>
          <w:rFonts w:ascii="方正黑体_GBK" w:hAnsi="方正仿宋_GBK" w:eastAsia="方正黑体_GBK" w:cs="方正仿宋_GBK"/>
          <w:b/>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pPr>
        <w:pStyle w:val="11"/>
        <w:autoSpaceDE w:val="0"/>
        <w:spacing w:line="600" w:lineRule="exact"/>
        <w:ind w:firstLine="640"/>
        <w:jc w:val="both"/>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sz w:val="32"/>
          <w:szCs w:val="32"/>
          <w:shd w:val="clear" w:color="auto" w:fill="FFFFFF"/>
        </w:rPr>
        <w:t>江老师：023-74598999</w:t>
      </w: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单位：</w:t>
            </w:r>
            <w:r>
              <w:rPr>
                <w:sz w:val="20"/>
              </w:rPr>
              <w:t>垫江县三溪小学校</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1,027.22</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15.81</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750.24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23.77</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247.94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40.47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1,066.81</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1,072.38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6.25</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1,073.06</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1,073.06</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211" w:type="dxa"/>
        <w:tblInd w:w="0" w:type="dxa"/>
        <w:tblLayout w:type="fixed"/>
        <w:tblCellMar>
          <w:top w:w="0" w:type="dxa"/>
          <w:left w:w="0" w:type="dxa"/>
          <w:bottom w:w="0" w:type="dxa"/>
          <w:right w:w="0" w:type="dxa"/>
        </w:tblCellMar>
      </w:tblPr>
      <w:tblGrid>
        <w:gridCol w:w="1429"/>
        <w:gridCol w:w="3549"/>
        <w:gridCol w:w="1300"/>
        <w:gridCol w:w="1400"/>
        <w:gridCol w:w="1283"/>
        <w:gridCol w:w="1107"/>
        <w:gridCol w:w="1460"/>
        <w:gridCol w:w="1293"/>
        <w:gridCol w:w="1349"/>
        <w:gridCol w:w="1041"/>
      </w:tblGrid>
      <w:tr>
        <w:tblPrEx>
          <w:tblLayout w:type="fixed"/>
          <w:tblCellMar>
            <w:top w:w="0" w:type="dxa"/>
            <w:left w:w="0" w:type="dxa"/>
            <w:bottom w:w="0" w:type="dxa"/>
            <w:right w:w="0" w:type="dxa"/>
          </w:tblCellMar>
        </w:tblPrEx>
        <w:trPr>
          <w:trHeight w:val="641" w:hRule="atLeast"/>
        </w:trPr>
        <w:tc>
          <w:tcPr>
            <w:tcW w:w="15211"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278"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sz w:val="20"/>
              </w:rPr>
              <w:t>垫江县三溪小学校</w:t>
            </w:r>
          </w:p>
        </w:tc>
        <w:tc>
          <w:tcPr>
            <w:tcW w:w="14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8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6278"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8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40" w:hRule="exact"/>
        </w:trPr>
        <w:tc>
          <w:tcPr>
            <w:tcW w:w="4978"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0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40" w:hRule="exact"/>
        </w:trPr>
        <w:tc>
          <w:tcPr>
            <w:tcW w:w="142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49"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40" w:hRule="exac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4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40" w:hRule="exac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4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40" w:hRule="exac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4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40" w:hRule="exact"/>
        </w:trPr>
        <w:tc>
          <w:tcPr>
            <w:tcW w:w="497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1,066.81</w:t>
            </w:r>
            <w:r>
              <w:rPr>
                <w:rFonts w:ascii="Times New Roman" w:hAnsi="Times New Roman"/>
                <w:b/>
                <w:color w:val="000000"/>
                <w:sz w:val="20"/>
              </w:rPr>
              <w:t xml:space="preserve"> </w:t>
            </w:r>
          </w:p>
        </w:tc>
        <w:tc>
          <w:tcPr>
            <w:tcW w:w="14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1,027.22</w:t>
            </w:r>
            <w:r>
              <w:rPr>
                <w:rFonts w:ascii="Times New Roman" w:hAnsi="Times New Roman"/>
                <w:b/>
                <w:color w:val="000000"/>
                <w:sz w:val="20"/>
              </w:rPr>
              <w:t xml:space="preserve"> </w:t>
            </w:r>
          </w:p>
        </w:tc>
        <w:tc>
          <w:tcPr>
            <w:tcW w:w="1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15.81</w:t>
            </w:r>
            <w:r>
              <w:rPr>
                <w:rFonts w:ascii="Times New Roman" w:hAnsi="Times New Roman"/>
                <w:b/>
                <w:color w:val="000000"/>
                <w:sz w:val="20"/>
              </w:rPr>
              <w:t xml:space="preserve"> </w:t>
            </w:r>
          </w:p>
        </w:tc>
        <w:tc>
          <w:tcPr>
            <w:tcW w:w="1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15.81</w:t>
            </w:r>
            <w:r>
              <w:rPr>
                <w:rFonts w:ascii="Times New Roman" w:hAnsi="Times New Roman"/>
                <w:b/>
                <w:color w:val="000000"/>
                <w:sz w:val="20"/>
              </w:rPr>
              <w:t xml:space="preserve"> </w:t>
            </w:r>
          </w:p>
        </w:tc>
        <w:tc>
          <w:tcPr>
            <w:tcW w:w="1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0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23.77</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744.68</w:t>
            </w:r>
            <w:r>
              <w:rPr>
                <w:rFonts w:ascii="Times New Roman" w:hAnsi="Times New Roman"/>
                <w:b/>
                <w:color w:val="000000"/>
                <w:sz w:val="20"/>
              </w:rPr>
              <w:t xml:space="preserve"> </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705.09</w:t>
            </w:r>
            <w:r>
              <w:rPr>
                <w:rFonts w:ascii="Times New Roman" w:hAnsi="Times New Roman"/>
                <w:b/>
                <w:color w:val="000000"/>
                <w:sz w:val="20"/>
              </w:rPr>
              <w:t xml:space="preserve"> </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15.81</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15.81</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23.77</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743.03</w:t>
            </w:r>
            <w:r>
              <w:rPr>
                <w:rFonts w:ascii="Times New Roman" w:hAnsi="Times New Roman"/>
                <w:b/>
                <w:color w:val="000000"/>
                <w:sz w:val="20"/>
              </w:rPr>
              <w:t xml:space="preserve"> </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703.44</w:t>
            </w:r>
            <w:r>
              <w:rPr>
                <w:rFonts w:ascii="Times New Roman" w:hAnsi="Times New Roman"/>
                <w:b/>
                <w:color w:val="000000"/>
                <w:sz w:val="20"/>
              </w:rPr>
              <w:t xml:space="preserve"> </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15.81</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15.81</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23.77</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23.36</w:t>
            </w:r>
            <w:r>
              <w:rPr>
                <w:rFonts w:ascii="Times New Roman" w:hAnsi="Times New Roman"/>
                <w:color w:val="000000"/>
                <w:sz w:val="20"/>
              </w:rPr>
              <w:t xml:space="preserve"> </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7.54</w:t>
            </w:r>
            <w:r>
              <w:rPr>
                <w:rFonts w:ascii="Times New Roman" w:hAnsi="Times New Roman"/>
                <w:color w:val="000000"/>
                <w:sz w:val="20"/>
              </w:rPr>
              <w:t xml:space="preserve"> </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15.81</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15.81</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719.67</w:t>
            </w:r>
            <w:r>
              <w:rPr>
                <w:rFonts w:ascii="Times New Roman" w:hAnsi="Times New Roman"/>
                <w:color w:val="000000"/>
                <w:sz w:val="20"/>
              </w:rPr>
              <w:t xml:space="preserve"> </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695.90</w:t>
            </w:r>
            <w:r>
              <w:rPr>
                <w:rFonts w:ascii="Times New Roman" w:hAnsi="Times New Roman"/>
                <w:color w:val="000000"/>
                <w:sz w:val="20"/>
              </w:rPr>
              <w:t xml:space="preserve"> </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w:t>
            </w:r>
            <w:r>
              <w:rPr>
                <w:rFonts w:ascii="Times New Roman" w:hAnsi="Times New Roman"/>
                <w:b/>
                <w:color w:val="000000"/>
                <w:sz w:val="20"/>
              </w:rPr>
              <w:t xml:space="preserve"> </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w:t>
            </w:r>
            <w:r>
              <w:rPr>
                <w:rFonts w:ascii="Times New Roman" w:hAnsi="Times New Roman"/>
                <w:b/>
                <w:color w:val="000000"/>
                <w:sz w:val="20"/>
              </w:rPr>
              <w:t xml:space="preserve"> </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w:t>
            </w:r>
            <w:r>
              <w:rPr>
                <w:rFonts w:ascii="Times New Roman" w:hAnsi="Times New Roman"/>
                <w:color w:val="000000"/>
                <w:sz w:val="20"/>
              </w:rPr>
              <w:t xml:space="preserve"> </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w:t>
            </w:r>
            <w:r>
              <w:rPr>
                <w:rFonts w:ascii="Times New Roman" w:hAnsi="Times New Roman"/>
                <w:color w:val="000000"/>
                <w:sz w:val="20"/>
              </w:rPr>
              <w:t xml:space="preserve"> </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247.94</w:t>
            </w:r>
            <w:r>
              <w:rPr>
                <w:rFonts w:ascii="Times New Roman" w:hAnsi="Times New Roman"/>
                <w:b/>
                <w:color w:val="000000"/>
                <w:sz w:val="20"/>
              </w:rPr>
              <w:t xml:space="preserve"> </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247.94</w:t>
            </w:r>
            <w:r>
              <w:rPr>
                <w:rFonts w:ascii="Times New Roman" w:hAnsi="Times New Roman"/>
                <w:b/>
                <w:color w:val="000000"/>
                <w:sz w:val="20"/>
              </w:rPr>
              <w:t xml:space="preserve"> </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7.99</w:t>
            </w:r>
            <w:r>
              <w:rPr>
                <w:rFonts w:ascii="Times New Roman" w:hAnsi="Times New Roman"/>
                <w:b/>
                <w:color w:val="000000"/>
                <w:sz w:val="20"/>
              </w:rPr>
              <w:t xml:space="preserve"> </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7.99</w:t>
            </w:r>
            <w:r>
              <w:rPr>
                <w:rFonts w:ascii="Times New Roman" w:hAnsi="Times New Roman"/>
                <w:b/>
                <w:color w:val="000000"/>
                <w:sz w:val="20"/>
              </w:rPr>
              <w:t xml:space="preserve"> </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7.99</w:t>
            </w:r>
            <w:r>
              <w:rPr>
                <w:rFonts w:ascii="Times New Roman" w:hAnsi="Times New Roman"/>
                <w:color w:val="000000"/>
                <w:sz w:val="20"/>
              </w:rPr>
              <w:t xml:space="preserve"> </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7.99</w:t>
            </w:r>
            <w:r>
              <w:rPr>
                <w:rFonts w:ascii="Times New Roman" w:hAnsi="Times New Roman"/>
                <w:color w:val="000000"/>
                <w:sz w:val="20"/>
              </w:rPr>
              <w:t xml:space="preserve"> </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239.94</w:t>
            </w:r>
            <w:r>
              <w:rPr>
                <w:rFonts w:ascii="Times New Roman" w:hAnsi="Times New Roman"/>
                <w:b/>
                <w:color w:val="000000"/>
                <w:sz w:val="20"/>
              </w:rPr>
              <w:t xml:space="preserve"> </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239.94</w:t>
            </w:r>
            <w:r>
              <w:rPr>
                <w:rFonts w:ascii="Times New Roman" w:hAnsi="Times New Roman"/>
                <w:b/>
                <w:color w:val="000000"/>
                <w:sz w:val="20"/>
              </w:rPr>
              <w:t xml:space="preserve"> </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84.67</w:t>
            </w:r>
            <w:r>
              <w:rPr>
                <w:rFonts w:ascii="Times New Roman" w:hAnsi="Times New Roman"/>
                <w:color w:val="000000"/>
                <w:sz w:val="20"/>
              </w:rPr>
              <w:t xml:space="preserve"> </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84.67</w:t>
            </w:r>
            <w:r>
              <w:rPr>
                <w:rFonts w:ascii="Times New Roman" w:hAnsi="Times New Roman"/>
                <w:color w:val="000000"/>
                <w:sz w:val="20"/>
              </w:rPr>
              <w:t xml:space="preserve"> </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42.24</w:t>
            </w:r>
            <w:r>
              <w:rPr>
                <w:rFonts w:ascii="Times New Roman" w:hAnsi="Times New Roman"/>
                <w:color w:val="000000"/>
                <w:sz w:val="20"/>
              </w:rPr>
              <w:t xml:space="preserve"> </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42.24</w:t>
            </w:r>
            <w:r>
              <w:rPr>
                <w:rFonts w:ascii="Times New Roman" w:hAnsi="Times New Roman"/>
                <w:color w:val="000000"/>
                <w:sz w:val="20"/>
              </w:rPr>
              <w:t xml:space="preserve"> </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113.04</w:t>
            </w:r>
            <w:r>
              <w:rPr>
                <w:rFonts w:ascii="Times New Roman" w:hAnsi="Times New Roman"/>
                <w:color w:val="000000"/>
                <w:sz w:val="20"/>
              </w:rPr>
              <w:t xml:space="preserve"> </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113.04</w:t>
            </w:r>
            <w:r>
              <w:rPr>
                <w:rFonts w:ascii="Times New Roman" w:hAnsi="Times New Roman"/>
                <w:color w:val="000000"/>
                <w:sz w:val="20"/>
              </w:rPr>
              <w:t xml:space="preserve"> </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33.72</w:t>
            </w:r>
            <w:r>
              <w:rPr>
                <w:rFonts w:ascii="Times New Roman" w:hAnsi="Times New Roman"/>
                <w:b/>
                <w:color w:val="000000"/>
                <w:sz w:val="20"/>
              </w:rPr>
              <w:t xml:space="preserve"> </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33.72</w:t>
            </w:r>
            <w:r>
              <w:rPr>
                <w:rFonts w:ascii="Times New Roman" w:hAnsi="Times New Roman"/>
                <w:b/>
                <w:color w:val="000000"/>
                <w:sz w:val="20"/>
              </w:rPr>
              <w:t xml:space="preserve"> </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33.72</w:t>
            </w:r>
            <w:r>
              <w:rPr>
                <w:rFonts w:ascii="Times New Roman" w:hAnsi="Times New Roman"/>
                <w:b/>
                <w:color w:val="000000"/>
                <w:sz w:val="20"/>
              </w:rPr>
              <w:t xml:space="preserve"> </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33.72</w:t>
            </w:r>
            <w:r>
              <w:rPr>
                <w:rFonts w:ascii="Times New Roman" w:hAnsi="Times New Roman"/>
                <w:b/>
                <w:color w:val="000000"/>
                <w:sz w:val="20"/>
              </w:rPr>
              <w:t xml:space="preserve"> </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33.72</w:t>
            </w:r>
            <w:r>
              <w:rPr>
                <w:rFonts w:ascii="Times New Roman" w:hAnsi="Times New Roman"/>
                <w:color w:val="000000"/>
                <w:sz w:val="20"/>
              </w:rPr>
              <w:t xml:space="preserve"> </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33.72</w:t>
            </w:r>
            <w:r>
              <w:rPr>
                <w:rFonts w:ascii="Times New Roman" w:hAnsi="Times New Roman"/>
                <w:color w:val="000000"/>
                <w:sz w:val="20"/>
              </w:rPr>
              <w:t xml:space="preserve"> </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40.47</w:t>
            </w:r>
            <w:r>
              <w:rPr>
                <w:rFonts w:ascii="Times New Roman" w:hAnsi="Times New Roman"/>
                <w:b/>
                <w:color w:val="000000"/>
                <w:sz w:val="20"/>
              </w:rPr>
              <w:t xml:space="preserve"> </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40.47</w:t>
            </w:r>
            <w:r>
              <w:rPr>
                <w:rFonts w:ascii="Times New Roman" w:hAnsi="Times New Roman"/>
                <w:b/>
                <w:color w:val="000000"/>
                <w:sz w:val="20"/>
              </w:rPr>
              <w:t xml:space="preserve"> </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40.47</w:t>
            </w:r>
            <w:r>
              <w:rPr>
                <w:rFonts w:ascii="Times New Roman" w:hAnsi="Times New Roman"/>
                <w:b/>
                <w:color w:val="000000"/>
                <w:sz w:val="20"/>
              </w:rPr>
              <w:t xml:space="preserve"> </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40.47</w:t>
            </w:r>
            <w:r>
              <w:rPr>
                <w:rFonts w:ascii="Times New Roman" w:hAnsi="Times New Roman"/>
                <w:b/>
                <w:color w:val="000000"/>
                <w:sz w:val="20"/>
              </w:rPr>
              <w:t xml:space="preserve"> </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40.47</w:t>
            </w:r>
            <w:r>
              <w:rPr>
                <w:rFonts w:ascii="Times New Roman" w:hAnsi="Times New Roman"/>
                <w:color w:val="000000"/>
                <w:sz w:val="20"/>
              </w:rPr>
              <w:t xml:space="preserve"> </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40.47</w:t>
            </w:r>
            <w:r>
              <w:rPr>
                <w:rFonts w:ascii="Times New Roman" w:hAnsi="Times New Roman"/>
                <w:color w:val="000000"/>
                <w:sz w:val="20"/>
              </w:rPr>
              <w:t xml:space="preserve"> </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p>
    <w:tbl>
      <w:tblPr>
        <w:tblStyle w:val="7"/>
        <w:tblW w:w="15322" w:type="dxa"/>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3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垫江县三溪小学校 </w:t>
            </w:r>
          </w:p>
        </w:tc>
        <w:tc>
          <w:tcPr>
            <w:tcW w:w="17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3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40" w:hRule="exac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40" w:hRule="exact"/>
        </w:trPr>
        <w:tc>
          <w:tcPr>
            <w:tcW w:w="128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40" w:hRule="exac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40" w:hRule="exac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40" w:hRule="exac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40" w:hRule="exac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1,072.38</w:t>
            </w:r>
            <w:r>
              <w:rPr>
                <w:rFonts w:ascii="Times New Roman" w:hAnsi="Times New Roman"/>
                <w:b/>
                <w:color w:val="000000"/>
                <w:sz w:val="20"/>
              </w:rPr>
              <w:t xml:space="preserve"> </w:t>
            </w:r>
          </w:p>
        </w:tc>
        <w:tc>
          <w:tcPr>
            <w:tcW w:w="17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971.82</w:t>
            </w:r>
            <w:r>
              <w:rPr>
                <w:rFonts w:ascii="Times New Roman" w:hAnsi="Times New Roman"/>
                <w:b/>
                <w:color w:val="000000"/>
                <w:sz w:val="20"/>
              </w:rPr>
              <w:t xml:space="preserve"> </w:t>
            </w:r>
          </w:p>
        </w:tc>
        <w:tc>
          <w:tcPr>
            <w:tcW w:w="16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100.55</w:t>
            </w:r>
            <w:r>
              <w:rPr>
                <w:rFonts w:ascii="Times New Roman" w:hAnsi="Times New Roman"/>
                <w:b/>
                <w:color w:val="000000"/>
                <w:sz w:val="20"/>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750.24</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658.00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92.24</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748.60</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656.35</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92.24</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22.68</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15.13</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7.55</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725.92</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641.22</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84.70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247.94</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239.63</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8.31</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7.99</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7.99</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7.99</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7.99</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239.94</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239.63</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0.32</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84.67</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84.67</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42.24</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42.24</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113.04</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112.72</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0.32</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33.72</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33.72</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33.72</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33.72</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33.72</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33.72</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40.47</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40.47</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40.47</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40.47</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40.47</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40.47</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p>
    <w:p>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垫江县三溪小学校</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1,027.22</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705.09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705.09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247.94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247.94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33.72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33.72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40.47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40.47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1,027.22</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1,027.22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1,027.22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1,027.22</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1,027.22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1,027.22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322" w:type="dxa"/>
        <w:tblInd w:w="0" w:type="dxa"/>
        <w:tblLayout w:type="fixed"/>
        <w:tblCellMar>
          <w:top w:w="0" w:type="dxa"/>
          <w:left w:w="0" w:type="dxa"/>
          <w:bottom w:w="0" w:type="dxa"/>
          <w:right w:w="0" w:type="dxa"/>
        </w:tblCellMar>
      </w:tblPr>
      <w:tblGrid>
        <w:gridCol w:w="1306"/>
        <w:gridCol w:w="4073"/>
        <w:gridCol w:w="3306"/>
        <w:gridCol w:w="3297"/>
        <w:gridCol w:w="3340"/>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5"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垫江县三溪小学校</w:t>
            </w: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7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1,027.22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930.11</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97.11</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705.09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616.29</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88.80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703.44</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614.64</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88.80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695.90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613.60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82.30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1.65</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1.65</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247.94</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239.63</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8.31</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7.99</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239.94</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239.63</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0.32</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84.67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84.67</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42.24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42.24</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113.04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112.72</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33.72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33.72</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33.72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33.72</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33.72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33.72</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40.47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40.47</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40.47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40.47</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40.47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40.47</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cs="宋体"/>
          <w:sz w:val="20"/>
          <w:szCs w:val="20"/>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p>
    <w:tbl>
      <w:tblPr>
        <w:tblStyle w:val="7"/>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垫江县三溪小学校</w:t>
            </w:r>
          </w:p>
        </w:tc>
        <w:tc>
          <w:tcPr>
            <w:tcW w:w="141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800.75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16.64</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179.68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29.15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383.18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84.67</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42.24</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33.72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40.47</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112.72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99.92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4.44</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913.47</w:t>
            </w:r>
            <w:r>
              <w:rPr>
                <w:rFonts w:ascii="Times New Roman" w:hAnsi="Times New Roman"/>
                <w:color w:val="000000"/>
                <w:sz w:val="18"/>
              </w:rPr>
              <w:t xml:space="preserve"> </w:t>
            </w:r>
          </w:p>
        </w:tc>
        <w:tc>
          <w:tcPr>
            <w:tcW w:w="865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16.64</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垫江县三溪小学校</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垫江县三溪小学校</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30" w:type="dxa"/>
        <w:tblInd w:w="0" w:type="dxa"/>
        <w:tblLayout w:type="fixed"/>
        <w:tblCellMar>
          <w:top w:w="0" w:type="dxa"/>
          <w:left w:w="170" w:type="dxa"/>
          <w:bottom w:w="0" w:type="dxa"/>
          <w:right w:w="170" w:type="dxa"/>
        </w:tblCellMar>
      </w:tblPr>
      <w:tblGrid>
        <w:gridCol w:w="3176"/>
        <w:gridCol w:w="2416"/>
        <w:gridCol w:w="2374"/>
        <w:gridCol w:w="3671"/>
        <w:gridCol w:w="2493"/>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6"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4"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1"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3"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2"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垫江县三溪小学校</w:t>
            </w:r>
          </w:p>
        </w:tc>
        <w:tc>
          <w:tcPr>
            <w:tcW w:w="23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1"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86"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1.89</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7.15</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0" w:usb1="00000000" w:usb2="00000000" w:usb3="00000000" w:csb0="00000000" w:csb1="00000000"/>
  </w:font>
  <w:font w:name="方正黑体_GBK">
    <w:altName w:val="Arial Unicode MS"/>
    <w:panose1 w:val="02010600010101010101"/>
    <w:charset w:val="86"/>
    <w:family w:val="script"/>
    <w:pitch w:val="default"/>
    <w:sig w:usb0="00000000" w:usb1="00000000" w:usb2="00000000" w:usb3="00000000" w:csb0="00040000" w:csb1="00000000"/>
  </w:font>
  <w:font w:name="方正楷体_GBK">
    <w:panose1 w:val="02000000000000000000"/>
    <w:charset w:val="86"/>
    <w:family w:val="script"/>
    <w:pitch w:val="default"/>
    <w:sig w:usb0="00000000" w:usb1="00000000" w:usb2="00000000" w:usb3="00000000" w:csb0="00000000" w:csb1="00000000"/>
  </w:font>
  <w:font w:name="方正仿宋_GBK">
    <w:panose1 w:val="02000000000000000000"/>
    <w:charset w:val="86"/>
    <w:family w:val="script"/>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- 8 -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4098" o:spid="_x0000_s4098" o:spt="202" type="#_x0000_t202" style="position:absolute;left:0pt;margin-top:0pt;height:144pt;width:144pt;mso-position-horizontal:center;mso-position-horizontal-relative:margin;mso-wrap-style:none;z-index:251661312;mso-width-relative:page;mso-height-relative:page;" filled="f" stroked="f" coordsize="21600,21600" o:allowoverlap="f">
          <v:path/>
          <v:fill on="f" focussize="0,0"/>
          <v:stroke on="f" weight="0.5pt" joinstyle="miter"/>
          <v:imagedata o:title=""/>
          <o:lock v:ext="edit"/>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11 -</w:t>
                </w:r>
                <w:r>
                  <w:fldChar w:fldCharType="end"/>
                </w:r>
                <w:r>
                  <w:t xml:space="preserve"> </w:t>
                </w:r>
              </w:p>
            </w:txbxContent>
          </v:textbox>
        </v:shape>
      </w:pict>
    </w:r>
    <w:r>
      <w:rPr>
        <w:rFonts w:hint="default"/>
      </w:rPr>
      <w:pict>
        <v:shape id="_x0000_s4099" o:spid="_x0000_s4099"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HorizontalSpacing w:val="120"/>
  <w:drawingGridVerticalSpacing w:val="163"/>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B2350"/>
    <w:rsid w:val="001D3BB7"/>
    <w:rsid w:val="002B254B"/>
    <w:rsid w:val="0034050A"/>
    <w:rsid w:val="003629E7"/>
    <w:rsid w:val="00437E26"/>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322B5"/>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5636BA"/>
    <w:rsid w:val="3F694D83"/>
    <w:rsid w:val="3F7E232B"/>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BAD1099"/>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5F3D0084"/>
    <w:rsid w:val="60B76F6D"/>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22</Pages>
  <Words>8516</Words>
  <Characters>11145</Characters>
  <Lines>100</Lines>
  <Paragraphs>28</Paragraphs>
  <TotalTime>24</TotalTime>
  <ScaleCrop>false</ScaleCrop>
  <LinksUpToDate>false</LinksUpToDate>
  <CharactersWithSpaces>12217</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2025-09-22T09:11:04Z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BB46EABDBB2749749395447164B066B3_12</vt:lpwstr>
  </property>
  <property fmtid="{D5CDD505-2E9C-101B-9397-08002B2CF9AE}" pid="4" name="KSOTemplateDocerSaveRecord">
    <vt:lpwstr>eyJoZGlkIjoiNjM0Zjk5YTc4NjQ1NmYyOGViZjRkNWIzZWJhYTE3YWEiLCJ1c2VySWQiOiIzODk0NTM2OTAifQ==</vt:lpwstr>
  </property>
</Properties>
</file>