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垫江县澄溪中心幼儿园</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600" w:lineRule="exact"/>
        <w:ind w:firstLine="643" w:firstLineChars="200"/>
        <w:rPr>
          <w:rStyle w:val="10"/>
          <w:rFonts w:ascii="方正黑体_GBK" w:eastAsia="方正黑体_GBK"/>
          <w:sz w:val="32"/>
          <w:szCs w:val="32"/>
        </w:rPr>
      </w:pPr>
    </w:p>
    <w:p>
      <w:pPr>
        <w:spacing w:line="600" w:lineRule="exact"/>
        <w:ind w:firstLine="640" w:firstLineChars="200"/>
        <w:rPr>
          <w:rStyle w:val="10"/>
          <w:rFonts w:hint="default" w:ascii="方正黑体_GBK" w:eastAsia="方正黑体_GBK"/>
          <w:b w:val="0"/>
          <w:bCs/>
          <w:sz w:val="32"/>
          <w:szCs w:val="32"/>
        </w:rPr>
      </w:pPr>
      <w:r>
        <w:rPr>
          <w:rStyle w:val="10"/>
          <w:rFonts w:ascii="方正黑体_GBK" w:eastAsia="方正黑体_GBK"/>
          <w:b w:val="0"/>
          <w:bCs/>
          <w:sz w:val="32"/>
          <w:szCs w:val="32"/>
        </w:rPr>
        <w:t>一、单位基本情况</w:t>
      </w:r>
    </w:p>
    <w:p>
      <w:pPr>
        <w:spacing w:line="600" w:lineRule="exact"/>
        <w:ind w:firstLine="643" w:firstLineChars="200"/>
        <w:rPr>
          <w:rFonts w:hint="default" w:hAnsi="方正仿宋_GBK" w:cs="方正仿宋_GBK"/>
        </w:rPr>
      </w:pPr>
      <w:r>
        <w:rPr>
          <w:rStyle w:val="10"/>
          <w:rFonts w:ascii="方正楷体_GBK" w:hAnsi="楷体" w:eastAsia="方正楷体_GBK" w:cs="楷体"/>
          <w:sz w:val="32"/>
          <w:szCs w:val="32"/>
          <w:shd w:val="clear" w:color="auto" w:fill="FFFFFF"/>
        </w:rPr>
        <w:t>（一）职能职责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sz w:val="32"/>
        </w:rPr>
        <w:t>负责为学龄前儿童提供保育和教育工作；全面推动素质教育；负责学校卫生、安全、稳定；学校经费和校产管理；师资队伍建设。</w:t>
      </w:r>
    </w:p>
    <w:p>
      <w:pPr>
        <w:spacing w:line="600" w:lineRule="exact"/>
        <w:ind w:firstLine="643" w:firstLineChars="200"/>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（二）机构设置</w:t>
      </w:r>
    </w:p>
    <w:p>
      <w:pPr>
        <w:pStyle w:val="6"/>
        <w:snapToGrid w:val="0"/>
        <w:spacing w:before="0" w:beforeAutospacing="0" w:after="0" w:afterAutospacing="0" w:line="600" w:lineRule="exact"/>
        <w:ind w:firstLine="640" w:firstLineChars="200"/>
        <w:jc w:val="both"/>
        <w:rPr>
          <w:rFonts w:hint="default" w:eastAsia="方正仿宋_GBK"/>
          <w:sz w:val="32"/>
        </w:rPr>
      </w:pPr>
      <w:r>
        <w:rPr>
          <w:rFonts w:ascii="Times New Roman" w:hAnsi="Times New Roman" w:eastAsia="方正仿宋_GBK"/>
          <w:sz w:val="32"/>
        </w:rPr>
        <w:t>本单位内设机构包含：教务处、后勤处。经费形式：财政全额拨款。领导职数：单位领导职数5名，其中：园长1名、副园长1名；内设机构领导职数3名。</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11"/>
        <w:autoSpaceDE w:val="0"/>
        <w:spacing w:line="600" w:lineRule="exact"/>
        <w:ind w:firstLine="643"/>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2024年度收入总计881.64万元，支出总计</w:t>
      </w:r>
      <w:r>
        <w:rPr>
          <w:rFonts w:ascii="方正仿宋_GBK" w:hAnsi="方正仿宋_GBK" w:eastAsia="方正仿宋_GBK" w:cs="方正仿宋_GBK"/>
          <w:sz w:val="32"/>
          <w:szCs w:val="32"/>
        </w:rPr>
        <w:t>881.64</w:t>
      </w:r>
      <w:r>
        <w:rPr>
          <w:rFonts w:ascii="方正仿宋_GBK" w:hAnsi="方正仿宋_GBK" w:eastAsia="方正仿宋_GBK" w:cs="方正仿宋_GBK"/>
          <w:sz w:val="32"/>
          <w:szCs w:val="32"/>
          <w:shd w:val="clear" w:color="auto" w:fill="FFFFFF"/>
        </w:rPr>
        <w:t>万元。收、支与2023年度相比，增加134.10万元，增长17.94%，主要原因是财政使用政府性基金支付土地偿还金。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2024年度收入合计881.64万元，与2023年度相比，增加251.91万元，增长40.00%，主要原因是财政使用政府性基金支付土地偿还金。其中：财政拨款收入</w:t>
      </w:r>
      <w:r>
        <w:rPr>
          <w:rFonts w:ascii="方正仿宋_GBK" w:hAnsi="方正仿宋_GBK" w:eastAsia="方正仿宋_GBK" w:cs="方正仿宋_GBK"/>
          <w:sz w:val="32"/>
          <w:szCs w:val="32"/>
        </w:rPr>
        <w:t>594.16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67.39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208.59</w:t>
      </w:r>
      <w:r>
        <w:rPr>
          <w:rFonts w:ascii="方正仿宋_GBK" w:hAnsi="方正仿宋_GBK" w:eastAsia="方正仿宋_GBK" w:cs="方正仿宋_GBK"/>
          <w:sz w:val="32"/>
          <w:szCs w:val="32"/>
          <w:shd w:val="clear" w:color="auto" w:fill="FFFFFF"/>
        </w:rPr>
        <w:t>万元，占23.66%；经营收入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78.88</w:t>
      </w:r>
      <w:r>
        <w:rPr>
          <w:rFonts w:ascii="方正仿宋_GBK" w:hAnsi="方正仿宋_GBK" w:eastAsia="方正仿宋_GBK" w:cs="方正仿宋_GBK"/>
          <w:sz w:val="32"/>
          <w:szCs w:val="32"/>
          <w:shd w:val="clear" w:color="auto" w:fill="FFFFFF"/>
        </w:rPr>
        <w:t>万元，占8.95%。此外，使用非财政拨款结余和专用结余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811.83</w:t>
      </w:r>
      <w:r>
        <w:rPr>
          <w:rFonts w:ascii="方正仿宋_GBK" w:hAnsi="方正仿宋_GBK" w:eastAsia="方正仿宋_GBK" w:cs="方正仿宋_GBK"/>
          <w:sz w:val="32"/>
          <w:szCs w:val="32"/>
          <w:shd w:val="clear" w:color="auto" w:fill="FFFFFF"/>
        </w:rPr>
        <w:t>万元，与2023年度相比，增加228.53万元，增长39.18%，主要原因是财政使用政府性基金支付土地偿还金。其中：基本支出</w:t>
      </w:r>
      <w:r>
        <w:rPr>
          <w:rFonts w:ascii="方正仿宋_GBK" w:hAnsi="方正仿宋_GBK" w:eastAsia="方正仿宋_GBK" w:cs="方正仿宋_GBK"/>
          <w:sz w:val="32"/>
          <w:szCs w:val="32"/>
        </w:rPr>
        <w:t>441.60</w:t>
      </w:r>
      <w:r>
        <w:rPr>
          <w:rFonts w:ascii="方正仿宋_GBK" w:hAnsi="方正仿宋_GBK" w:eastAsia="方正仿宋_GBK" w:cs="方正仿宋_GBK"/>
          <w:sz w:val="32"/>
          <w:szCs w:val="32"/>
          <w:shd w:val="clear" w:color="auto" w:fill="FFFFFF"/>
        </w:rPr>
        <w:t>万元，占54.40%；项目支出</w:t>
      </w:r>
      <w:r>
        <w:rPr>
          <w:rFonts w:ascii="方正仿宋_GBK" w:hAnsi="方正仿宋_GBK" w:eastAsia="方正仿宋_GBK" w:cs="方正仿宋_GBK"/>
          <w:sz w:val="32"/>
          <w:szCs w:val="32"/>
        </w:rPr>
        <w:t>370.23</w:t>
      </w:r>
      <w:r>
        <w:rPr>
          <w:rFonts w:ascii="方正仿宋_GBK" w:hAnsi="方正仿宋_GBK" w:eastAsia="方正仿宋_GBK" w:cs="方正仿宋_GBK"/>
          <w:sz w:val="32"/>
          <w:szCs w:val="32"/>
          <w:shd w:val="clear" w:color="auto" w:fill="FFFFFF"/>
        </w:rPr>
        <w:t>万元，占45.60%；经营支出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69.81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2024年度财政拨款收、支总计594.16万元。与2023年相比，财政拨款收、支总计各增加267.46万元，增长81.87%。主要原因是财政使用政府性基金支付土地偿还金。</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314.95</w:t>
      </w:r>
      <w:r>
        <w:rPr>
          <w:rFonts w:ascii="方正仿宋_GBK" w:hAnsi="方正仿宋_GBK" w:eastAsia="方正仿宋_GBK" w:cs="方正仿宋_GBK"/>
          <w:sz w:val="32"/>
          <w:szCs w:val="32"/>
          <w:shd w:val="clear" w:color="auto" w:fill="FFFFFF"/>
        </w:rPr>
        <w:t>万元，与2023年度相比，减少11.75万元，下降3.60%。主要原因是2023年清算补发以前年度超额绩效。较年初预算数增加63.79万元，增长25.40%。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314.95</w:t>
      </w:r>
      <w:r>
        <w:rPr>
          <w:rFonts w:ascii="方正仿宋_GBK" w:hAnsi="方正仿宋_GBK" w:eastAsia="方正仿宋_GBK" w:cs="方正仿宋_GBK"/>
          <w:sz w:val="32"/>
          <w:szCs w:val="32"/>
          <w:shd w:val="clear" w:color="auto" w:fill="FFFFFF"/>
        </w:rPr>
        <w:t>万元，与2023年度相比，减少11.75万元，下降3.60%。主要原因是2023年清算补发以前年度超额绩效。较年初预算数增加63.79万元，增长25.40%。主要原因是超额绩效纳入养老保险和职业年金基数。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257.38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81.72</w:t>
      </w:r>
      <w:r>
        <w:rPr>
          <w:rFonts w:ascii="方正仿宋_GBK" w:hAnsi="方正仿宋_GBK" w:eastAsia="方正仿宋_GBK" w:cs="方正仿宋_GBK"/>
          <w:sz w:val="32"/>
          <w:szCs w:val="32"/>
          <w:shd w:val="clear" w:color="auto" w:fill="FFFFFF"/>
        </w:rPr>
        <w:t>%，较年初预算数增加53.81万元，增长26.43%，主要原因是本年预算执行中因教职工正常晋升、岗位职级变化等人员经费增加所致。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36.12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11.47</w:t>
      </w:r>
      <w:r>
        <w:rPr>
          <w:rFonts w:ascii="方正仿宋_GBK" w:hAnsi="方正仿宋_GBK" w:eastAsia="方正仿宋_GBK" w:cs="方正仿宋_GBK"/>
          <w:sz w:val="32"/>
          <w:szCs w:val="32"/>
          <w:shd w:val="clear" w:color="auto" w:fill="FFFFFF"/>
        </w:rPr>
        <w:t>%，较年初预算数增加9.92万元，增长37.86%，主要原因是本年预算执行中将超额绩效纳入养老保险和职业年金基数增加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9.75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3.10</w:t>
      </w:r>
      <w:r>
        <w:rPr>
          <w:rFonts w:ascii="方正仿宋_GBK" w:hAnsi="方正仿宋_GBK" w:eastAsia="方正仿宋_GBK" w:cs="方正仿宋_GBK"/>
          <w:sz w:val="32"/>
          <w:szCs w:val="32"/>
          <w:shd w:val="clear" w:color="auto" w:fill="FFFFFF"/>
        </w:rPr>
        <w:t>%，较年初预算数增加0.03万元，增长0.31%，主要原因是本年预算执行中因教职工乡村教师补贴纳入缴费基数导致支出增加。</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住房保障支出11.70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3.72</w:t>
      </w:r>
      <w:r>
        <w:rPr>
          <w:rFonts w:ascii="方正仿宋_GBK" w:hAnsi="方正仿宋_GBK" w:eastAsia="方正仿宋_GBK" w:cs="方正仿宋_GBK"/>
          <w:sz w:val="32"/>
          <w:szCs w:val="32"/>
          <w:shd w:val="clear" w:color="auto" w:fill="FFFFFF"/>
        </w:rPr>
        <w:t>%，较年初预算数增加0.03万元，增长0.26%，主要原因是本年预算执行中因教职工乡村教师补贴纳入缴费基数导致支出增加。</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226.09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222.89</w:t>
      </w:r>
      <w:r>
        <w:rPr>
          <w:rFonts w:ascii="方正仿宋_GBK" w:hAnsi="方正仿宋_GBK" w:eastAsia="方正仿宋_GBK" w:cs="方正仿宋_GBK"/>
          <w:sz w:val="32"/>
          <w:szCs w:val="32"/>
          <w:shd w:val="clear" w:color="auto" w:fill="FFFFFF"/>
        </w:rPr>
        <w:t>万元，与2023年度相比，增加2.11万元，增长0.96%，主要原因是教职工正常晋升、岗位职级变化等。人员经费用途主要包括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3.20</w:t>
      </w:r>
      <w:r>
        <w:rPr>
          <w:rFonts w:ascii="方正仿宋_GBK" w:hAnsi="方正仿宋_GBK" w:eastAsia="方正仿宋_GBK" w:cs="方正仿宋_GBK"/>
          <w:sz w:val="32"/>
          <w:szCs w:val="32"/>
          <w:shd w:val="clear" w:color="auto" w:fill="FFFFFF"/>
        </w:rPr>
        <w:t>万元，与2023年度相比，减少0.30万元，下降8.57%，主要原因是工会经费、培训费、福利费的预算基数减少所致。公用经费用途主要包括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279.21</w:t>
      </w:r>
      <w:r>
        <w:rPr>
          <w:rFonts w:ascii="方正仿宋_GBK" w:hAnsi="方正仿宋_GBK" w:eastAsia="方正仿宋_GBK" w:cs="方正仿宋_GBK"/>
          <w:sz w:val="32"/>
          <w:szCs w:val="32"/>
          <w:shd w:val="clear" w:color="auto" w:fill="FFFFFF"/>
        </w:rPr>
        <w:t>万元，与2023年度相比，增加279.21万元，增长100.00%；本年支出</w:t>
      </w:r>
      <w:r>
        <w:rPr>
          <w:rFonts w:ascii="方正仿宋_GBK" w:hAnsi="方正仿宋_GBK" w:eastAsia="方正仿宋_GBK" w:cs="方正仿宋_GBK"/>
          <w:sz w:val="32"/>
          <w:szCs w:val="32"/>
        </w:rPr>
        <w:t>279.21</w:t>
      </w:r>
      <w:r>
        <w:rPr>
          <w:rFonts w:ascii="方正仿宋_GBK" w:hAnsi="方正仿宋_GBK" w:eastAsia="方正仿宋_GBK" w:cs="方正仿宋_GBK"/>
          <w:sz w:val="32"/>
          <w:szCs w:val="32"/>
          <w:shd w:val="clear" w:color="auto" w:fill="FFFFFF"/>
        </w:rPr>
        <w:t>万元，与2023年度相比，增加279.21万元，增长100.00%，主要原因是追加政府性基金用于支付土地偿还金</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四、其他需要说明的事项</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0.94</w:t>
      </w:r>
      <w:r>
        <w:rPr>
          <w:rFonts w:ascii="方正仿宋_GBK" w:hAnsi="方正仿宋_GBK" w:eastAsia="方正仿宋_GBK" w:cs="方正仿宋_GBK"/>
          <w:sz w:val="32"/>
          <w:szCs w:val="32"/>
          <w:shd w:val="clear" w:color="auto" w:fill="FFFFFF"/>
        </w:rPr>
        <w:t>万元，与2023年度相比，增加0.07万元，增长8.05%，主要原因是学校加大了师资队伍的建设和培训。</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21.02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21.02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0.40万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1.90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0.40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1.90</w:t>
      </w:r>
      <w:r>
        <w:rPr>
          <w:rFonts w:ascii="方正仿宋_GBK" w:hAnsi="方正仿宋_GBK" w:eastAsia="方正仿宋_GBK" w:cs="方正仿宋_GBK"/>
          <w:sz w:val="32"/>
          <w:szCs w:val="32"/>
          <w:shd w:val="clear" w:color="auto" w:fill="FFFFFF"/>
        </w:rPr>
        <w:t xml:space="preserve"> %。主要用于采购教学用设备和学生课桌椅。</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rPr>
        <w:t>个二级项目开展了绩效自评，涉及财政拨款项目支出资金88.86万元。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highlight w:val="red"/>
        </w:rPr>
      </w:pPr>
      <w:r>
        <w:drawing>
          <wp:inline distT="0" distB="0" distL="114300" distR="114300">
            <wp:extent cx="5386705" cy="4864735"/>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386705" cy="4864735"/>
                    </a:xfrm>
                    <a:prstGeom prst="rect">
                      <a:avLst/>
                    </a:prstGeom>
                    <a:noFill/>
                    <a:ln>
                      <a:noFill/>
                    </a:ln>
                  </pic:spPr>
                </pic:pic>
              </a:graphicData>
            </a:graphic>
          </wp:inline>
        </w:drawing>
      </w:r>
      <w:r>
        <w:drawing>
          <wp:inline distT="0" distB="0" distL="114300" distR="114300">
            <wp:extent cx="5344795" cy="494601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344795" cy="4946015"/>
                    </a:xfrm>
                    <a:prstGeom prst="rect">
                      <a:avLst/>
                    </a:prstGeom>
                    <a:noFill/>
                    <a:ln>
                      <a:noFill/>
                    </a:ln>
                  </pic:spPr>
                </pic:pic>
              </a:graphicData>
            </a:graphic>
          </wp:inline>
        </w:drawing>
      </w:r>
    </w:p>
    <w:p>
      <w:pPr>
        <w:rPr>
          <w:rFonts w:hint="default" w:ascii="楷体" w:hAnsi="楷体" w:eastAsia="楷体" w:cs="宋体"/>
          <w:b/>
          <w:bCs/>
          <w:color w:val="000000"/>
          <w:sz w:val="32"/>
          <w:szCs w:val="32"/>
          <w:highlight w:val="red"/>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bookmarkStart w:id="0" w:name="_GoBack"/>
      <w:bookmarkEnd w:id="0"/>
      <w:r>
        <w:rPr>
          <w:rFonts w:ascii="方正仿宋_GBK" w:hAnsi="方正仿宋_GBK" w:eastAsia="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七、决算公开联系方式及信息反馈渠道</w:t>
      </w:r>
    </w:p>
    <w:p>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1"/>
        <w:autoSpaceDE w:val="0"/>
        <w:spacing w:line="600"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eastAsia="方正仿宋_GBK"/>
          <w:sz w:val="32"/>
          <w:szCs w:val="32"/>
        </w:rPr>
        <w:t>张老师  023-74532919</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垫江县澄溪中心幼儿园</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314.95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279.21</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208.59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475.05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78.88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36.12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9.75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279.21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11.70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881.64</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811.83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69.81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881.64</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881.64</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878" w:type="dxa"/>
        <w:tblInd w:w="0" w:type="dxa"/>
        <w:tblLayout w:type="fixed"/>
        <w:tblCellMar>
          <w:top w:w="0" w:type="dxa"/>
          <w:left w:w="0" w:type="dxa"/>
          <w:bottom w:w="0" w:type="dxa"/>
          <w:right w:w="0" w:type="dxa"/>
        </w:tblCellMar>
      </w:tblPr>
      <w:tblGrid>
        <w:gridCol w:w="1429"/>
        <w:gridCol w:w="3715"/>
        <w:gridCol w:w="1234"/>
        <w:gridCol w:w="1250"/>
        <w:gridCol w:w="1133"/>
        <w:gridCol w:w="1050"/>
        <w:gridCol w:w="1450"/>
        <w:gridCol w:w="1200"/>
        <w:gridCol w:w="1283"/>
        <w:gridCol w:w="1134"/>
      </w:tblGrid>
      <w:tr>
        <w:tblPrEx>
          <w:tblLayout w:type="fixed"/>
          <w:tblCellMar>
            <w:top w:w="0" w:type="dxa"/>
            <w:left w:w="0" w:type="dxa"/>
            <w:bottom w:w="0" w:type="dxa"/>
            <w:right w:w="0" w:type="dxa"/>
          </w:tblCellMar>
        </w:tblPrEx>
        <w:trPr>
          <w:trHeight w:val="641" w:hRule="atLeast"/>
        </w:trPr>
        <w:tc>
          <w:tcPr>
            <w:tcW w:w="14878"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37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垫江县澄溪中心幼儿园</w:t>
            </w:r>
          </w:p>
        </w:tc>
        <w:tc>
          <w:tcPr>
            <w:tcW w:w="12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3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37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3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exact"/>
        </w:trPr>
        <w:tc>
          <w:tcPr>
            <w:tcW w:w="514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40" w:hRule="exac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71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71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71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71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51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2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881.64</w:t>
            </w:r>
            <w:r>
              <w:rPr>
                <w:rFonts w:ascii="Times New Roman" w:hAnsi="Times New Roman"/>
                <w:b/>
                <w:sz w:val="20"/>
              </w:rPr>
              <w:t xml:space="preserve"> </w:t>
            </w:r>
          </w:p>
        </w:tc>
        <w:tc>
          <w:tcPr>
            <w:tcW w:w="1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594.16</w:t>
            </w:r>
            <w:r>
              <w:rPr>
                <w:rFonts w:ascii="Times New Roman" w:hAnsi="Times New Roman"/>
                <w:b/>
                <w:sz w:val="20"/>
              </w:rPr>
              <w:t xml:space="preserve"> </w:t>
            </w:r>
          </w:p>
        </w:tc>
        <w:tc>
          <w:tcPr>
            <w:tcW w:w="11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208.59</w:t>
            </w:r>
            <w:r>
              <w:rPr>
                <w:rFonts w:ascii="Times New Roman" w:hAnsi="Times New Roman"/>
                <w:b/>
                <w:sz w:val="20"/>
              </w:rPr>
              <w:t xml:space="preserve"> </w:t>
            </w:r>
          </w:p>
        </w:tc>
        <w:tc>
          <w:tcPr>
            <w:tcW w:w="1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208.59</w:t>
            </w:r>
            <w:r>
              <w:rPr>
                <w:rFonts w:ascii="Times New Roman" w:hAnsi="Times New Roman"/>
                <w:b/>
                <w:sz w:val="20"/>
              </w:rPr>
              <w:t xml:space="preserve"> </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78.88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544.86</w:t>
            </w:r>
            <w:r>
              <w:rPr>
                <w:rFonts w:ascii="Times New Roman" w:hAnsi="Times New Roman"/>
                <w:b/>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257.38</w:t>
            </w:r>
            <w:r>
              <w:rPr>
                <w:rFonts w:ascii="Times New Roman" w:hAnsi="Times New Roman"/>
                <w:b/>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208.59</w:t>
            </w:r>
            <w:r>
              <w:rPr>
                <w:rFonts w:ascii="Times New Roman" w:hAnsi="Times New Roman"/>
                <w:b/>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208.59</w:t>
            </w:r>
            <w:r>
              <w:rPr>
                <w:rFonts w:ascii="Times New Roman" w:hAnsi="Times New Roman"/>
                <w:b/>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78.88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544.43</w:t>
            </w:r>
            <w:r>
              <w:rPr>
                <w:rFonts w:ascii="Times New Roman" w:hAnsi="Times New Roman"/>
                <w:b/>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256.95</w:t>
            </w:r>
            <w:r>
              <w:rPr>
                <w:rFonts w:ascii="Times New Roman" w:hAnsi="Times New Roman"/>
                <w:b/>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208.59</w:t>
            </w:r>
            <w:r>
              <w:rPr>
                <w:rFonts w:ascii="Times New Roman" w:hAnsi="Times New Roman"/>
                <w:b/>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208.59</w:t>
            </w:r>
            <w:r>
              <w:rPr>
                <w:rFonts w:ascii="Times New Roman" w:hAnsi="Times New Roman"/>
                <w:b/>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78.88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544.43</w:t>
            </w:r>
            <w:r>
              <w:rPr>
                <w:rFonts w:ascii="Times New Roman" w:hAnsi="Times New Roman"/>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256.95</w:t>
            </w:r>
            <w:r>
              <w:rPr>
                <w:rFonts w:ascii="Times New Roman" w:hAnsi="Times New Roman"/>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208.59</w:t>
            </w:r>
            <w:r>
              <w:rPr>
                <w:rFonts w:ascii="Times New Roman" w:hAnsi="Times New Roman"/>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208.59</w:t>
            </w:r>
            <w:r>
              <w:rPr>
                <w:rFonts w:ascii="Times New Roman" w:hAnsi="Times New Roman"/>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78.88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0.43</w:t>
            </w:r>
            <w:r>
              <w:rPr>
                <w:rFonts w:ascii="Times New Roman" w:hAnsi="Times New Roman"/>
                <w:b/>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0.43</w:t>
            </w:r>
            <w:r>
              <w:rPr>
                <w:rFonts w:ascii="Times New Roman" w:hAnsi="Times New Roman"/>
                <w:b/>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0.43</w:t>
            </w:r>
            <w:r>
              <w:rPr>
                <w:rFonts w:ascii="Times New Roman" w:hAnsi="Times New Roman"/>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0.43</w:t>
            </w:r>
            <w:r>
              <w:rPr>
                <w:rFonts w:ascii="Times New Roman" w:hAnsi="Times New Roman"/>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36.12</w:t>
            </w:r>
            <w:r>
              <w:rPr>
                <w:rFonts w:ascii="Times New Roman" w:hAnsi="Times New Roman"/>
                <w:b/>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36.12</w:t>
            </w:r>
            <w:r>
              <w:rPr>
                <w:rFonts w:ascii="Times New Roman" w:hAnsi="Times New Roman"/>
                <w:b/>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36.12</w:t>
            </w:r>
            <w:r>
              <w:rPr>
                <w:rFonts w:ascii="Times New Roman" w:hAnsi="Times New Roman"/>
                <w:b/>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36.12</w:t>
            </w:r>
            <w:r>
              <w:rPr>
                <w:rFonts w:ascii="Times New Roman" w:hAnsi="Times New Roman"/>
                <w:b/>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23.64</w:t>
            </w:r>
            <w:r>
              <w:rPr>
                <w:rFonts w:ascii="Times New Roman" w:hAnsi="Times New Roman"/>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23.64</w:t>
            </w:r>
            <w:r>
              <w:rPr>
                <w:rFonts w:ascii="Times New Roman" w:hAnsi="Times New Roman"/>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11.83</w:t>
            </w:r>
            <w:r>
              <w:rPr>
                <w:rFonts w:ascii="Times New Roman" w:hAnsi="Times New Roman"/>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11.83</w:t>
            </w:r>
            <w:r>
              <w:rPr>
                <w:rFonts w:ascii="Times New Roman" w:hAnsi="Times New Roman"/>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0.64</w:t>
            </w:r>
            <w:r>
              <w:rPr>
                <w:rFonts w:ascii="Times New Roman" w:hAnsi="Times New Roman"/>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0.64</w:t>
            </w:r>
            <w:r>
              <w:rPr>
                <w:rFonts w:ascii="Times New Roman" w:hAnsi="Times New Roman"/>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9.75</w:t>
            </w:r>
            <w:r>
              <w:rPr>
                <w:rFonts w:ascii="Times New Roman" w:hAnsi="Times New Roman"/>
                <w:b/>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9.75</w:t>
            </w:r>
            <w:r>
              <w:rPr>
                <w:rFonts w:ascii="Times New Roman" w:hAnsi="Times New Roman"/>
                <w:b/>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9.75</w:t>
            </w:r>
            <w:r>
              <w:rPr>
                <w:rFonts w:ascii="Times New Roman" w:hAnsi="Times New Roman"/>
                <w:b/>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9.75</w:t>
            </w:r>
            <w:r>
              <w:rPr>
                <w:rFonts w:ascii="Times New Roman" w:hAnsi="Times New Roman"/>
                <w:b/>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9.75</w:t>
            </w:r>
            <w:r>
              <w:rPr>
                <w:rFonts w:ascii="Times New Roman" w:hAnsi="Times New Roman"/>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9.75</w:t>
            </w:r>
            <w:r>
              <w:rPr>
                <w:rFonts w:ascii="Times New Roman" w:hAnsi="Times New Roman"/>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279.21</w:t>
            </w:r>
            <w:r>
              <w:rPr>
                <w:rFonts w:ascii="Times New Roman" w:hAnsi="Times New Roman"/>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279.21</w:t>
            </w:r>
            <w:r>
              <w:rPr>
                <w:rFonts w:ascii="Times New Roman" w:hAnsi="Times New Roman"/>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11.70</w:t>
            </w:r>
            <w:r>
              <w:rPr>
                <w:rFonts w:ascii="Times New Roman" w:hAnsi="Times New Roman"/>
                <w:b/>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11.70</w:t>
            </w:r>
            <w:r>
              <w:rPr>
                <w:rFonts w:ascii="Times New Roman" w:hAnsi="Times New Roman"/>
                <w:b/>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11.70</w:t>
            </w:r>
            <w:r>
              <w:rPr>
                <w:rFonts w:ascii="Times New Roman" w:hAnsi="Times New Roman"/>
                <w:b/>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11.70</w:t>
            </w:r>
            <w:r>
              <w:rPr>
                <w:rFonts w:ascii="Times New Roman" w:hAnsi="Times New Roman"/>
                <w:b/>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7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11.70</w:t>
            </w:r>
            <w:r>
              <w:rPr>
                <w:rFonts w:ascii="Times New Roman" w:hAnsi="Times New Roman"/>
                <w:sz w:val="20"/>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11.70</w:t>
            </w:r>
            <w:r>
              <w:rPr>
                <w:rFonts w:ascii="Times New Roman" w:hAnsi="Times New Roman"/>
                <w:sz w:val="20"/>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垫江县澄溪中心幼儿园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811.83</w:t>
            </w:r>
            <w:r>
              <w:rPr>
                <w:rFonts w:ascii="Times New Roman" w:hAnsi="Times New Roman"/>
                <w:b/>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441.60</w:t>
            </w:r>
            <w:r>
              <w:rPr>
                <w:rFonts w:ascii="Times New Roman" w:hAnsi="Times New Roman"/>
                <w:b/>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370.23</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475.05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384.04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91.01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474.62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383.62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91.01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474.62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383.62</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91.01</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0.43</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0.43</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0.43</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0.43</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36.12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36.11</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36.12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36.11</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23.64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23.64</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11.83</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11.83</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0.64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0.63</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0.01</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9.75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9.75</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9.75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9.75</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9.75</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9.75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279.21</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279.21</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11.70</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垫江县澄溪中心幼儿园</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314.95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279.21</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257.38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257.38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36.12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36.12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9.75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9.75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279.21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279.21</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11.70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11.70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594.16</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594.16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314.95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279.21</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594.16</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594.16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314.95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279.21</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垫江县澄溪中心幼儿园</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314.95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226.09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88.86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257.38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168.53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88.85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256.95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168.10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88.85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256.95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168.10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88.85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0.43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0.43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0.43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0.43</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36.12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36.11</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36.12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36.11</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23.64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23.64</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11.83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11.83</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0.64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0.63</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9.75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9.75</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9.75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9.75</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9.75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9.75</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垫江县澄溪中心幼儿园</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222.25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3.20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51.23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8.05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103.84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0.15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23.64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11.83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9.75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0.29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11.70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0.63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0.28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0.43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0.20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222.89</w:t>
            </w:r>
            <w:r>
              <w:rPr>
                <w:rFonts w:ascii="Times New Roman" w:hAnsi="Times New Roman"/>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3.20</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垫江县澄溪中心幼儿园</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279.21</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279.21</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279.21</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279.21</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279.21</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279.21</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279.21</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垫江县澄溪中心幼儿园</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垫江县澄溪中心幼儿园</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21.02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21.02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0.40</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0.40</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0.94</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1.33</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865434"/>
    <w:rsid w:val="00984C6A"/>
    <w:rsid w:val="00994AF7"/>
    <w:rsid w:val="009B67B8"/>
    <w:rsid w:val="009C14C9"/>
    <w:rsid w:val="009D2B67"/>
    <w:rsid w:val="009E1452"/>
    <w:rsid w:val="00A20EB5"/>
    <w:rsid w:val="00A566F9"/>
    <w:rsid w:val="00AC6249"/>
    <w:rsid w:val="00AF2751"/>
    <w:rsid w:val="00B03CCD"/>
    <w:rsid w:val="00BE2B89"/>
    <w:rsid w:val="00BE5CDE"/>
    <w:rsid w:val="00BF0D89"/>
    <w:rsid w:val="00C10E9E"/>
    <w:rsid w:val="00C20C3E"/>
    <w:rsid w:val="00C5163E"/>
    <w:rsid w:val="00CB41D1"/>
    <w:rsid w:val="00CF2ACF"/>
    <w:rsid w:val="00D03AAF"/>
    <w:rsid w:val="00D4423D"/>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BF51A84"/>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54D3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853189"/>
    <w:rsid w:val="52F163D4"/>
    <w:rsid w:val="531A2DB4"/>
    <w:rsid w:val="53C0244D"/>
    <w:rsid w:val="53DD4D4E"/>
    <w:rsid w:val="53E578CE"/>
    <w:rsid w:val="541330F0"/>
    <w:rsid w:val="54272666"/>
    <w:rsid w:val="543B029D"/>
    <w:rsid w:val="54861779"/>
    <w:rsid w:val="55084A4C"/>
    <w:rsid w:val="552256E1"/>
    <w:rsid w:val="553635B8"/>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47132E"/>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6431</Words>
  <Characters>8250</Characters>
  <Lines>100</Lines>
  <Paragraphs>28</Paragraphs>
  <TotalTime>0</TotalTime>
  <ScaleCrop>false</ScaleCrop>
  <LinksUpToDate>false</LinksUpToDate>
  <CharactersWithSpaces>8736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2025-09-22T09:22:55Z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