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垫江县普顺学校</w:t>
      </w:r>
    </w:p>
    <w:p>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pPr>
        <w:spacing w:line="600" w:lineRule="exact"/>
        <w:ind w:firstLine="880" w:firstLineChars="200"/>
        <w:jc w:val="center"/>
        <w:rPr>
          <w:rFonts w:ascii="华文中宋" w:hAnsi="华文中宋" w:eastAsia="华文中宋" w:cs="华文中宋"/>
          <w:sz w:val="44"/>
          <w:szCs w:val="44"/>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eastAsia="方正仿宋_GBK"/>
          <w:sz w:val="32"/>
        </w:rPr>
      </w:pPr>
      <w:r>
        <w:rPr>
          <w:rFonts w:eastAsia="方正仿宋_GBK"/>
          <w:sz w:val="32"/>
        </w:rPr>
        <w:t>1．负责适龄儿童、青少年义务教育工作；负责辖区学前儿童教育与保育工作。</w:t>
      </w:r>
    </w:p>
    <w:p>
      <w:pPr>
        <w:spacing w:line="600" w:lineRule="exact"/>
        <w:ind w:firstLine="640" w:firstLineChars="200"/>
        <w:rPr>
          <w:rFonts w:eastAsia="方正仿宋_GBK"/>
          <w:sz w:val="32"/>
        </w:rPr>
      </w:pPr>
      <w:r>
        <w:rPr>
          <w:rFonts w:eastAsia="方正仿宋_GBK"/>
          <w:sz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3" w:firstLineChars="200"/>
        <w:rPr>
          <w:rFonts w:eastAsia="方正楷体_GBK"/>
          <w:b/>
          <w:sz w:val="32"/>
          <w:szCs w:val="21"/>
        </w:rPr>
      </w:pPr>
      <w:r>
        <w:rPr>
          <w:rFonts w:hAnsi="方正楷体_GBK" w:eastAsia="方正楷体_GBK"/>
          <w:b/>
          <w:sz w:val="32"/>
          <w:szCs w:val="21"/>
        </w:rPr>
        <w:t>（二）</w:t>
      </w:r>
      <w:r>
        <w:rPr>
          <w:rFonts w:hint="eastAsia" w:hAnsi="方正楷体_GBK" w:eastAsia="方正楷体_GBK"/>
          <w:b/>
          <w:sz w:val="32"/>
          <w:szCs w:val="21"/>
        </w:rPr>
        <w:t>机构设置</w:t>
      </w:r>
    </w:p>
    <w:p>
      <w:pPr>
        <w:spacing w:line="600" w:lineRule="exact"/>
        <w:ind w:firstLine="640" w:firstLineChars="200"/>
        <w:rPr>
          <w:rFonts w:eastAsia="方正仿宋_GBK"/>
          <w:sz w:val="32"/>
          <w:szCs w:val="32"/>
        </w:rPr>
      </w:pPr>
      <w:r>
        <w:rPr>
          <w:rFonts w:eastAsia="方正仿宋_GBK"/>
          <w:sz w:val="32"/>
        </w:rPr>
        <w:t>学校单位领导职数3名，其中：校长1名、副校长2名；内设机构领导职数4名。内设机构有德育处、教务处、教科处、后勤处。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二、单位决算</w:t>
      </w:r>
      <w:r>
        <w:rPr>
          <w:rFonts w:hint="eastAsia" w:ascii="方正黑体_GBK" w:hAnsi="黑体" w:eastAsia="方正黑体_GBK" w:cs="仿宋_GB2312"/>
          <w:sz w:val="32"/>
          <w:lang w:eastAsia="zh-CN"/>
        </w:rPr>
        <w:t>收支</w:t>
      </w:r>
      <w:r>
        <w:rPr>
          <w:rFonts w:hint="eastAsia" w:ascii="方正黑体_GBK" w:hAnsi="黑体" w:eastAsia="方正黑体_GBK" w:cs="仿宋_GB2312"/>
          <w:sz w:val="32"/>
        </w:rPr>
        <w:t>情况说明</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度收入总计1450.66万元，支出总计</w:t>
      </w:r>
      <w:r>
        <w:rPr>
          <w:rFonts w:ascii="方正仿宋_GBK" w:hAnsi="方正仿宋_GBK" w:eastAsia="方正仿宋_GBK" w:cs="方正仿宋_GBK"/>
          <w:sz w:val="32"/>
          <w:szCs w:val="32"/>
        </w:rPr>
        <w:t>1450.66</w:t>
      </w:r>
      <w:r>
        <w:rPr>
          <w:rFonts w:ascii="方正仿宋_GBK" w:hAnsi="方正仿宋_GBK" w:eastAsia="方正仿宋_GBK" w:cs="方正仿宋_GBK"/>
          <w:sz w:val="32"/>
          <w:szCs w:val="32"/>
          <w:shd w:val="clear" w:color="auto" w:fill="FFFFFF"/>
        </w:rPr>
        <w:t>万元。收、支与2023年度相比，减少283.07万元，下降16.33%，主要原因是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度收入合计1445.35万元，与2023年度相比，减少260.47万元，下降15.27%，主要原因是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1377.40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95.30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24.03</w:t>
      </w:r>
      <w:r>
        <w:rPr>
          <w:rFonts w:ascii="方正仿宋_GBK" w:hAnsi="方正仿宋_GBK" w:eastAsia="方正仿宋_GBK" w:cs="方正仿宋_GBK"/>
          <w:sz w:val="32"/>
          <w:szCs w:val="32"/>
          <w:shd w:val="clear" w:color="auto" w:fill="FFFFFF"/>
        </w:rPr>
        <w:t>万元，占1.66%；经营收入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43.92</w:t>
      </w:r>
      <w:r>
        <w:rPr>
          <w:rFonts w:ascii="方正仿宋_GBK" w:hAnsi="方正仿宋_GBK" w:eastAsia="方正仿宋_GBK" w:cs="方正仿宋_GBK"/>
          <w:sz w:val="32"/>
          <w:szCs w:val="32"/>
          <w:shd w:val="clear" w:color="auto" w:fill="FFFFFF"/>
        </w:rPr>
        <w:t>万元，占3.04%。此外，使用非财政拨款结余和专用结余</w:t>
      </w:r>
      <w:r>
        <w:rPr>
          <w:rFonts w:ascii="方正仿宋_GBK" w:hAnsi="方正仿宋_GBK" w:eastAsia="方正仿宋_GBK" w:cs="方正仿宋_GBK"/>
          <w:sz w:val="32"/>
          <w:szCs w:val="32"/>
        </w:rPr>
        <w:t>5.31</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1446.61</w:t>
      </w:r>
      <w:r>
        <w:rPr>
          <w:rFonts w:ascii="方正仿宋_GBK" w:hAnsi="方正仿宋_GBK" w:eastAsia="方正仿宋_GBK" w:cs="方正仿宋_GBK"/>
          <w:sz w:val="32"/>
          <w:szCs w:val="32"/>
          <w:shd w:val="clear" w:color="auto" w:fill="FFFFFF"/>
        </w:rPr>
        <w:t>万元，与2023年度相比，减少263.06万元，下降15.39%，主要原因是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且本年因教师人数减少致人员经费减少，学生人数减少致公用经费、事业收入及课后延时服务费减少。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1317.98</w:t>
      </w:r>
      <w:r>
        <w:rPr>
          <w:rFonts w:ascii="方正仿宋_GBK" w:hAnsi="方正仿宋_GBK" w:eastAsia="方正仿宋_GBK" w:cs="方正仿宋_GBK"/>
          <w:sz w:val="32"/>
          <w:szCs w:val="32"/>
          <w:shd w:val="clear" w:color="auto" w:fill="FFFFFF"/>
        </w:rPr>
        <w:t>万元，占91.11%；项目支出</w:t>
      </w:r>
      <w:r>
        <w:rPr>
          <w:rFonts w:ascii="方正仿宋_GBK" w:hAnsi="方正仿宋_GBK" w:eastAsia="方正仿宋_GBK" w:cs="方正仿宋_GBK"/>
          <w:sz w:val="32"/>
          <w:szCs w:val="32"/>
        </w:rPr>
        <w:t>128.63</w:t>
      </w:r>
      <w:r>
        <w:rPr>
          <w:rFonts w:ascii="方正仿宋_GBK" w:hAnsi="方正仿宋_GBK" w:eastAsia="方正仿宋_GBK" w:cs="方正仿宋_GBK"/>
          <w:sz w:val="32"/>
          <w:szCs w:val="32"/>
          <w:shd w:val="clear" w:color="auto" w:fill="FFFFFF"/>
        </w:rPr>
        <w:t>万元，占8.89%；经营支出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4.05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主要原因是2023年和2024年均无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度财政拨款收、支总计1377.40万元。与202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年相比，财政拨款收、支总计各减少244.74万元，下降15.09%。主要原因是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1377.40</w:t>
      </w:r>
      <w:r>
        <w:rPr>
          <w:rFonts w:ascii="方正仿宋_GBK" w:hAnsi="方正仿宋_GBK" w:eastAsia="方正仿宋_GBK" w:cs="方正仿宋_GBK"/>
          <w:sz w:val="32"/>
          <w:szCs w:val="32"/>
          <w:shd w:val="clear" w:color="auto" w:fill="FFFFFF"/>
        </w:rPr>
        <w:t>万元，与2023年度相比，减少244.61万元，下降15.08%。主要原因是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较年初预算数增加152.37万元，增长12.44%。</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1377.40</w:t>
      </w:r>
      <w:r>
        <w:rPr>
          <w:rFonts w:ascii="方正仿宋_GBK" w:hAnsi="方正仿宋_GBK" w:eastAsia="方正仿宋_GBK" w:cs="方正仿宋_GBK"/>
          <w:sz w:val="32"/>
          <w:szCs w:val="32"/>
          <w:shd w:val="clear" w:color="auto" w:fill="FFFFFF"/>
        </w:rPr>
        <w:t>万元，与2023年度相比，减少244.74万元，下降15.09%。主要原因是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且本年因教师人数减少致人员经费减少，学生人数减少致公用经费减少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较年初预算数增加152.37万元，增长12.44%。</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952.53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69.15</w:t>
      </w:r>
      <w:r>
        <w:rPr>
          <w:rFonts w:ascii="方正仿宋_GBK" w:hAnsi="方正仿宋_GBK" w:eastAsia="方正仿宋_GBK" w:cs="方正仿宋_GBK"/>
          <w:sz w:val="32"/>
          <w:szCs w:val="32"/>
          <w:shd w:val="clear" w:color="auto" w:fill="FFFFFF"/>
        </w:rPr>
        <w:t>%，较年初预算数增加83.30万元，增长9.58%，</w:t>
      </w:r>
      <w:r>
        <w:rPr>
          <w:rFonts w:ascii="方正仿宋_GBK" w:eastAsia="方正仿宋_GBK"/>
          <w:color w:val="000000"/>
          <w:sz w:val="32"/>
          <w:szCs w:val="32"/>
        </w:rPr>
        <w:t>主要原因是教职工正常晋升、晋岗晋级等人员经费类基本支出增加。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323.52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23.49</w:t>
      </w:r>
      <w:r>
        <w:rPr>
          <w:rFonts w:ascii="方正仿宋_GBK" w:hAnsi="方正仿宋_GBK" w:eastAsia="方正仿宋_GBK" w:cs="方正仿宋_GBK"/>
          <w:sz w:val="32"/>
          <w:szCs w:val="32"/>
          <w:shd w:val="clear" w:color="auto" w:fill="FFFFFF"/>
        </w:rPr>
        <w:t>%，较年初预算数增加74.85万元，增长30.10%，主要原因是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46.29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3.36</w:t>
      </w:r>
      <w:r>
        <w:rPr>
          <w:rFonts w:ascii="方正仿宋_GBK" w:hAnsi="方正仿宋_GBK" w:eastAsia="方正仿宋_GBK" w:cs="方正仿宋_GBK"/>
          <w:sz w:val="32"/>
          <w:szCs w:val="32"/>
          <w:shd w:val="clear" w:color="auto" w:fill="FFFFFF"/>
        </w:rPr>
        <w:t>%，较年初预算数减少2.40万元，下降4.93%，</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住房保障支出55.05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%，较年初预算数减少3.38万元，下降5.78%，</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1249.48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1226.78</w:t>
      </w:r>
      <w:r>
        <w:rPr>
          <w:rFonts w:ascii="方正仿宋_GBK" w:hAnsi="方正仿宋_GBK" w:eastAsia="方正仿宋_GBK" w:cs="方正仿宋_GBK"/>
          <w:sz w:val="32"/>
          <w:szCs w:val="32"/>
          <w:shd w:val="clear" w:color="auto" w:fill="FFFFFF"/>
        </w:rPr>
        <w:t>万元，与2023年度相比，减少225.95万元，下降15.55%，主要原因是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22.70</w:t>
      </w:r>
      <w:r>
        <w:rPr>
          <w:rFonts w:ascii="方正仿宋_GBK" w:hAnsi="方正仿宋_GBK" w:eastAsia="方正仿宋_GBK" w:cs="方正仿宋_GBK"/>
          <w:sz w:val="32"/>
          <w:szCs w:val="32"/>
          <w:shd w:val="clear" w:color="auto" w:fill="FFFFFF"/>
        </w:rPr>
        <w:t>万元，与2023年度相比，减少4.18万元，下降15.55%，</w:t>
      </w:r>
      <w:r>
        <w:rPr>
          <w:rFonts w:ascii="方正仿宋_GBK" w:eastAsia="方正仿宋_GBK"/>
          <w:color w:val="000000"/>
          <w:sz w:val="32"/>
          <w:szCs w:val="32"/>
        </w:rPr>
        <w:t>主要原因是本年因学生人数减少致公用经费下降。</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本单位2024年度无政府性基金预算财政拨款收支。</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本单位2024年度无政府性基金预算财政拨款收支。</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万元，与2023年度相比，减少2.00万元，下降41.75%，</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学校压</w:t>
      </w:r>
      <w:r>
        <w:rPr>
          <w:rFonts w:hint="eastAsia" w:ascii="方正仿宋_GBK" w:hAnsi="方正仿宋_GBK" w:eastAsia="方正仿宋_GBK" w:cs="方正仿宋_GBK"/>
          <w:sz w:val="32"/>
          <w:szCs w:val="32"/>
          <w:shd w:val="clear" w:color="auto" w:fill="FFFFFF"/>
          <w:lang w:eastAsia="zh-CN"/>
        </w:rPr>
        <w:t>减培训等</w:t>
      </w:r>
      <w:r>
        <w:rPr>
          <w:rFonts w:hint="eastAsia" w:ascii="方正仿宋_GBK" w:hAnsi="方正仿宋_GBK" w:eastAsia="方正仿宋_GBK" w:cs="方正仿宋_GBK"/>
          <w:sz w:val="32"/>
          <w:szCs w:val="32"/>
          <w:shd w:val="clear" w:color="auto" w:fill="FFFFFF"/>
        </w:rPr>
        <w:t>公用经费支出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7.12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7.12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7.12万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7.12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教育</w:t>
      </w:r>
      <w:r>
        <w:rPr>
          <w:rFonts w:hint="eastAsia" w:ascii="方正仿宋_GBK" w:hAnsi="方正仿宋_GBK" w:eastAsia="方正仿宋_GBK" w:cs="方正仿宋_GBK"/>
          <w:color w:val="auto"/>
          <w:sz w:val="32"/>
          <w:szCs w:val="32"/>
          <w:shd w:val="clear" w:color="auto" w:fill="FFFFFF"/>
          <w:lang w:eastAsia="zh-CN"/>
        </w:rPr>
        <w:t>教学所需的设备</w:t>
      </w:r>
      <w:r>
        <w:rPr>
          <w:rFonts w:ascii="方正仿宋_GBK" w:hAnsi="方正仿宋_GBK" w:eastAsia="方正仿宋_GBK" w:cs="方正仿宋_GBK"/>
          <w:color w:val="auto"/>
          <w:sz w:val="32"/>
          <w:szCs w:val="32"/>
          <w:shd w:val="clear" w:color="auto" w:fill="FFFFFF"/>
        </w:rPr>
        <w:t>。</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lang w:val="en-US" w:eastAsia="zh-CN"/>
        </w:rPr>
        <w:t>五、2024年度</w:t>
      </w:r>
      <w:r>
        <w:rPr>
          <w:rFonts w:hint="eastAsia" w:ascii="方正黑体_GBK" w:hAnsi="黑体" w:eastAsia="方正黑体_GBK" w:cs="仿宋_GB2312"/>
          <w:sz w:val="32"/>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ascii="方正仿宋_GBK" w:hAnsi="方正仿宋_GBK" w:eastAsia="方正仿宋_GBK" w:cs="方正仿宋_GBK"/>
          <w:color w:val="000000"/>
          <w:sz w:val="32"/>
          <w:szCs w:val="32"/>
          <w:shd w:val="clear" w:color="auto" w:fill="FFFFFF"/>
        </w:rPr>
        <w:t>1</w:t>
      </w:r>
      <w:r>
        <w:rPr>
          <w:rFonts w:hint="eastAsia" w:ascii="方正仿宋_GBK" w:hAnsi="方正仿宋_GBK" w:eastAsia="方正仿宋_GBK" w:cs="方正仿宋_GBK"/>
          <w:color w:val="000000"/>
          <w:sz w:val="32"/>
          <w:szCs w:val="32"/>
          <w:shd w:val="clear" w:color="auto" w:fill="FFFFFF"/>
          <w:lang w:val="en-US" w:eastAsia="zh-CN"/>
        </w:rPr>
        <w:t>3</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127.92</w:t>
      </w:r>
      <w:r>
        <w:rPr>
          <w:rFonts w:hint="eastAsia" w:ascii="方正仿宋_GBK" w:hAnsi="方正仿宋_GBK" w:eastAsia="方正仿宋_GBK" w:cs="方正仿宋_GBK"/>
          <w:color w:val="000000"/>
          <w:sz w:val="32"/>
          <w:szCs w:val="32"/>
          <w:shd w:val="clear" w:color="auto" w:fill="FFFFFF"/>
        </w:rPr>
        <w:t>万元。</w:t>
      </w:r>
    </w:p>
    <w:p>
      <w:pPr>
        <w:rPr>
          <w:rFonts w:hint="default"/>
        </w:rPr>
      </w:pPr>
      <w:r>
        <w:drawing>
          <wp:inline distT="0" distB="0" distL="114300" distR="114300">
            <wp:extent cx="5505450" cy="4857115"/>
            <wp:effectExtent l="0" t="0" r="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505450" cy="4857115"/>
                    </a:xfrm>
                    <a:prstGeom prst="rect">
                      <a:avLst/>
                    </a:prstGeom>
                    <a:noFill/>
                    <a:ln>
                      <a:noFill/>
                    </a:ln>
                  </pic:spPr>
                </pic:pic>
              </a:graphicData>
            </a:graphic>
          </wp:inline>
        </w:drawing>
      </w:r>
      <w:r>
        <w:drawing>
          <wp:inline distT="0" distB="0" distL="114300" distR="114300">
            <wp:extent cx="5463540" cy="4946015"/>
            <wp:effectExtent l="0" t="0" r="38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463540" cy="4946015"/>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hint="eastAsia" w:ascii="方正黑体_GBK" w:hAnsi="黑体" w:eastAsia="方正黑体_GBK" w:cs="仿宋_GB2312"/>
          <w:sz w:val="32"/>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napToGrid/>
        <w:ind w:firstLine="640"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rPr>
        <w:t>刘老师   023-74548996</w:t>
      </w:r>
      <w:r>
        <w:rPr>
          <w:rFonts w:ascii="方正仿宋_GBK" w:hAnsi="方正仿宋_GBK" w:eastAsia="方正仿宋_GBK" w:cs="方正仿宋_GBK"/>
          <w:color w:val="FF0000"/>
          <w:sz w:val="32"/>
          <w:szCs w:val="32"/>
          <w:shd w:val="clear" w:color="auto" w:fill="FFFFFF"/>
        </w:rPr>
        <w:t>.</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垫江县普顺学校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1,377.40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1,445.35</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1,446.61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1,450.66</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1,450.66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垫江县普顺学校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1,445.35</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1,377.40</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24.03</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24.03</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1,020.48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952.53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1,018.20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950.26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50.95</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26.92</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24.03</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24.03</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967.26</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923.34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323.52</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323.52</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310.86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310.86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127.34</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12.66</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12.66</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垫江县普顺学校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1,446.61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1,317.98</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128.63</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1,021.74</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893.55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1,019.47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891.28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128.19</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46.90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27.03</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972.57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871.41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101.16</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323.52</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323.08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310.86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61.53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127.34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12.66</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垫江县普顺学校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1,377.40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952.53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323.52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323.52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1,377.40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1,377.40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垫江县普顺学校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1,377.40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1,249.48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952.53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825.05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127.48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950.26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822.78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127.48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923.34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822.78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323.52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323.08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310.86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310.42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61.53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127.34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126.90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12.66</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12.66</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垫江县普顺学校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1,087.22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256.58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498.59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122.00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139.56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1,226.78</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垫江县普顺学校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垫江县普顺学校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垫江县普顺学校</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2.79</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AA7F0A"/>
    <w:rsid w:val="08BA052C"/>
    <w:rsid w:val="08DB07BA"/>
    <w:rsid w:val="0969353F"/>
    <w:rsid w:val="098305D0"/>
    <w:rsid w:val="0A3317EA"/>
    <w:rsid w:val="0A5C4B69"/>
    <w:rsid w:val="0A86124A"/>
    <w:rsid w:val="0AB54CC0"/>
    <w:rsid w:val="0B156E0E"/>
    <w:rsid w:val="0B9335CE"/>
    <w:rsid w:val="0BCA5242"/>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E43B90"/>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F95931"/>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427E84"/>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983261"/>
    <w:rsid w:val="6A6C7940"/>
    <w:rsid w:val="6AAD2300"/>
    <w:rsid w:val="6B474EF5"/>
    <w:rsid w:val="6C0A5AC5"/>
    <w:rsid w:val="6C560CAE"/>
    <w:rsid w:val="6C576495"/>
    <w:rsid w:val="6D903FF5"/>
    <w:rsid w:val="6DA955B8"/>
    <w:rsid w:val="6DE346AB"/>
    <w:rsid w:val="6DE5391A"/>
    <w:rsid w:val="6EFD1324"/>
    <w:rsid w:val="6F54718A"/>
    <w:rsid w:val="6F5A53AC"/>
    <w:rsid w:val="6FAC003D"/>
    <w:rsid w:val="6FE55E12"/>
    <w:rsid w:val="6FFB2E76"/>
    <w:rsid w:val="708F6F7F"/>
    <w:rsid w:val="70D94BD3"/>
    <w:rsid w:val="71C34D91"/>
    <w:rsid w:val="72DB435C"/>
    <w:rsid w:val="72E2613A"/>
    <w:rsid w:val="72F771F4"/>
    <w:rsid w:val="73934AD2"/>
    <w:rsid w:val="74771480"/>
    <w:rsid w:val="750837F0"/>
    <w:rsid w:val="754758CF"/>
    <w:rsid w:val="759A195E"/>
    <w:rsid w:val="75EE5418"/>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BA420F"/>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8850</Words>
  <Characters>11568</Characters>
  <Lines>190</Lines>
  <Paragraphs>53</Paragraphs>
  <TotalTime>23</TotalTime>
  <ScaleCrop>false</ScaleCrop>
  <LinksUpToDate>false</LinksUpToDate>
  <CharactersWithSpaces>12643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2025-09-22T08:14:15Z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