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垫江县澄溪小学校</w:t>
      </w: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ind w:firstLine="643" w:firstLineChars="200"/>
        <w:rPr>
          <w:rStyle w:val="10"/>
          <w:rFonts w:hint="default" w:ascii="方正黑体_GBK" w:eastAsia="方正黑体_GBK"/>
          <w:color w:val="000000" w:themeColor="text1"/>
          <w:sz w:val="32"/>
          <w:szCs w:val="32"/>
        </w:rPr>
      </w:pPr>
    </w:p>
    <w:p>
      <w:pPr>
        <w:widowControl w:val="0"/>
        <w:spacing w:line="600" w:lineRule="atLeast"/>
        <w:ind w:firstLine="640" w:firstLineChars="200"/>
        <w:rPr>
          <w:rStyle w:val="10"/>
          <w:rFonts w:hint="default" w:ascii="方正黑体_GBK" w:eastAsia="方正黑体_GBK"/>
          <w:b w:val="0"/>
          <w:bCs/>
          <w:sz w:val="32"/>
          <w:szCs w:val="32"/>
        </w:rPr>
      </w:pPr>
      <w:r>
        <w:rPr>
          <w:rStyle w:val="10"/>
          <w:rFonts w:ascii="方正黑体_GBK" w:eastAsia="方正黑体_GBK"/>
          <w:b w:val="0"/>
          <w:bCs/>
          <w:sz w:val="32"/>
          <w:szCs w:val="32"/>
        </w:rPr>
        <w:t>一、单位基本情况</w:t>
      </w:r>
    </w:p>
    <w:p>
      <w:pPr>
        <w:widowControl w:val="0"/>
        <w:spacing w:line="600" w:lineRule="atLeast"/>
        <w:ind w:firstLine="643" w:firstLineChars="200"/>
        <w:rPr>
          <w:rFonts w:hint="default" w:hAnsi="方正仿宋_GBK" w:cs="方正仿宋_GBK"/>
        </w:rPr>
      </w:pPr>
      <w:r>
        <w:rPr>
          <w:rStyle w:val="10"/>
          <w:rFonts w:ascii="方正楷体_GBK" w:hAnsi="楷体" w:eastAsia="方正楷体_GBK" w:cs="楷体"/>
          <w:sz w:val="32"/>
          <w:szCs w:val="32"/>
          <w:shd w:val="clear" w:color="auto" w:fill="FFFFFF"/>
        </w:rPr>
        <w:t>（一）职能职责</w:t>
      </w:r>
    </w:p>
    <w:p>
      <w:pPr>
        <w:widowControl w:val="0"/>
        <w:spacing w:line="600" w:lineRule="atLeast"/>
        <w:ind w:firstLine="640" w:firstLineChars="200"/>
        <w:rPr>
          <w:rFonts w:hint="default" w:ascii="Times New Roman" w:hAnsi="Times New Roman" w:eastAsia="方正仿宋_GBK"/>
          <w:sz w:val="32"/>
        </w:rPr>
      </w:pPr>
      <w:r>
        <w:rPr>
          <w:rFonts w:ascii="Times New Roman" w:hAnsi="Times New Roman" w:eastAsia="方正仿宋_GBK"/>
          <w:sz w:val="32"/>
        </w:rPr>
        <w:t>1.负责辖区适龄儿童义务教育工作；负责辖区学前儿童教育与保育工作。</w:t>
      </w:r>
    </w:p>
    <w:p>
      <w:pPr>
        <w:pStyle w:val="6"/>
        <w:widowControl w:val="0"/>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sz w:val="32"/>
          <w:szCs w:val="32"/>
        </w:rPr>
      </w:pPr>
      <w:r>
        <w:rPr>
          <w:rFonts w:ascii="Times New Roman" w:hAnsi="Times New Roman" w:eastAsia="方正仿宋_GBK"/>
          <w:sz w:val="32"/>
        </w:rPr>
        <w:t>2.受县教育行政部门委托，负责所在乡镇各学校（不含直属学校），做好党的教育方针及教育法规贯彻落实，做好所在乡镇的义务教育，全面推进素质教育。制定并实施本乡镇教育发展规划；负责学校教育教学、教育科研、师资队伍、学校经费收支与校产管理与指导；负责教育统计；负责学校卫生、安全、稳定工作；负责落实其他工作。协助所在乡镇人民政府做好适龄青少年依法接受义务教育的工作。</w:t>
      </w:r>
    </w:p>
    <w:p>
      <w:pPr>
        <w:widowControl w:val="0"/>
        <w:spacing w:line="600" w:lineRule="atLeast"/>
        <w:ind w:firstLine="643" w:firstLineChars="200"/>
        <w:rPr>
          <w:rStyle w:val="10"/>
          <w:rFonts w:hint="default" w:ascii="方正楷体_GBK" w:hAnsi="楷体" w:eastAsia="方正楷体_GBK" w:cs="楷体"/>
          <w:sz w:val="32"/>
          <w:szCs w:val="32"/>
          <w:shd w:val="clear" w:color="auto" w:fill="FFFFFF"/>
        </w:rPr>
      </w:pPr>
      <w:r>
        <w:rPr>
          <w:rStyle w:val="10"/>
          <w:rFonts w:ascii="方正楷体_GBK" w:hAnsi="楷体" w:eastAsia="方正楷体_GBK" w:cs="楷体"/>
          <w:sz w:val="32"/>
          <w:szCs w:val="32"/>
          <w:shd w:val="clear" w:color="auto" w:fill="FFFFFF"/>
        </w:rPr>
        <w:t>（二）机构设置</w:t>
      </w:r>
    </w:p>
    <w:p>
      <w:pPr>
        <w:pStyle w:val="6"/>
        <w:widowControl w:val="0"/>
        <w:snapToGrid w:val="0"/>
        <w:spacing w:before="0" w:beforeAutospacing="0" w:after="0" w:afterAutospacing="0" w:line="600" w:lineRule="atLeast"/>
        <w:ind w:firstLine="640" w:firstLineChars="200"/>
        <w:jc w:val="both"/>
        <w:rPr>
          <w:rFonts w:hint="default" w:eastAsia="方正仿宋_GBK"/>
          <w:sz w:val="32"/>
        </w:rPr>
      </w:pPr>
      <w:r>
        <w:rPr>
          <w:rFonts w:ascii="方正仿宋_GBK" w:eastAsia="方正仿宋_GBK"/>
          <w:sz w:val="32"/>
          <w:szCs w:val="32"/>
        </w:rPr>
        <w:t>学校单位领导职数4名(校长1名、副校长3名)，内设机构领导职数5名，内设机构有德育处、教务处、教科处、后勤处、安稳办。</w:t>
      </w:r>
    </w:p>
    <w:p>
      <w:pPr>
        <w:widowControl w:val="0"/>
        <w:spacing w:line="600" w:lineRule="atLeast"/>
        <w:ind w:firstLine="640" w:firstLineChars="200"/>
        <w:rPr>
          <w:rStyle w:val="10"/>
          <w:rFonts w:hint="default" w:ascii="方正黑体_GBK" w:hAnsi="Times New Roman" w:eastAsia="方正黑体_GBK"/>
          <w:b w:val="0"/>
          <w:bCs/>
          <w:sz w:val="32"/>
          <w:szCs w:val="32"/>
        </w:rPr>
      </w:pPr>
      <w:r>
        <w:rPr>
          <w:rStyle w:val="10"/>
          <w:rFonts w:ascii="方正黑体_GBK" w:hAnsi="Times New Roman" w:eastAsia="方正黑体_GBK"/>
          <w:b w:val="0"/>
          <w:bCs/>
          <w:sz w:val="32"/>
          <w:szCs w:val="32"/>
        </w:rPr>
        <w:t>二、单位决算收支情况说明</w:t>
      </w:r>
    </w:p>
    <w:p>
      <w:pPr>
        <w:pStyle w:val="11"/>
        <w:widowControl w:val="0"/>
        <w:autoSpaceDE w:val="0"/>
        <w:spacing w:line="600" w:lineRule="atLeas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pPr>
        <w:pStyle w:val="6"/>
        <w:widowControl w:val="0"/>
        <w:shd w:val="clear" w:color="auto" w:fill="FFFFFF"/>
        <w:spacing w:before="0" w:beforeAutospacing="0" w:after="0" w:afterAutospacing="0" w:line="600" w:lineRule="atLeas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2024年度收入总计5637.59万元，支出总计</w:t>
      </w:r>
      <w:r>
        <w:rPr>
          <w:rFonts w:ascii="方正仿宋_GBK" w:hAnsi="方正仿宋_GBK" w:eastAsia="方正仿宋_GBK" w:cs="方正仿宋_GBK"/>
          <w:sz w:val="32"/>
          <w:szCs w:val="32"/>
        </w:rPr>
        <w:t>5637.59</w:t>
      </w:r>
      <w:r>
        <w:rPr>
          <w:rFonts w:ascii="方正仿宋_GBK" w:hAnsi="方正仿宋_GBK" w:eastAsia="方正仿宋_GBK" w:cs="方正仿宋_GBK"/>
          <w:sz w:val="32"/>
          <w:szCs w:val="32"/>
          <w:shd w:val="clear" w:color="auto" w:fill="FFFFFF"/>
        </w:rPr>
        <w:t>万元。收、支与2023年度相比，增加1171.69万元，增长26.24%，主要原因是合并望月小学所致。</w:t>
      </w:r>
    </w:p>
    <w:p>
      <w:pPr>
        <w:pStyle w:val="6"/>
        <w:widowControl w:val="0"/>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2024年度收入合计5617.06万元，与2023年度相比，增加1257.11万元，增长28.83%，主要原因是合并望月小学所致。其中：财政拨款收入</w:t>
      </w:r>
      <w:r>
        <w:rPr>
          <w:rFonts w:ascii="方正仿宋_GBK" w:hAnsi="方正仿宋_GBK" w:eastAsia="方正仿宋_GBK" w:cs="方正仿宋_GBK"/>
          <w:sz w:val="32"/>
          <w:szCs w:val="32"/>
        </w:rPr>
        <w:t>5321.55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94.74</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15.10</w:t>
      </w:r>
      <w:r>
        <w:rPr>
          <w:rFonts w:ascii="方正仿宋_GBK" w:hAnsi="方正仿宋_GBK" w:eastAsia="方正仿宋_GBK" w:cs="方正仿宋_GBK"/>
          <w:sz w:val="32"/>
          <w:szCs w:val="32"/>
          <w:shd w:val="clear" w:color="auto" w:fill="FFFFFF"/>
        </w:rPr>
        <w:t>万元，占0.27%；经营收入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280.41</w:t>
      </w:r>
      <w:r>
        <w:rPr>
          <w:rFonts w:ascii="方正仿宋_GBK" w:hAnsi="方正仿宋_GBK" w:eastAsia="方正仿宋_GBK" w:cs="方正仿宋_GBK"/>
          <w:sz w:val="32"/>
          <w:szCs w:val="32"/>
          <w:shd w:val="clear" w:color="auto" w:fill="FFFFFF"/>
        </w:rPr>
        <w:t>万元，占4.99%。此外，使用非财政拨款结余和专用结余</w:t>
      </w:r>
      <w:r>
        <w:rPr>
          <w:rFonts w:ascii="方正仿宋_GBK" w:hAnsi="方正仿宋_GBK" w:eastAsia="方正仿宋_GBK" w:cs="方正仿宋_GBK"/>
          <w:sz w:val="32"/>
          <w:szCs w:val="32"/>
        </w:rPr>
        <w:t>20.53</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0.01</w:t>
      </w:r>
      <w:r>
        <w:rPr>
          <w:rFonts w:ascii="方正仿宋_GBK" w:hAnsi="方正仿宋_GBK" w:eastAsia="方正仿宋_GBK" w:cs="方正仿宋_GBK"/>
          <w:sz w:val="32"/>
          <w:szCs w:val="32"/>
          <w:shd w:val="clear" w:color="auto" w:fill="FFFFFF"/>
        </w:rPr>
        <w:t>万元。</w:t>
      </w:r>
    </w:p>
    <w:p>
      <w:pPr>
        <w:pStyle w:val="6"/>
        <w:widowControl w:val="0"/>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5637.59</w:t>
      </w:r>
      <w:r>
        <w:rPr>
          <w:rFonts w:ascii="方正仿宋_GBK" w:hAnsi="方正仿宋_GBK" w:eastAsia="方正仿宋_GBK" w:cs="方正仿宋_GBK"/>
          <w:sz w:val="32"/>
          <w:szCs w:val="32"/>
          <w:shd w:val="clear" w:color="auto" w:fill="FFFFFF"/>
        </w:rPr>
        <w:t>万元，与2023年度相比，增加1321.60万元，增长30.62%，主要原因是合并望月小学所致。其中：基本支出</w:t>
      </w:r>
      <w:r>
        <w:rPr>
          <w:rFonts w:ascii="方正仿宋_GBK" w:hAnsi="方正仿宋_GBK" w:eastAsia="方正仿宋_GBK" w:cs="方正仿宋_GBK"/>
          <w:sz w:val="32"/>
          <w:szCs w:val="32"/>
        </w:rPr>
        <w:t>3884.62</w:t>
      </w:r>
      <w:r>
        <w:rPr>
          <w:rFonts w:ascii="方正仿宋_GBK" w:hAnsi="方正仿宋_GBK" w:eastAsia="方正仿宋_GBK" w:cs="方正仿宋_GBK"/>
          <w:sz w:val="32"/>
          <w:szCs w:val="32"/>
          <w:shd w:val="clear" w:color="auto" w:fill="FFFFFF"/>
        </w:rPr>
        <w:t>万元，占68.91%；项目支出</w:t>
      </w:r>
      <w:r>
        <w:rPr>
          <w:rFonts w:ascii="方正仿宋_GBK" w:hAnsi="方正仿宋_GBK" w:eastAsia="方正仿宋_GBK" w:cs="方正仿宋_GBK"/>
          <w:sz w:val="32"/>
          <w:szCs w:val="32"/>
        </w:rPr>
        <w:t>1752.97</w:t>
      </w:r>
      <w:r>
        <w:rPr>
          <w:rFonts w:ascii="方正仿宋_GBK" w:hAnsi="方正仿宋_GBK" w:eastAsia="方正仿宋_GBK" w:cs="方正仿宋_GBK"/>
          <w:sz w:val="32"/>
          <w:szCs w:val="32"/>
          <w:shd w:val="clear" w:color="auto" w:fill="FFFFFF"/>
        </w:rPr>
        <w:t>万元，占31.09%；经营支出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widowControl w:val="0"/>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万元，与2023年度相比，无增减，主要原因是2023年和2024年均无结转结余。</w:t>
      </w:r>
    </w:p>
    <w:p>
      <w:pPr>
        <w:pStyle w:val="11"/>
        <w:widowControl w:val="0"/>
        <w:autoSpaceDE w:val="0"/>
        <w:spacing w:line="600" w:lineRule="atLeas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6"/>
        <w:widowControl w:val="0"/>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2024年度财政拨款收、支总计5321.55万元。与2023年相比，财政拨款收、支总计各增加1284.17万元，增长31.81%。主要原因是合并望月小学所致。</w:t>
      </w:r>
    </w:p>
    <w:p>
      <w:pPr>
        <w:pStyle w:val="11"/>
        <w:widowControl w:val="0"/>
        <w:autoSpaceDE w:val="0"/>
        <w:spacing w:line="600" w:lineRule="atLeas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6"/>
        <w:widowControl w:val="0"/>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3857.08</w:t>
      </w:r>
      <w:r>
        <w:rPr>
          <w:rFonts w:ascii="方正仿宋_GBK" w:hAnsi="方正仿宋_GBK" w:eastAsia="方正仿宋_GBK" w:cs="方正仿宋_GBK"/>
          <w:sz w:val="32"/>
          <w:szCs w:val="32"/>
          <w:shd w:val="clear" w:color="auto" w:fill="FFFFFF"/>
        </w:rPr>
        <w:t>万元，与2023年度相比，增加346.51万元，增长9.87%。主要原因是合并望月小学所致。较年初预算数增加1003.76万元，增长35.18%。主要原因是合并望月小学所致。此外，年初财政拨款结转和结余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widowControl w:val="0"/>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3857.08</w:t>
      </w:r>
      <w:r>
        <w:rPr>
          <w:rFonts w:ascii="方正仿宋_GBK" w:hAnsi="方正仿宋_GBK" w:eastAsia="方正仿宋_GBK" w:cs="方正仿宋_GBK"/>
          <w:sz w:val="32"/>
          <w:szCs w:val="32"/>
          <w:shd w:val="clear" w:color="auto" w:fill="FFFFFF"/>
        </w:rPr>
        <w:t>万元，与2023年度相比，增加346.51万元，增长9.87%。主要原因是合并望月小学所致。较年初预算数增加1003.76万元，增长35.18%。主要原因是合并望月小学所致。</w:t>
      </w:r>
    </w:p>
    <w:p>
      <w:pPr>
        <w:pStyle w:val="6"/>
        <w:widowControl w:val="0"/>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万元，与2023年度相比，无增减，主要原因是2023、2024年均无一般公共预算财政拨款结转和结余。</w:t>
      </w:r>
    </w:p>
    <w:p>
      <w:pPr>
        <w:pStyle w:val="6"/>
        <w:widowControl w:val="0"/>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widowControl w:val="0"/>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2731.97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70.83</w:t>
      </w:r>
      <w:r>
        <w:rPr>
          <w:rFonts w:ascii="方正仿宋_GBK" w:hAnsi="方正仿宋_GBK" w:eastAsia="方正仿宋_GBK" w:cs="方正仿宋_GBK"/>
          <w:sz w:val="32"/>
          <w:szCs w:val="32"/>
          <w:shd w:val="clear" w:color="auto" w:fill="FFFFFF"/>
        </w:rPr>
        <w:t>%，较年初预算数增加588.35万元，增长27.45%，主要原因是合并望月小学教师所致。</w:t>
      </w:r>
    </w:p>
    <w:p>
      <w:pPr>
        <w:pStyle w:val="6"/>
        <w:widowControl w:val="0"/>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824.45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21.38</w:t>
      </w:r>
      <w:r>
        <w:rPr>
          <w:rFonts w:ascii="方正仿宋_GBK" w:hAnsi="方正仿宋_GBK" w:eastAsia="方正仿宋_GBK" w:cs="方正仿宋_GBK"/>
          <w:sz w:val="32"/>
          <w:szCs w:val="32"/>
          <w:shd w:val="clear" w:color="auto" w:fill="FFFFFF"/>
        </w:rPr>
        <w:t>%，较年初预算数增加381.36万元，增长86.07%，主要原因是合并望月小学教师所致。</w:t>
      </w:r>
    </w:p>
    <w:p>
      <w:pPr>
        <w:pStyle w:val="6"/>
        <w:widowControl w:val="0"/>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136.96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3.55</w:t>
      </w:r>
      <w:r>
        <w:rPr>
          <w:rFonts w:ascii="方正仿宋_GBK" w:hAnsi="方正仿宋_GBK" w:eastAsia="方正仿宋_GBK" w:cs="方正仿宋_GBK"/>
          <w:sz w:val="32"/>
          <w:szCs w:val="32"/>
          <w:shd w:val="clear" w:color="auto" w:fill="FFFFFF"/>
        </w:rPr>
        <w:t>%，较年初预算数增加15.77万元，增长13.01%，主要原因是合并望月小学教师所致。</w:t>
      </w:r>
    </w:p>
    <w:p>
      <w:pPr>
        <w:widowControl w:val="0"/>
        <w:spacing w:line="600" w:lineRule="atLeas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住房保障支出163.69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4.24</w:t>
      </w:r>
      <w:r>
        <w:rPr>
          <w:rFonts w:ascii="方正仿宋_GBK" w:hAnsi="方正仿宋_GBK" w:eastAsia="方正仿宋_GBK" w:cs="方正仿宋_GBK"/>
          <w:sz w:val="32"/>
          <w:szCs w:val="32"/>
          <w:shd w:val="clear" w:color="auto" w:fill="FFFFFF"/>
        </w:rPr>
        <w:t>%，较年初预算数增加18.26万元，增长12.56%，主要原因是合并望月小学教师所致。</w:t>
      </w:r>
    </w:p>
    <w:p>
      <w:pPr>
        <w:pStyle w:val="11"/>
        <w:widowControl w:val="0"/>
        <w:autoSpaceDE w:val="0"/>
        <w:spacing w:line="600" w:lineRule="atLeas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pPr>
        <w:pStyle w:val="6"/>
        <w:widowControl w:val="0"/>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3572.09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3510.81</w:t>
      </w:r>
      <w:r>
        <w:rPr>
          <w:rFonts w:ascii="方正仿宋_GBK" w:hAnsi="方正仿宋_GBK" w:eastAsia="方正仿宋_GBK" w:cs="方正仿宋_GBK"/>
          <w:sz w:val="32"/>
          <w:szCs w:val="32"/>
          <w:shd w:val="clear" w:color="auto" w:fill="FFFFFF"/>
        </w:rPr>
        <w:t>万元，与2023年度相比，增加267.60万元，增长8.25%，主要原因是合并望月小学教师所致。人员经费用途主要包括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61.28</w:t>
      </w:r>
      <w:r>
        <w:rPr>
          <w:rFonts w:ascii="方正仿宋_GBK" w:hAnsi="方正仿宋_GBK" w:eastAsia="方正仿宋_GBK" w:cs="方正仿宋_GBK"/>
          <w:sz w:val="32"/>
          <w:szCs w:val="32"/>
          <w:shd w:val="clear" w:color="auto" w:fill="FFFFFF"/>
        </w:rPr>
        <w:t>万元，与2023年度相比，增加10.67万元，增长21.08%，主要原因是工会经费、培训费、福利费的预算基数增加所致。公用经费用途主要包括</w:t>
      </w:r>
      <w:r>
        <w:rPr>
          <w:rFonts w:ascii="方正仿宋_GBK" w:eastAsia="方正仿宋_GBK"/>
          <w:sz w:val="32"/>
          <w:szCs w:val="32"/>
        </w:rPr>
        <w:t>学校师资培训、教职工体检和工作餐等福利、工会补助等支出</w:t>
      </w:r>
      <w:r>
        <w:rPr>
          <w:rFonts w:ascii="方正仿宋_GBK" w:hAnsi="方正仿宋_GBK" w:eastAsia="方正仿宋_GBK" w:cs="方正仿宋_GBK"/>
          <w:sz w:val="32"/>
          <w:szCs w:val="32"/>
          <w:shd w:val="clear" w:color="auto" w:fill="FFFFFF"/>
        </w:rPr>
        <w:t>。</w:t>
      </w:r>
    </w:p>
    <w:p>
      <w:pPr>
        <w:pStyle w:val="11"/>
        <w:widowControl w:val="0"/>
        <w:autoSpaceDE w:val="0"/>
        <w:spacing w:line="600" w:lineRule="atLeas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widowControl w:val="0"/>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1464.47</w:t>
      </w:r>
      <w:r>
        <w:rPr>
          <w:rFonts w:ascii="方正仿宋_GBK" w:hAnsi="方正仿宋_GBK" w:eastAsia="方正仿宋_GBK" w:cs="方正仿宋_GBK"/>
          <w:sz w:val="32"/>
          <w:szCs w:val="32"/>
          <w:shd w:val="clear" w:color="auto" w:fill="FFFFFF"/>
        </w:rPr>
        <w:t>万元，与2023年度相比，增加937.67万元，增长177.99%。本年支出</w:t>
      </w:r>
      <w:r>
        <w:rPr>
          <w:rFonts w:ascii="方正仿宋_GBK" w:hAnsi="方正仿宋_GBK" w:eastAsia="方正仿宋_GBK" w:cs="方正仿宋_GBK"/>
          <w:sz w:val="32"/>
          <w:szCs w:val="32"/>
        </w:rPr>
        <w:t>1464.47</w:t>
      </w:r>
      <w:r>
        <w:rPr>
          <w:rFonts w:ascii="方正仿宋_GBK" w:hAnsi="方正仿宋_GBK" w:eastAsia="方正仿宋_GBK" w:cs="方正仿宋_GBK"/>
          <w:sz w:val="32"/>
          <w:szCs w:val="32"/>
          <w:shd w:val="clear" w:color="auto" w:fill="FFFFFF"/>
        </w:rPr>
        <w:t>万元，与2023年度相比，增加937.67万元，增长177.99%，主要原因是财政追加政府性基金支付土地出让金。</w:t>
      </w:r>
    </w:p>
    <w:p>
      <w:pPr>
        <w:pStyle w:val="6"/>
        <w:widowControl w:val="0"/>
        <w:snapToGrid w:val="0"/>
        <w:spacing w:before="0" w:beforeAutospacing="0" w:after="0" w:afterAutospacing="0" w:line="600" w:lineRule="atLeast"/>
        <w:ind w:firstLine="643" w:firstLineChars="200"/>
        <w:jc w:val="both"/>
        <w:rPr>
          <w:rFonts w:hint="default" w:ascii="方正楷体_GBK" w:hAnsi="方正仿宋_GBK" w:eastAsia="方正楷体_GBK" w:cs="方正仿宋_GBK"/>
          <w:sz w:val="32"/>
          <w:szCs w:val="32"/>
        </w:rPr>
      </w:pPr>
      <w:r>
        <w:rPr>
          <w:rFonts w:ascii="方正楷体_GBK" w:hAnsi="楷体" w:eastAsia="方正楷体_GBK" w:cs="楷体"/>
          <w:b/>
          <w:bCs/>
          <w:sz w:val="32"/>
          <w:szCs w:val="32"/>
          <w:shd w:val="clear" w:color="auto" w:fill="FFFFFF"/>
        </w:rPr>
        <w:t>（六）国有资本经营预算财政拨款支出决算情况说明</w:t>
      </w:r>
    </w:p>
    <w:p>
      <w:pPr>
        <w:pStyle w:val="6"/>
        <w:widowControl w:val="0"/>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年度无国有资本经营预算财政拨款支出。</w:t>
      </w:r>
    </w:p>
    <w:p>
      <w:pPr>
        <w:widowControl w:val="0"/>
        <w:spacing w:line="600" w:lineRule="atLeast"/>
        <w:ind w:firstLine="640" w:firstLineChars="200"/>
        <w:rPr>
          <w:rStyle w:val="10"/>
          <w:rFonts w:hint="default" w:ascii="方正黑体_GBK" w:hAnsi="Times New Roman" w:eastAsia="方正黑体_GBK"/>
          <w:b w:val="0"/>
          <w:bCs/>
          <w:sz w:val="32"/>
          <w:szCs w:val="32"/>
        </w:rPr>
      </w:pPr>
      <w:r>
        <w:rPr>
          <w:rStyle w:val="10"/>
          <w:rFonts w:ascii="方正黑体_GBK" w:hAnsi="Times New Roman" w:eastAsia="方正黑体_GBK"/>
          <w:b w:val="0"/>
          <w:bCs/>
          <w:sz w:val="32"/>
          <w:szCs w:val="32"/>
        </w:rPr>
        <w:t>三、财政拨款“三公”经费情况说明</w:t>
      </w:r>
    </w:p>
    <w:p>
      <w:pPr>
        <w:pStyle w:val="11"/>
        <w:widowControl w:val="0"/>
        <w:autoSpaceDE w:val="0"/>
        <w:spacing w:line="600" w:lineRule="atLeas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widowControl w:val="0"/>
        <w:spacing w:line="600" w:lineRule="atLeas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widowControl w:val="0"/>
        <w:autoSpaceDE w:val="0"/>
        <w:spacing w:line="600" w:lineRule="atLeas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11"/>
        <w:widowControl w:val="0"/>
        <w:autoSpaceDE w:val="0"/>
        <w:spacing w:line="600" w:lineRule="atLeas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widowControl w:val="0"/>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widowControl w:val="0"/>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pStyle w:val="6"/>
        <w:widowControl w:val="0"/>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widowControl w:val="0"/>
        <w:autoSpaceDE w:val="0"/>
        <w:spacing w:line="600" w:lineRule="atLeas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widowControl w:val="0"/>
        <w:spacing w:line="600" w:lineRule="atLeas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widowControl w:val="0"/>
        <w:spacing w:line="600" w:lineRule="atLeast"/>
        <w:ind w:firstLine="640" w:firstLineChars="200"/>
        <w:rPr>
          <w:rStyle w:val="10"/>
          <w:rFonts w:hint="default" w:ascii="方正黑体_GBK" w:hAnsi="Times New Roman" w:eastAsia="方正黑体_GBK"/>
          <w:b w:val="0"/>
          <w:bCs/>
          <w:sz w:val="32"/>
          <w:szCs w:val="32"/>
        </w:rPr>
      </w:pPr>
      <w:r>
        <w:rPr>
          <w:rStyle w:val="10"/>
          <w:rFonts w:ascii="方正黑体_GBK" w:hAnsi="Times New Roman" w:eastAsia="方正黑体_GBK"/>
          <w:b w:val="0"/>
          <w:bCs/>
          <w:sz w:val="32"/>
          <w:szCs w:val="32"/>
        </w:rPr>
        <w:t>四、其他需要说明的事项</w:t>
      </w:r>
    </w:p>
    <w:p>
      <w:pPr>
        <w:pStyle w:val="11"/>
        <w:widowControl w:val="0"/>
        <w:autoSpaceDE w:val="0"/>
        <w:spacing w:line="600" w:lineRule="atLeas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pPr>
        <w:widowControl w:val="0"/>
        <w:spacing w:line="600" w:lineRule="atLeast"/>
        <w:ind w:firstLine="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32.18</w:t>
      </w:r>
      <w:r>
        <w:rPr>
          <w:rFonts w:ascii="方正仿宋_GBK" w:hAnsi="方正仿宋_GBK" w:eastAsia="方正仿宋_GBK" w:cs="方正仿宋_GBK"/>
          <w:sz w:val="32"/>
          <w:szCs w:val="32"/>
          <w:shd w:val="clear" w:color="auto" w:fill="FFFFFF"/>
        </w:rPr>
        <w:t>万元，与2023年度相比，增加9.72万元，增长43.28%，主要原因是学校加大了师资队伍的建设和培训</w:t>
      </w:r>
      <w:r>
        <w:rPr>
          <w:rFonts w:hint="default" w:ascii="方正仿宋_GBK" w:hAnsi="方正仿宋_GBK" w:eastAsia="方正仿宋_GBK" w:cs="方正仿宋_GBK"/>
          <w:sz w:val="32"/>
          <w:szCs w:val="32"/>
        </w:rPr>
        <w:t>。</w:t>
      </w:r>
    </w:p>
    <w:p>
      <w:pPr>
        <w:pStyle w:val="11"/>
        <w:widowControl w:val="0"/>
        <w:autoSpaceDE w:val="0"/>
        <w:spacing w:line="600" w:lineRule="atLeas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widowControl w:val="0"/>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widowControl w:val="0"/>
        <w:autoSpaceDE w:val="0"/>
        <w:spacing w:line="600" w:lineRule="atLeas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widowControl w:val="0"/>
        <w:autoSpaceDE w:val="0"/>
        <w:spacing w:line="600" w:lineRule="atLeas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widowControl w:val="0"/>
        <w:autoSpaceDE w:val="0"/>
        <w:spacing w:line="600" w:lineRule="atLeast"/>
        <w:ind w:firstLine="643"/>
        <w:rPr>
          <w:rFonts w:ascii="楷体" w:hAnsi="楷体" w:eastAsia="楷体"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6"/>
        <w:widowControl w:val="0"/>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2.00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2.00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2.00万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2.00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%。主要用于采购办公和教学用A4纸。</w:t>
      </w:r>
    </w:p>
    <w:p>
      <w:pPr>
        <w:widowControl w:val="0"/>
        <w:spacing w:line="600" w:lineRule="atLeast"/>
        <w:ind w:firstLine="640" w:firstLineChars="200"/>
        <w:rPr>
          <w:rStyle w:val="10"/>
          <w:rFonts w:hint="default" w:ascii="方正黑体_GBK" w:hAnsi="Times New Roman" w:eastAsia="方正黑体_GBK"/>
          <w:b w:val="0"/>
          <w:bCs/>
          <w:sz w:val="32"/>
          <w:szCs w:val="32"/>
        </w:rPr>
      </w:pPr>
      <w:r>
        <w:rPr>
          <w:rStyle w:val="10"/>
          <w:rFonts w:ascii="方正黑体_GBK" w:hAnsi="Times New Roman" w:eastAsia="方正黑体_GBK"/>
          <w:b w:val="0"/>
          <w:bCs/>
          <w:sz w:val="32"/>
          <w:szCs w:val="32"/>
        </w:rPr>
        <w:t>五、2024年度预算绩效管理情况说明</w:t>
      </w:r>
    </w:p>
    <w:p>
      <w:pPr>
        <w:pStyle w:val="11"/>
        <w:widowControl w:val="0"/>
        <w:autoSpaceDE w:val="0"/>
        <w:spacing w:line="600" w:lineRule="atLeas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1"/>
        <w:widowControl w:val="0"/>
        <w:autoSpaceDE w:val="0"/>
        <w:spacing w:line="600" w:lineRule="atLeast"/>
        <w:ind w:firstLine="640"/>
        <w:rPr>
          <w:rFonts w:ascii="方正楷体_GBK" w:hAnsi="楷体" w:eastAsia="方正楷体_GBK"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根据预算绩效管理要求，我单位对1</w:t>
      </w:r>
      <w:r>
        <w:rPr>
          <w:rFonts w:hint="eastAsia" w:ascii="方正仿宋_GBK" w:hAnsi="方正仿宋_GBK" w:eastAsia="方正仿宋_GBK" w:cs="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rPr>
        <w:t>个二级项目开展了绩效自评，涉及财政拨款项目支出资金284.99万元。</w:t>
      </w: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pPr>
        <w:rPr>
          <w:rFonts w:hint="default"/>
        </w:rPr>
      </w:pPr>
      <w:r>
        <w:drawing>
          <wp:inline distT="0" distB="0" distL="114300" distR="114300">
            <wp:extent cx="5400675" cy="4827905"/>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400675" cy="4827905"/>
                    </a:xfrm>
                    <a:prstGeom prst="rect">
                      <a:avLst/>
                    </a:prstGeom>
                    <a:noFill/>
                    <a:ln>
                      <a:noFill/>
                    </a:ln>
                  </pic:spPr>
                </pic:pic>
              </a:graphicData>
            </a:graphic>
          </wp:inline>
        </w:drawing>
      </w:r>
      <w:r>
        <w:t xml:space="preserve"> </w:t>
      </w:r>
    </w:p>
    <w:p>
      <w:pPr>
        <w:rPr>
          <w:rFonts w:hint="eastAsia" w:ascii="楷体" w:hAnsi="楷体" w:eastAsia="楷体" w:cs="宋体"/>
          <w:b/>
          <w:bCs/>
          <w:color w:val="000000"/>
          <w:sz w:val="32"/>
          <w:szCs w:val="32"/>
          <w:highlight w:val="red"/>
          <w:shd w:val="clear" w:color="auto" w:fill="FFFFFF"/>
          <w:lang w:eastAsia="zh-CN"/>
        </w:rPr>
        <w:sectPr>
          <w:pgSz w:w="11915" w:h="16840"/>
          <w:pgMar w:top="1440" w:right="1800" w:bottom="1440" w:left="1800" w:header="851" w:footer="992" w:gutter="0"/>
          <w:pgNumType w:fmt="numberInDash"/>
          <w:cols w:space="720" w:num="1"/>
          <w:docGrid w:type="lines" w:linePitch="312" w:charSpace="0"/>
        </w:sectPr>
      </w:pPr>
      <w:r>
        <w:drawing>
          <wp:inline distT="0" distB="0" distL="114300" distR="114300">
            <wp:extent cx="5354320" cy="4946015"/>
            <wp:effectExtent l="0" t="0" r="8255"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354320" cy="4946015"/>
                    </a:xfrm>
                    <a:prstGeom prst="rect">
                      <a:avLst/>
                    </a:prstGeom>
                    <a:noFill/>
                    <a:ln>
                      <a:noFill/>
                    </a:ln>
                  </pic:spPr>
                </pic:pic>
              </a:graphicData>
            </a:graphic>
          </wp:inline>
        </w:drawing>
      </w: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widowControl w:val="0"/>
        <w:autoSpaceDE w:val="0"/>
        <w:spacing w:line="600" w:lineRule="atLeas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pPr>
        <w:pStyle w:val="6"/>
        <w:widowControl w:val="0"/>
        <w:snapToGrid w:val="0"/>
        <w:spacing w:before="0" w:beforeAutospacing="0" w:after="0" w:afterAutospacing="0" w:line="600" w:lineRule="atLeast"/>
        <w:ind w:firstLine="640" w:firstLineChars="200"/>
        <w:jc w:val="both"/>
        <w:rPr>
          <w:rStyle w:val="10"/>
          <w:rFonts w:hint="default" w:ascii="方正黑体_GBK" w:hAnsi="黑体" w:eastAsia="方正黑体_GBK" w:cs="黑体"/>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widowControl w:val="0"/>
        <w:spacing w:line="600" w:lineRule="atLeast"/>
        <w:ind w:firstLine="640" w:firstLineChars="200"/>
        <w:rPr>
          <w:rStyle w:val="10"/>
          <w:rFonts w:hint="default" w:ascii="方正黑体_GBK" w:hAnsi="Times New Roman" w:eastAsia="方正黑体_GBK"/>
          <w:b w:val="0"/>
          <w:bCs/>
          <w:sz w:val="32"/>
          <w:szCs w:val="32"/>
        </w:rPr>
      </w:pPr>
      <w:r>
        <w:rPr>
          <w:rStyle w:val="10"/>
          <w:rFonts w:ascii="方正黑体_GBK" w:hAnsi="Times New Roman" w:eastAsia="方正黑体_GBK"/>
          <w:b w:val="0"/>
          <w:bCs/>
          <w:sz w:val="32"/>
          <w:szCs w:val="32"/>
        </w:rPr>
        <w:t>六、专业名词解释</w:t>
      </w:r>
    </w:p>
    <w:p>
      <w:pPr>
        <w:pStyle w:val="6"/>
        <w:widowControl w:val="0"/>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widowControl w:val="0"/>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widowControl w:val="0"/>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widowControl w:val="0"/>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w:t>
      </w:r>
      <w:bookmarkStart w:id="0" w:name="_GoBack"/>
      <w:bookmarkEnd w:id="0"/>
      <w:r>
        <w:rPr>
          <w:rFonts w:ascii="方正仿宋_GBK" w:hAnsi="方正仿宋_GBK" w:eastAsia="方正仿宋_GBK" w:cs="方正仿宋_GBK"/>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widowControl w:val="0"/>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widowControl w:val="0"/>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widowControl w:val="0"/>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widowControl w:val="0"/>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widowControl w:val="0"/>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widowControl w:val="0"/>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widowControl w:val="0"/>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widowControl w:val="0"/>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widowControl w:val="0"/>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widowControl w:val="0"/>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widowControl w:val="0"/>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widowControl w:val="0"/>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widowControl w:val="0"/>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widowControl w:val="0"/>
        <w:spacing w:line="600" w:lineRule="atLeast"/>
        <w:ind w:firstLine="640" w:firstLineChars="200"/>
        <w:rPr>
          <w:rStyle w:val="10"/>
          <w:rFonts w:hint="default" w:ascii="方正黑体_GBK" w:hAnsi="Times New Roman" w:eastAsia="方正黑体_GBK"/>
          <w:b w:val="0"/>
          <w:bCs/>
          <w:sz w:val="32"/>
          <w:szCs w:val="32"/>
        </w:rPr>
      </w:pPr>
      <w:r>
        <w:rPr>
          <w:rStyle w:val="10"/>
          <w:rFonts w:ascii="方正黑体_GBK" w:hAnsi="Times New Roman" w:eastAsia="方正黑体_GBK"/>
          <w:b w:val="0"/>
          <w:bCs/>
          <w:sz w:val="32"/>
          <w:szCs w:val="32"/>
        </w:rPr>
        <w:t>七、决算公开联系方式及信息反馈渠道</w:t>
      </w:r>
    </w:p>
    <w:p>
      <w:pPr>
        <w:pStyle w:val="6"/>
        <w:widowControl w:val="0"/>
        <w:shd w:val="clear" w:color="auto" w:fill="FFFFFF"/>
        <w:spacing w:before="0" w:beforeAutospacing="0" w:after="0" w:afterAutospacing="0" w:line="600" w:lineRule="atLeast"/>
        <w:ind w:firstLine="640" w:firstLineChars="200"/>
        <w:rPr>
          <w:rFonts w:hint="default" w:ascii="方正黑体_GBK" w:hAnsi="方正仿宋_GBK" w:eastAsia="方正黑体_GBK" w:cs="方正仿宋_GBK"/>
          <w:b/>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11"/>
        <w:widowControl w:val="0"/>
        <w:autoSpaceDE w:val="0"/>
        <w:spacing w:line="600" w:lineRule="atLeast"/>
        <w:ind w:firstLine="640"/>
        <w:rPr>
          <w:rStyle w:val="10"/>
          <w:rFonts w:ascii="方正仿宋_GBK" w:hAnsi="方正仿宋_GBK" w:eastAsia="方正仿宋_GBK" w:cs="方正仿宋_GBK"/>
          <w:sz w:val="32"/>
          <w:szCs w:val="32"/>
          <w:shd w:val="clear" w:color="auto" w:fill="FFFF00"/>
        </w:rPr>
      </w:pPr>
      <w:r>
        <w:rPr>
          <w:rFonts w:ascii="方正仿宋_GBK" w:eastAsia="方正仿宋_GBK"/>
          <w:sz w:val="32"/>
          <w:szCs w:val="32"/>
        </w:rPr>
        <w:t>程老师  023-74532919</w:t>
      </w:r>
    </w:p>
    <w:p>
      <w:pPr>
        <w:pStyle w:val="11"/>
        <w:autoSpaceDE w:val="0"/>
        <w:spacing w:line="596" w:lineRule="exact"/>
        <w:ind w:firstLine="643"/>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垫江县澄溪小学校</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3,857.08</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1,464.47</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3,048.02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280.41</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824.45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136.96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1,459.07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163.69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5,617.06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5,637.59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20.53</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0.01</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5,637.59</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5,637.59</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垫江县澄溪小学校</w:t>
            </w: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5,617.06</w:t>
            </w:r>
            <w:r>
              <w:rPr>
                <w:rFonts w:ascii="Times New Roman" w:hAnsi="Times New Roman"/>
                <w:b/>
                <w:color w:val="000000"/>
                <w:sz w:val="20"/>
              </w:rPr>
              <w:t xml:space="preserve"> </w:t>
            </w:r>
          </w:p>
        </w:tc>
        <w:tc>
          <w:tcPr>
            <w:tcW w:w="1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5,321.55</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15.10</w:t>
            </w:r>
            <w:r>
              <w:rPr>
                <w:rFonts w:ascii="Times New Roman" w:hAnsi="Times New Roman"/>
                <w:b/>
                <w:color w:val="000000"/>
                <w:sz w:val="20"/>
              </w:rPr>
              <w:t xml:space="preserve"> </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15.10</w:t>
            </w:r>
            <w:r>
              <w:rPr>
                <w:rFonts w:ascii="Times New Roman" w:hAnsi="Times New Roman"/>
                <w:b/>
                <w:color w:val="000000"/>
                <w:sz w:val="20"/>
              </w:rPr>
              <w:t xml:space="preserve"> </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280.41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3,027.49</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2,731.97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280.41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3,020.69</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2,725.18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280.41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3,011.36</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2,717.95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280.41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其他普通教育支出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6.79</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824.45</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824.45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824.45</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824.45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336.55</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336.55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166.22</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166.22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321.69</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321.69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136.96</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136.96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136.96</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136.96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136.96</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136.96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1,459.07</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1,459.07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1,459.07</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1,459.07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1,459.07</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1,459.07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163.69</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163.69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163.69</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163.69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163.69</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163.69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2296004</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用于教育事业的彩票公益金支出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垫江县澄溪小学校 </w:t>
            </w: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5,637.59</w:t>
            </w:r>
            <w:r>
              <w:rPr>
                <w:rFonts w:ascii="Times New Roman" w:hAnsi="Times New Roman"/>
                <w:b/>
                <w:color w:val="000000"/>
                <w:sz w:val="20"/>
              </w:rPr>
              <w:t xml:space="preserve"> </w:t>
            </w:r>
          </w:p>
        </w:tc>
        <w:tc>
          <w:tcPr>
            <w:tcW w:w="1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3,884.62</w:t>
            </w:r>
            <w:r>
              <w:rPr>
                <w:rFonts w:ascii="Times New Roman" w:hAnsi="Times New Roman"/>
                <w:b/>
                <w:color w:val="000000"/>
                <w:sz w:val="20"/>
              </w:rPr>
              <w:t xml:space="preserve"> </w:t>
            </w:r>
          </w:p>
        </w:tc>
        <w:tc>
          <w:tcPr>
            <w:tcW w:w="1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1,752.97</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3,048.02</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2,760.43</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287.59</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3,041.23</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2,753.64</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287.59</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10.05</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8.84</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3,025.13</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2,744.80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280.33</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其他普通教育支出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6.79</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6.79</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824.45</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823.54</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0.92</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824.45</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823.54</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0.92</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336.55</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336.55</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166.22</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166.22</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321.69</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320.77</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136.96</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136.96</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136.96</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136.96</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136.96</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136.96</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1,459.07</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1,459.07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1,459.07</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1,459.07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1,459.07</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1,459.07</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163.69</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163.69</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163.69</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163.69</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163.69</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163.69</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2296004</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用于教育事业的彩票公益金支出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垫江县澄溪小学校</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3,857.08</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1,464.47</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2,731.97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2,731.97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824.45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824.45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136.96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136.96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1,459.07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1,459.07</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163.69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163.69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5,321.55</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5,321.55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3,857.08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1,464.47</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5,321.55</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5,321.55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3,857.08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1,464.47</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6"/>
        <w:gridCol w:w="4073"/>
        <w:gridCol w:w="3306"/>
        <w:gridCol w:w="3297"/>
        <w:gridCol w:w="3340"/>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垫江县澄溪小学校</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3,857.08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3,572.09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284.99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2,731.97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2,447.90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284.08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2,725.18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2,441.11</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284.08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2,717.95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2,441.11</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276.84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其他普通教育支出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6.79</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824.45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823.54</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824.45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823.54</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336.55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336.55</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166.22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166.22</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321.69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320.77</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136.96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136.96</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136.96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136.96</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136.96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136.96</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163.69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163.69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163.69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163.69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163.69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163.69</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firstLine="600" w:firstLineChars="300"/>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7"/>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垫江县澄溪小学校</w:t>
            </w: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3,190.03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61.28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745.21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102.85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1,508.45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336.55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166.22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136.96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163.69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320.77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247.61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39.71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55.36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3,510.81</w:t>
            </w:r>
            <w:r>
              <w:rPr>
                <w:rFonts w:ascii="Times New Roman" w:hAnsi="Times New Roman"/>
                <w:color w:val="000000"/>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61.28</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垫江县澄溪小学校</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1,464.47</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1,464.47</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1,464.47</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1,459.07</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1,459.07</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1,459.07</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1,459.07</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1,459.07</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1,459.07</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1,459.07</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1,459.07</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1,459.07</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2296004</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用于教育事业的彩票公益金支出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垫江县澄溪小学校</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垫江县澄溪小学校</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32.18</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17.76</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方正黑体_GBK">
    <w:panose1 w:val="02010600010101010101"/>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方正楷体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- 3 -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94B5C"/>
    <w:rsid w:val="007B419D"/>
    <w:rsid w:val="007B7C4B"/>
    <w:rsid w:val="007D3D39"/>
    <w:rsid w:val="0094368B"/>
    <w:rsid w:val="00984C6A"/>
    <w:rsid w:val="00994AF7"/>
    <w:rsid w:val="009B67B8"/>
    <w:rsid w:val="009C14C9"/>
    <w:rsid w:val="009D2B67"/>
    <w:rsid w:val="009E1452"/>
    <w:rsid w:val="00A566F9"/>
    <w:rsid w:val="00AA7590"/>
    <w:rsid w:val="00AF2751"/>
    <w:rsid w:val="00AF4921"/>
    <w:rsid w:val="00B03CCD"/>
    <w:rsid w:val="00BE2B89"/>
    <w:rsid w:val="00BF0D89"/>
    <w:rsid w:val="00C10E9E"/>
    <w:rsid w:val="00C20C3E"/>
    <w:rsid w:val="00C5163E"/>
    <w:rsid w:val="00CF2ACF"/>
    <w:rsid w:val="00D03AAF"/>
    <w:rsid w:val="00D92D76"/>
    <w:rsid w:val="00DD0539"/>
    <w:rsid w:val="00E01670"/>
    <w:rsid w:val="00E07662"/>
    <w:rsid w:val="00E368E9"/>
    <w:rsid w:val="00EE1E33"/>
    <w:rsid w:val="00F73F90"/>
    <w:rsid w:val="00FB4B3B"/>
    <w:rsid w:val="01474EBF"/>
    <w:rsid w:val="01F3521E"/>
    <w:rsid w:val="034C1DFD"/>
    <w:rsid w:val="03B87EA0"/>
    <w:rsid w:val="03E3214F"/>
    <w:rsid w:val="044C50BA"/>
    <w:rsid w:val="05BC6D49"/>
    <w:rsid w:val="06194FF1"/>
    <w:rsid w:val="06A2550B"/>
    <w:rsid w:val="06F80EE2"/>
    <w:rsid w:val="07001CCA"/>
    <w:rsid w:val="075678DB"/>
    <w:rsid w:val="077B465F"/>
    <w:rsid w:val="079D7CC7"/>
    <w:rsid w:val="07CB687E"/>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575AEF"/>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0A5E32"/>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7F45E0"/>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24</Pages>
  <Words>8709</Words>
  <Characters>12037</Characters>
  <Lines>108</Lines>
  <Paragraphs>30</Paragraphs>
  <TotalTime>27</TotalTime>
  <ScaleCrop>false</ScaleCrop>
  <LinksUpToDate>false</LinksUpToDate>
  <CharactersWithSpaces>13214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2025-09-22T08:46:10Z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eyJoZGlkIjoiNjM0Zjk5YTc4NjQ1NmYyOGViZjRkNWIzZWJhYTE3YWEiLCJ1c2VySWQiOiIzODk0NTM2OTAifQ==</vt:lpwstr>
  </property>
</Properties>
</file>