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垫江县城北小学校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szCs w:val="32"/>
        </w:rPr>
      </w:pP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szCs w:val="32"/>
        </w:rPr>
      </w:pPr>
      <w:r>
        <w:rPr>
          <w:rFonts w:eastAsia="方正仿宋_GBK"/>
          <w:sz w:val="32"/>
          <w:szCs w:val="32"/>
        </w:rPr>
        <w:t>实施小学义务教育、适龄儿童义务教育；全面推进素质教育；学校卫生、安全、稳定；学校经费与校产管理；师资队伍建设；学前儿童教育和保育；制定本区域教育发展规划。</w:t>
      </w:r>
    </w:p>
    <w:p>
      <w:pPr>
        <w:spacing w:line="600" w:lineRule="exact"/>
        <w:ind w:firstLine="643" w:firstLineChars="200"/>
        <w:rPr>
          <w:rFonts w:hint="default" w:eastAsia="方正楷体_GBK"/>
          <w:b/>
          <w:sz w:val="32"/>
          <w:szCs w:val="32"/>
        </w:rPr>
      </w:pPr>
      <w:r>
        <w:rPr>
          <w:rFonts w:eastAsia="方正楷体_GBK"/>
          <w:b/>
          <w:sz w:val="32"/>
          <w:szCs w:val="32"/>
        </w:rPr>
        <w:t>（二）机构设置</w:t>
      </w:r>
    </w:p>
    <w:p>
      <w:pPr>
        <w:pStyle w:val="6"/>
        <w:shd w:val="clear" w:color="auto" w:fill="FFFFFF"/>
        <w:spacing w:before="0" w:beforeAutospacing="0" w:after="0" w:afterAutospacing="0" w:line="600" w:lineRule="exact"/>
        <w:ind w:firstLine="640" w:firstLineChars="200"/>
        <w:rPr>
          <w:rFonts w:hint="default" w:eastAsia="方正仿宋_GBK"/>
          <w:sz w:val="32"/>
          <w:szCs w:val="32"/>
        </w:rPr>
      </w:pPr>
      <w:r>
        <w:rPr>
          <w:rFonts w:eastAsia="方正仿宋_GBK"/>
          <w:sz w:val="32"/>
          <w:szCs w:val="32"/>
        </w:rPr>
        <w:t>学校单位领导职数3名(校长1名、副校长2名)，内设机构领导职数4名，内设机构有德育处、教务处、教科处、后勤处。</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2024年度收入总计1816.54万元，支出总计</w:t>
      </w:r>
      <w:r>
        <w:rPr>
          <w:rFonts w:ascii="方正仿宋_GBK" w:hAnsi="方正仿宋_GBK" w:eastAsia="方正仿宋_GBK" w:cs="方正仿宋_GBK"/>
          <w:sz w:val="32"/>
          <w:szCs w:val="32"/>
        </w:rPr>
        <w:t>1816.54</w:t>
      </w:r>
      <w:r>
        <w:rPr>
          <w:rFonts w:ascii="方正仿宋_GBK" w:hAnsi="方正仿宋_GBK" w:eastAsia="方正仿宋_GBK" w:cs="方正仿宋_GBK"/>
          <w:sz w:val="32"/>
          <w:szCs w:val="32"/>
          <w:shd w:val="clear" w:color="auto" w:fill="FFFFFF"/>
        </w:rPr>
        <w:t>万元。收、支与2023年度相比，减少453.37万元，下降19.97%，主要原因是2023年清算补发以前年度超额绩效和健康休养费。</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2024年度收入合计1779.06万元，与2023年度相比，减少403.47万元，下降18.49%，主要原因是2023年清算补发以前年度超额绩效和健康休养费。其中：财政拨款收入</w:t>
      </w:r>
      <w:r>
        <w:rPr>
          <w:rFonts w:ascii="方正仿宋_GBK" w:hAnsi="方正仿宋_GBK" w:eastAsia="方正仿宋_GBK" w:cs="方正仿宋_GBK"/>
          <w:sz w:val="32"/>
          <w:szCs w:val="32"/>
        </w:rPr>
        <w:t>1621.60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91.15</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24.13</w:t>
      </w:r>
      <w:r>
        <w:rPr>
          <w:rFonts w:ascii="方正仿宋_GBK" w:hAnsi="方正仿宋_GBK" w:eastAsia="方正仿宋_GBK" w:cs="方正仿宋_GBK"/>
          <w:sz w:val="32"/>
          <w:szCs w:val="32"/>
          <w:shd w:val="clear" w:color="auto" w:fill="FFFFFF"/>
        </w:rPr>
        <w:t>万元，占1.36%；经营收入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133.32</w:t>
      </w:r>
      <w:r>
        <w:rPr>
          <w:rFonts w:ascii="方正仿宋_GBK" w:hAnsi="方正仿宋_GBK" w:eastAsia="方正仿宋_GBK" w:cs="方正仿宋_GBK"/>
          <w:sz w:val="32"/>
          <w:szCs w:val="32"/>
          <w:shd w:val="clear" w:color="auto" w:fill="FFFFFF"/>
        </w:rPr>
        <w:t>万元，占7.49%。此外，使用非财政拨款结余和专用结余</w:t>
      </w:r>
      <w:r>
        <w:rPr>
          <w:rFonts w:ascii="方正仿宋_GBK" w:hAnsi="方正仿宋_GBK" w:eastAsia="方正仿宋_GBK" w:cs="方正仿宋_GBK"/>
          <w:sz w:val="32"/>
          <w:szCs w:val="32"/>
        </w:rPr>
        <w:t>37.49</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1816.54</w:t>
      </w:r>
      <w:r>
        <w:rPr>
          <w:rFonts w:ascii="方正仿宋_GBK" w:hAnsi="方正仿宋_GBK" w:eastAsia="方正仿宋_GBK" w:cs="方正仿宋_GBK"/>
          <w:sz w:val="32"/>
          <w:szCs w:val="32"/>
          <w:shd w:val="clear" w:color="auto" w:fill="FFFFFF"/>
        </w:rPr>
        <w:t>万元，与2023年度相比，减少402.84万元，下降18.15%，主要原因是2023年清算补发以前年度超额绩效和健康休养费。其中：基本支出</w:t>
      </w:r>
      <w:r>
        <w:rPr>
          <w:rFonts w:ascii="方正仿宋_GBK" w:hAnsi="方正仿宋_GBK" w:eastAsia="方正仿宋_GBK" w:cs="方正仿宋_GBK"/>
          <w:sz w:val="32"/>
          <w:szCs w:val="32"/>
        </w:rPr>
        <w:t>1658.31</w:t>
      </w:r>
      <w:r>
        <w:rPr>
          <w:rFonts w:ascii="方正仿宋_GBK" w:hAnsi="方正仿宋_GBK" w:eastAsia="方正仿宋_GBK" w:cs="方正仿宋_GBK"/>
          <w:sz w:val="32"/>
          <w:szCs w:val="32"/>
          <w:shd w:val="clear" w:color="auto" w:fill="FFFFFF"/>
        </w:rPr>
        <w:t>万元，占91.29%；项目支出</w:t>
      </w:r>
      <w:r>
        <w:rPr>
          <w:rFonts w:ascii="方正仿宋_GBK" w:hAnsi="方正仿宋_GBK" w:eastAsia="方正仿宋_GBK" w:cs="方正仿宋_GBK"/>
          <w:sz w:val="32"/>
          <w:szCs w:val="32"/>
        </w:rPr>
        <w:t>158.23</w:t>
      </w:r>
      <w:r>
        <w:rPr>
          <w:rFonts w:ascii="方正仿宋_GBK" w:hAnsi="方正仿宋_GBK" w:eastAsia="方正仿宋_GBK" w:cs="方正仿宋_GBK"/>
          <w:sz w:val="32"/>
          <w:szCs w:val="32"/>
          <w:shd w:val="clear" w:color="auto" w:fill="FFFFFF"/>
        </w:rPr>
        <w:t>万元，占8.71%；经营支出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2024年度财政拨款收、支总计1621.60万元。与2023年相比，财政拨款收、支总计各减少382.09万元，下降19.07%。主要原因是2023年清算补发以前年度超额绩效和健康休养费。</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1621.60</w:t>
      </w:r>
      <w:r>
        <w:rPr>
          <w:rFonts w:ascii="方正仿宋_GBK" w:hAnsi="方正仿宋_GBK" w:eastAsia="方正仿宋_GBK" w:cs="方正仿宋_GBK"/>
          <w:sz w:val="32"/>
          <w:szCs w:val="32"/>
          <w:shd w:val="clear" w:color="auto" w:fill="FFFFFF"/>
        </w:rPr>
        <w:t>万元，与2023年度相比，减少77.80万元，下降4.58%。主要原因是2023年清算补发以前年度超额绩效和健康休养费。较年初预算数增加167.52万元，增长11.52%。主要原因是超额绩效纳入养老保险和职业年金缴费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1621.60</w:t>
      </w:r>
      <w:r>
        <w:rPr>
          <w:rFonts w:ascii="方正仿宋_GBK" w:hAnsi="方正仿宋_GBK" w:eastAsia="方正仿宋_GBK" w:cs="方正仿宋_GBK"/>
          <w:sz w:val="32"/>
          <w:szCs w:val="32"/>
          <w:shd w:val="clear" w:color="auto" w:fill="FFFFFF"/>
        </w:rPr>
        <w:t>万元，与2023年度相比，减少77.80万元，下降4.58%。主要原因是2023年清算补发以前年度超额绩效和健康休养费。较年初预算数增加167.52万元，增长11.52%。主要原因是超额绩效纳入养老保险和职业年金缴费基数。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1130.22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69.70</w:t>
      </w:r>
      <w:r>
        <w:rPr>
          <w:rFonts w:ascii="方正仿宋_GBK" w:hAnsi="方正仿宋_GBK" w:eastAsia="方正仿宋_GBK" w:cs="方正仿宋_GBK"/>
          <w:sz w:val="32"/>
          <w:szCs w:val="32"/>
          <w:shd w:val="clear" w:color="auto" w:fill="FFFFFF"/>
        </w:rPr>
        <w:t>%，较年初预算数增加91.55万元，增长8.81%，主要原因是本年预算执行中教职工正常晋升、岗位职级变化等人员经费增加所致。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373.40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23.03</w:t>
      </w:r>
      <w:r>
        <w:rPr>
          <w:rFonts w:ascii="方正仿宋_GBK" w:hAnsi="方正仿宋_GBK" w:eastAsia="方正仿宋_GBK" w:cs="方正仿宋_GBK"/>
          <w:sz w:val="32"/>
          <w:szCs w:val="32"/>
          <w:shd w:val="clear" w:color="auto" w:fill="FFFFFF"/>
        </w:rPr>
        <w:t>%，较年初预算数增加75.96万元，增长25.54%，主要原因是本年预算执行中将超额绩效纳入养老保险和职业年金基数增加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53.75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3.31</w:t>
      </w:r>
      <w:r>
        <w:rPr>
          <w:rFonts w:ascii="方正仿宋_GBK" w:hAnsi="方正仿宋_GBK" w:eastAsia="方正仿宋_GBK" w:cs="方正仿宋_GBK"/>
          <w:sz w:val="32"/>
          <w:szCs w:val="32"/>
          <w:shd w:val="clear" w:color="auto" w:fill="FFFFFF"/>
        </w:rPr>
        <w:t>%，较年初预算数增加0.13万元，增长0.24%，主要原因是本年预算执行中补缴职工基本医疗保险缴费所致。</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住房保障支出64.23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3.96</w:t>
      </w:r>
      <w:r>
        <w:rPr>
          <w:rFonts w:ascii="方正仿宋_GBK" w:hAnsi="方正仿宋_GBK" w:eastAsia="方正仿宋_GBK" w:cs="方正仿宋_GBK"/>
          <w:sz w:val="32"/>
          <w:szCs w:val="32"/>
          <w:shd w:val="clear" w:color="auto" w:fill="FFFFFF"/>
        </w:rPr>
        <w:t>%，较年初预算数减少0.12万元，下降0.19%，主要原因是本年预算执行中教职工退休后减少了缴费基数。</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bookmarkStart w:id="0" w:name="_GoBack"/>
      <w:bookmarkEnd w:id="0"/>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1463.37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1437.28</w:t>
      </w:r>
      <w:r>
        <w:rPr>
          <w:rFonts w:ascii="方正仿宋_GBK" w:hAnsi="方正仿宋_GBK" w:eastAsia="方正仿宋_GBK" w:cs="方正仿宋_GBK"/>
          <w:sz w:val="32"/>
          <w:szCs w:val="32"/>
          <w:shd w:val="clear" w:color="auto" w:fill="FFFFFF"/>
        </w:rPr>
        <w:t>万元，与2023年度相比，减少136.69万元，下降8.68%，主要原因是2023年清算补发以前年度超额绩效和健康休养费。人员经费用途主要包括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26.09</w:t>
      </w:r>
      <w:r>
        <w:rPr>
          <w:rFonts w:ascii="方正仿宋_GBK" w:hAnsi="方正仿宋_GBK" w:eastAsia="方正仿宋_GBK" w:cs="方正仿宋_GBK"/>
          <w:sz w:val="32"/>
          <w:szCs w:val="32"/>
          <w:shd w:val="clear" w:color="auto" w:fill="FFFFFF"/>
        </w:rPr>
        <w:t>万元，与2023年度相比，减少1.60万元，下降5.78%，主要原因是工会经费、培训费、福利费的预算基数减少所致。公用经费用途主要包括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万元，与2023年度相比，减少304.28万元，下降100.00%，本年支出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万元，与2023年度相比，减少304.28万元，下降100.00%。本单位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2.58</w:t>
      </w:r>
      <w:r>
        <w:rPr>
          <w:rFonts w:ascii="方正仿宋_GBK" w:hAnsi="方正仿宋_GBK" w:eastAsia="方正仿宋_GBK" w:cs="方正仿宋_GBK"/>
          <w:sz w:val="32"/>
          <w:szCs w:val="32"/>
          <w:shd w:val="clear" w:color="auto" w:fill="FFFFFF"/>
        </w:rPr>
        <w:t>万元，与2023年度相比，减少1.93万元，下降42.79%，主要原因是学校压缩公用经费支出，减少了师资队伍的培训</w:t>
      </w:r>
      <w:r>
        <w:rPr>
          <w:rFonts w:hint="default"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hint="default"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rPr>
        <w:t>个二级项目开展了绩效自评，涉及财政拨款项目支出资金158.23万元。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727700" cy="5469255"/>
            <wp:effectExtent l="0" t="0" r="635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727700" cy="5469255"/>
                    </a:xfrm>
                    <a:prstGeom prst="rect">
                      <a:avLst/>
                    </a:prstGeom>
                    <a:noFill/>
                    <a:ln>
                      <a:noFill/>
                    </a:ln>
                  </pic:spPr>
                </pic:pic>
              </a:graphicData>
            </a:graphic>
          </wp:inline>
        </w:drawing>
      </w:r>
      <w:r>
        <w:drawing>
          <wp:inline distT="0" distB="0" distL="114300" distR="114300">
            <wp:extent cx="5495925" cy="5391785"/>
            <wp:effectExtent l="0" t="0" r="0" b="889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5495925" cy="5391785"/>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rPr>
        <w:t>何老师   023-74695005</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垫江县城北小学校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1,621.60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373.40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1,779.06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1,816.54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1,816.54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237" w:type="dxa"/>
        <w:tblInd w:w="0" w:type="dxa"/>
        <w:tblLayout w:type="fixed"/>
        <w:tblCellMar>
          <w:top w:w="0" w:type="dxa"/>
          <w:left w:w="0" w:type="dxa"/>
          <w:bottom w:w="0" w:type="dxa"/>
          <w:right w:w="0" w:type="dxa"/>
        </w:tblCellMar>
      </w:tblPr>
      <w:tblGrid>
        <w:gridCol w:w="1436"/>
        <w:gridCol w:w="3421"/>
        <w:gridCol w:w="1044"/>
        <w:gridCol w:w="1408"/>
        <w:gridCol w:w="1228"/>
        <w:gridCol w:w="1228"/>
        <w:gridCol w:w="1361"/>
        <w:gridCol w:w="1299"/>
        <w:gridCol w:w="1432"/>
        <w:gridCol w:w="1380"/>
      </w:tblGrid>
      <w:tr>
        <w:tblPrEx>
          <w:tblLayout w:type="fixed"/>
          <w:tblCellMar>
            <w:top w:w="0" w:type="dxa"/>
            <w:left w:w="0" w:type="dxa"/>
            <w:bottom w:w="0" w:type="dxa"/>
            <w:right w:w="0" w:type="dxa"/>
          </w:tblCellMar>
        </w:tblPrEx>
        <w:trPr>
          <w:trHeight w:val="641" w:hRule="atLeast"/>
        </w:trPr>
        <w:tc>
          <w:tcPr>
            <w:tcW w:w="15237"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垫江县城北小学校</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5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421"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42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42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42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1,779.06</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1,621.60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24.13</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24.13</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133.32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1,287.67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1,130.22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1,285.09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1,127.64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1,211.53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1,083.21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128.32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垫江县城北小学校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1,816.54</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1,658.31</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158.23</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1,325.16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1,167.52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1,322.58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1,164.94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1,247.17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1,133.95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372.81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372.81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171.14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垫江县城北小学校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1,621.60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1,621.60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1,621.60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垫江县城北小学校</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1,621.60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1,463.37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158.23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1,130.22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972.57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1,127.64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969.99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1,083.21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969.99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113.21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372.81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372.81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134.65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134.65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67.02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67.02</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171.14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53.75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53.75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垫江县城北小学校</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1,266.14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306.48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617.44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134.65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171.14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159.34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1,437.28</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26.09</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垫江县城北小学校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垫江县城北小学校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垫江县城北小学校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D68"/>
    <w:rsid w:val="000C01CC"/>
    <w:rsid w:val="000D7702"/>
    <w:rsid w:val="00261065"/>
    <w:rsid w:val="002D0E5A"/>
    <w:rsid w:val="002E5443"/>
    <w:rsid w:val="0032196C"/>
    <w:rsid w:val="003A0EFD"/>
    <w:rsid w:val="003D6570"/>
    <w:rsid w:val="004C12FF"/>
    <w:rsid w:val="00550ABE"/>
    <w:rsid w:val="005B023C"/>
    <w:rsid w:val="00600322"/>
    <w:rsid w:val="006137D7"/>
    <w:rsid w:val="00634FA8"/>
    <w:rsid w:val="0063613A"/>
    <w:rsid w:val="006E2034"/>
    <w:rsid w:val="00732392"/>
    <w:rsid w:val="00792285"/>
    <w:rsid w:val="007A0D2E"/>
    <w:rsid w:val="007A3314"/>
    <w:rsid w:val="007B419D"/>
    <w:rsid w:val="007D648C"/>
    <w:rsid w:val="00810F13"/>
    <w:rsid w:val="00944711"/>
    <w:rsid w:val="009821E3"/>
    <w:rsid w:val="00984852"/>
    <w:rsid w:val="009B67B8"/>
    <w:rsid w:val="00A03B1E"/>
    <w:rsid w:val="00A41336"/>
    <w:rsid w:val="00A67739"/>
    <w:rsid w:val="00A820B7"/>
    <w:rsid w:val="00AC5566"/>
    <w:rsid w:val="00B03CCD"/>
    <w:rsid w:val="00B40138"/>
    <w:rsid w:val="00BF5A85"/>
    <w:rsid w:val="00C307F6"/>
    <w:rsid w:val="00C96B11"/>
    <w:rsid w:val="00CC6B99"/>
    <w:rsid w:val="00DD3BF6"/>
    <w:rsid w:val="00DF7706"/>
    <w:rsid w:val="00E05175"/>
    <w:rsid w:val="00E654E2"/>
    <w:rsid w:val="00E76362"/>
    <w:rsid w:val="00F137D3"/>
    <w:rsid w:val="00F13C36"/>
    <w:rsid w:val="00F23C68"/>
    <w:rsid w:val="00F32C53"/>
    <w:rsid w:val="00F73F90"/>
    <w:rsid w:val="00F7623D"/>
    <w:rsid w:val="00F8598B"/>
    <w:rsid w:val="00FA0819"/>
    <w:rsid w:val="00FB04BD"/>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AC3D09"/>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4306D2"/>
    <w:rsid w:val="2C6762A3"/>
    <w:rsid w:val="2EBF7B3E"/>
    <w:rsid w:val="2EDE1934"/>
    <w:rsid w:val="2FCA4B37"/>
    <w:rsid w:val="2FE029D7"/>
    <w:rsid w:val="2FE156BB"/>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3E04AE"/>
    <w:rsid w:val="4A6F6675"/>
    <w:rsid w:val="4B0502DF"/>
    <w:rsid w:val="4B135857"/>
    <w:rsid w:val="4B7951CB"/>
    <w:rsid w:val="4B7C315C"/>
    <w:rsid w:val="4DAC4ACA"/>
    <w:rsid w:val="4DBE01D2"/>
    <w:rsid w:val="4EF4662F"/>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93D7BAC"/>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70194"/>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8126E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8354</Words>
  <Characters>10958</Characters>
  <Lines>98</Lines>
  <Paragraphs>27</Paragraphs>
  <TotalTime>1</TotalTime>
  <ScaleCrop>false</ScaleCrop>
  <LinksUpToDate>false</LinksUpToDate>
  <CharactersWithSpaces>11997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2025-09-22T08:29:29Z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C86FCBA85DFC4FBFB0F606306C7D443B_13</vt:lpwstr>
  </property>
  <property fmtid="{D5CDD505-2E9C-101B-9397-08002B2CF9AE}" pid="4" name="KSOTemplateDocerSaveRecord">
    <vt:lpwstr>eyJoZGlkIjoiNjM0Zjk5YTc4NjQ1NmYyOGViZjRkNWIzZWJhYTE3YWEiLCJ1c2VySWQiOiIzODk0NTM2OTAifQ==</vt:lpwstr>
  </property>
</Properties>
</file>