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垫江县裴兴学校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ascii="Times New Roman" w:hAnsi="Times New Roman" w:eastAsia="方正黑体_GBK"/>
          <w:sz w:val="32"/>
        </w:rPr>
      </w:pP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一、单位基本情况</w:t>
      </w:r>
    </w:p>
    <w:p>
      <w:pPr>
        <w:widowControl w:val="0"/>
        <w:spacing w:line="600" w:lineRule="exact"/>
        <w:ind w:firstLine="643" w:firstLineChars="200"/>
        <w:jc w:val="both"/>
        <w:rPr>
          <w:rFonts w:hint="default" w:ascii="Calibri" w:hAnsi="Calibri" w:eastAsia="方正楷体_GBK"/>
          <w:b/>
          <w:bCs/>
          <w:kern w:val="2"/>
          <w:sz w:val="32"/>
          <w:szCs w:val="22"/>
        </w:rPr>
      </w:pPr>
      <w:r>
        <w:rPr>
          <w:rFonts w:ascii="Calibri" w:hAnsi="Calibri" w:eastAsia="方正楷体_GBK"/>
          <w:b/>
          <w:bCs/>
          <w:kern w:val="2"/>
          <w:sz w:val="32"/>
          <w:szCs w:val="22"/>
        </w:rPr>
        <w:t>（一）职能职责</w:t>
      </w:r>
    </w:p>
    <w:p>
      <w:pPr>
        <w:widowControl w:val="0"/>
        <w:spacing w:line="600" w:lineRule="exact"/>
        <w:ind w:firstLine="640" w:firstLineChars="200"/>
        <w:jc w:val="both"/>
        <w:rPr>
          <w:rFonts w:hint="default" w:ascii="Calibri" w:hAnsi="Calibri" w:eastAsia="方正仿宋_GBK"/>
          <w:kern w:val="2"/>
          <w:sz w:val="32"/>
          <w:szCs w:val="22"/>
        </w:rPr>
      </w:pPr>
      <w:r>
        <w:rPr>
          <w:rFonts w:ascii="Calibri" w:hAnsi="Calibri" w:eastAsia="方正仿宋_GBK"/>
          <w:kern w:val="2"/>
          <w:sz w:val="32"/>
          <w:szCs w:val="22"/>
        </w:rPr>
        <w:t>1</w:t>
      </w:r>
      <w:r>
        <w:rPr>
          <w:rFonts w:hint="eastAsia" w:ascii="Calibri" w:hAnsi="Calibri" w:eastAsia="方正仿宋_GBK"/>
          <w:kern w:val="2"/>
          <w:sz w:val="32"/>
          <w:szCs w:val="22"/>
          <w:lang w:val="en-US" w:eastAsia="zh-CN"/>
        </w:rPr>
        <w:t>.</w:t>
      </w:r>
      <w:r>
        <w:rPr>
          <w:rFonts w:ascii="Calibri" w:hAnsi="Calibri" w:eastAsia="方正仿宋_GBK"/>
          <w:kern w:val="2"/>
          <w:sz w:val="32"/>
          <w:szCs w:val="22"/>
        </w:rPr>
        <w:t>负责适龄儿童、青少年义务教育工作；负责辖区学前儿童教育与保育工作。</w:t>
      </w:r>
    </w:p>
    <w:p>
      <w:pPr>
        <w:widowControl w:val="0"/>
        <w:tabs>
          <w:tab w:val="center" w:pos="4153"/>
          <w:tab w:val="left" w:pos="7275"/>
        </w:tabs>
        <w:spacing w:line="600" w:lineRule="exact"/>
        <w:ind w:firstLine="640" w:firstLineChars="200"/>
        <w:jc w:val="both"/>
        <w:rPr>
          <w:rFonts w:hint="default" w:ascii="Times New Roman" w:hAnsi="Times New Roman" w:eastAsia="方正仿宋_GBK"/>
          <w:kern w:val="2"/>
          <w:sz w:val="32"/>
          <w:szCs w:val="22"/>
        </w:rPr>
      </w:pPr>
      <w:r>
        <w:rPr>
          <w:rFonts w:ascii="Calibri" w:hAnsi="Calibri" w:eastAsia="方正仿宋_GBK"/>
          <w:kern w:val="2"/>
          <w:sz w:val="32"/>
          <w:szCs w:val="22"/>
        </w:rPr>
        <w:t>2</w:t>
      </w:r>
      <w:r>
        <w:rPr>
          <w:rFonts w:hint="eastAsia" w:ascii="Calibri" w:hAnsi="Calibri" w:eastAsia="方正仿宋_GBK"/>
          <w:kern w:val="2"/>
          <w:sz w:val="32"/>
          <w:szCs w:val="22"/>
          <w:lang w:val="en-US" w:eastAsia="zh-CN"/>
        </w:rPr>
        <w:t>.</w:t>
      </w:r>
      <w:r>
        <w:rPr>
          <w:rFonts w:ascii="Calibri" w:hAnsi="Calibri" w:eastAsia="方正仿宋_GBK"/>
          <w:kern w:val="2"/>
          <w:sz w:val="32"/>
          <w:szCs w:val="22"/>
        </w:rPr>
        <w:t>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r>
        <w:rPr>
          <w:rFonts w:ascii="Times New Roman" w:hAnsi="Times New Roman" w:eastAsia="方正仿宋_GBK"/>
          <w:kern w:val="2"/>
          <w:sz w:val="32"/>
          <w:szCs w:val="22"/>
        </w:rPr>
        <w:t>。</w:t>
      </w:r>
    </w:p>
    <w:p>
      <w:pPr>
        <w:spacing w:line="600" w:lineRule="exact"/>
        <w:ind w:firstLine="643" w:firstLineChars="200"/>
        <w:rPr>
          <w:rFonts w:hint="default" w:ascii="Times New Roman" w:hAnsi="Times New Roman" w:eastAsia="方正仿宋_GBK"/>
          <w:sz w:val="32"/>
        </w:rPr>
      </w:pPr>
      <w:r>
        <w:rPr>
          <w:rFonts w:ascii="方正楷体_GBK" w:eastAsia="方正楷体_GBK"/>
          <w:b/>
          <w:sz w:val="32"/>
          <w:szCs w:val="32"/>
        </w:rPr>
        <w:t>（二）机构设置</w:t>
      </w:r>
    </w:p>
    <w:p>
      <w:pPr>
        <w:pStyle w:val="6"/>
        <w:shd w:val="clear" w:color="auto" w:fill="FFFFFF"/>
        <w:spacing w:before="0" w:beforeAutospacing="0" w:after="0" w:afterAutospacing="0" w:line="600" w:lineRule="exact"/>
        <w:ind w:firstLine="640" w:firstLineChars="200"/>
        <w:rPr>
          <w:rFonts w:hint="default" w:ascii="方正楷体_GBK" w:eastAsia="方正楷体_GBK"/>
          <w:b/>
          <w:sz w:val="32"/>
          <w:szCs w:val="32"/>
        </w:rPr>
      </w:pPr>
      <w:r>
        <w:rPr>
          <w:rFonts w:ascii="Times New Roman" w:hAnsi="Times New Roman" w:eastAsia="方正仿宋_GBK"/>
          <w:kern w:val="2"/>
          <w:sz w:val="32"/>
          <w:szCs w:val="22"/>
        </w:rPr>
        <w:t>学校单位领导职数3名，其中：校长1名、副校长2名；内设机构领导职数4名，内设机构有德育处、教务处、教科处、后勤处</w:t>
      </w:r>
      <w:r>
        <w:rPr>
          <w:rFonts w:ascii="方正仿宋_GBK" w:eastAsia="方正仿宋_GBK"/>
          <w:sz w:val="32"/>
          <w:szCs w:val="32"/>
        </w:rPr>
        <w:t>。</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2024年度收入总计1127.11万元，支出总计</w:t>
      </w:r>
      <w:r>
        <w:rPr>
          <w:rFonts w:ascii="方正仿宋_GBK" w:hAnsi="方正仿宋_GBK" w:eastAsia="方正仿宋_GBK" w:cs="方正仿宋_GBK"/>
          <w:sz w:val="32"/>
          <w:szCs w:val="32"/>
        </w:rPr>
        <w:t>1127.11</w:t>
      </w:r>
      <w:r>
        <w:rPr>
          <w:rFonts w:ascii="方正仿宋_GBK" w:hAnsi="方正仿宋_GBK" w:eastAsia="方正仿宋_GBK" w:cs="方正仿宋_GBK"/>
          <w:sz w:val="32"/>
          <w:szCs w:val="32"/>
          <w:shd w:val="clear" w:color="auto" w:fill="FFFFFF"/>
        </w:rPr>
        <w:t>万元。收、支与2023年度相比，减少119.46万元，下降9.58%，主要原因是2023年清算补发以前年度超额绩效、健康休养费。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2024年度收入合计1125.13万元，与2023年度相比，减少63.39万元，下降5.33%，主要原因是2023年清算补发以前年度超额绩效、健康休养费。其中：财政拨款收入</w:t>
      </w:r>
      <w:r>
        <w:rPr>
          <w:rFonts w:ascii="方正仿宋_GBK" w:hAnsi="方正仿宋_GBK" w:eastAsia="方正仿宋_GBK" w:cs="方正仿宋_GBK"/>
          <w:sz w:val="32"/>
          <w:szCs w:val="32"/>
        </w:rPr>
        <w:t>1083.95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96.34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17.62</w:t>
      </w:r>
      <w:r>
        <w:rPr>
          <w:rFonts w:ascii="方正仿宋_GBK" w:hAnsi="方正仿宋_GBK" w:eastAsia="方正仿宋_GBK" w:cs="方正仿宋_GBK"/>
          <w:sz w:val="32"/>
          <w:szCs w:val="32"/>
          <w:shd w:val="clear" w:color="auto" w:fill="FFFFFF"/>
        </w:rPr>
        <w:t>万元，占1.57%；经营收入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23.55</w:t>
      </w:r>
      <w:r>
        <w:rPr>
          <w:rFonts w:ascii="方正仿宋_GBK" w:hAnsi="方正仿宋_GBK" w:eastAsia="方正仿宋_GBK" w:cs="方正仿宋_GBK"/>
          <w:sz w:val="32"/>
          <w:szCs w:val="32"/>
          <w:shd w:val="clear" w:color="auto" w:fill="FFFFFF"/>
        </w:rPr>
        <w:t>万元，占2.09%。此外，使用非财政拨款结余和专用结余</w:t>
      </w:r>
      <w:r>
        <w:rPr>
          <w:rFonts w:ascii="方正仿宋_GBK" w:hAnsi="方正仿宋_GBK" w:eastAsia="方正仿宋_GBK" w:cs="方正仿宋_GBK"/>
          <w:sz w:val="32"/>
          <w:szCs w:val="32"/>
        </w:rPr>
        <w:t>1.98</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1125.23</w:t>
      </w:r>
      <w:r>
        <w:rPr>
          <w:rFonts w:ascii="方正仿宋_GBK" w:hAnsi="方正仿宋_GBK" w:eastAsia="方正仿宋_GBK" w:cs="方正仿宋_GBK"/>
          <w:sz w:val="32"/>
          <w:szCs w:val="32"/>
          <w:shd w:val="clear" w:color="auto" w:fill="FFFFFF"/>
        </w:rPr>
        <w:t>万元，与2023年度相比，减少110.92万元，下降8.97%，主要原因是2023年清算补发以前年度超额绩效、健康休养费。其中：基本支出</w:t>
      </w:r>
      <w:r>
        <w:rPr>
          <w:rFonts w:ascii="方正仿宋_GBK" w:hAnsi="方正仿宋_GBK" w:eastAsia="方正仿宋_GBK" w:cs="方正仿宋_GBK"/>
          <w:sz w:val="32"/>
          <w:szCs w:val="32"/>
        </w:rPr>
        <w:t>1008.86</w:t>
      </w:r>
      <w:r>
        <w:rPr>
          <w:rFonts w:ascii="方正仿宋_GBK" w:hAnsi="方正仿宋_GBK" w:eastAsia="方正仿宋_GBK" w:cs="方正仿宋_GBK"/>
          <w:sz w:val="32"/>
          <w:szCs w:val="32"/>
          <w:shd w:val="clear" w:color="auto" w:fill="FFFFFF"/>
        </w:rPr>
        <w:t>万元，占89.66%；项目支出</w:t>
      </w:r>
      <w:r>
        <w:rPr>
          <w:rFonts w:ascii="方正仿宋_GBK" w:hAnsi="方正仿宋_GBK" w:eastAsia="方正仿宋_GBK" w:cs="方正仿宋_GBK"/>
          <w:sz w:val="32"/>
          <w:szCs w:val="32"/>
        </w:rPr>
        <w:t>116.38</w:t>
      </w:r>
      <w:r>
        <w:rPr>
          <w:rFonts w:ascii="方正仿宋_GBK" w:hAnsi="方正仿宋_GBK" w:eastAsia="方正仿宋_GBK" w:cs="方正仿宋_GBK"/>
          <w:sz w:val="32"/>
          <w:szCs w:val="32"/>
          <w:shd w:val="clear" w:color="auto" w:fill="FFFFFF"/>
        </w:rPr>
        <w:t>万元，占10.34%；经营支出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2024年度财政拨款收、支总计1083.95万元。与2023年相比，财政拨款收、支总计各减少37.60万元，下降3.35%。主要原因是2023年清算补发以前年度超额绩效、健康休养费。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1077.95</w:t>
      </w:r>
      <w:r>
        <w:rPr>
          <w:rFonts w:ascii="方正仿宋_GBK" w:hAnsi="方正仿宋_GBK" w:eastAsia="方正仿宋_GBK" w:cs="方正仿宋_GBK"/>
          <w:sz w:val="32"/>
          <w:szCs w:val="32"/>
          <w:shd w:val="clear" w:color="auto" w:fill="FFFFFF"/>
        </w:rPr>
        <w:t>万元，与2023年度相比，减少43.00万元，下降3.84%。主要原因是2023年清算补发以前年度超额绩效、健康休养费。较年初预算数增加123.15万元，增长12.90%。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1077.95</w:t>
      </w:r>
      <w:r>
        <w:rPr>
          <w:rFonts w:ascii="方正仿宋_GBK" w:hAnsi="方正仿宋_GBK" w:eastAsia="方正仿宋_GBK" w:cs="方正仿宋_GBK"/>
          <w:sz w:val="32"/>
          <w:szCs w:val="32"/>
          <w:shd w:val="clear" w:color="auto" w:fill="FFFFFF"/>
        </w:rPr>
        <w:t>万元，与2023年度相比，减少43.60万元，下降3.89%。主要原因是2023年清算补发以前年度超额绩效、健康休养费。较年初预算数增加123.15万元，增长12.90%。主要原因是超额绩效纳入养老保险和职业年金基数。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r>
        <w:rPr>
          <w:rFonts w:hint="default" w:ascii="方正仿宋_GBK" w:hAnsi="方正仿宋_GBK" w:eastAsia="方正仿宋_GBK" w:cs="方正仿宋_GBK"/>
          <w:sz w:val="32"/>
          <w:szCs w:val="32"/>
        </w:rPr>
        <w:t xml:space="preserve">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687.56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63.78</w:t>
      </w:r>
      <w:r>
        <w:rPr>
          <w:rFonts w:ascii="方正仿宋_GBK" w:hAnsi="方正仿宋_GBK" w:eastAsia="方正仿宋_GBK" w:cs="方正仿宋_GBK"/>
          <w:sz w:val="32"/>
          <w:szCs w:val="32"/>
          <w:shd w:val="clear" w:color="auto" w:fill="FFFFFF"/>
        </w:rPr>
        <w:t>%，较年初预算数增加64.43万元，增长10.34%，主要原因是本年预算执行中教职工正常晋升、岗位职级变化等人员经费增加所致。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318.58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29.55</w:t>
      </w:r>
      <w:r>
        <w:rPr>
          <w:rFonts w:ascii="方正仿宋_GBK" w:hAnsi="方正仿宋_GBK" w:eastAsia="方正仿宋_GBK" w:cs="方正仿宋_GBK"/>
          <w:sz w:val="32"/>
          <w:szCs w:val="32"/>
          <w:shd w:val="clear" w:color="auto" w:fill="FFFFFF"/>
        </w:rPr>
        <w:t>%，较年初预算数增加60.55万元，增长23.47%，主要原因是本年预算执行中将超额绩效纳入养老保险和职业年金基数增加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3.03</w:t>
      </w:r>
      <w:r>
        <w:rPr>
          <w:rFonts w:ascii="方正仿宋_GBK" w:hAnsi="方正仿宋_GBK" w:eastAsia="方正仿宋_GBK" w:cs="方正仿宋_GBK"/>
          <w:sz w:val="32"/>
          <w:szCs w:val="32"/>
          <w:shd w:val="clear" w:color="auto" w:fill="FFFFFF"/>
        </w:rPr>
        <w:t>%，较年初预算数减少0.83万元，下降2.48%，主要原因是本年预算执行中教职工退休减少了缴费基数。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住房保障支出39.17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3.63</w:t>
      </w:r>
      <w:r>
        <w:rPr>
          <w:rFonts w:ascii="方正仿宋_GBK" w:hAnsi="方正仿宋_GBK" w:eastAsia="方正仿宋_GBK" w:cs="方正仿宋_GBK"/>
          <w:sz w:val="32"/>
          <w:szCs w:val="32"/>
          <w:shd w:val="clear" w:color="auto" w:fill="FFFFFF"/>
        </w:rPr>
        <w:t>%，较年初预算数减少1.00万元，下降2.49%，主要原因是本年预算执行中教职工退休减少了缴费基数。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969.18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949.89</w:t>
      </w:r>
      <w:r>
        <w:rPr>
          <w:rFonts w:ascii="方正仿宋_GBK" w:hAnsi="方正仿宋_GBK" w:eastAsia="方正仿宋_GBK" w:cs="方正仿宋_GBK"/>
          <w:sz w:val="32"/>
          <w:szCs w:val="32"/>
          <w:shd w:val="clear" w:color="auto" w:fill="FFFFFF"/>
        </w:rPr>
        <w:t>万元，与2023年度相比，减少69.81万元，下降6.85%，主要原因是2023年清算补发以前年度超额绩效、健康休养费。人员经费用途主要包括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19.30</w:t>
      </w:r>
      <w:r>
        <w:rPr>
          <w:rFonts w:ascii="方正仿宋_GBK" w:hAnsi="方正仿宋_GBK" w:eastAsia="方正仿宋_GBK" w:cs="方正仿宋_GBK"/>
          <w:sz w:val="32"/>
          <w:szCs w:val="32"/>
          <w:shd w:val="clear" w:color="auto" w:fill="FFFFFF"/>
        </w:rPr>
        <w:t>万元，与2023年度相比，减少1.51万元，下降7.26%，主要原因是工会经费、培训费、福利费的预算基数减少所致。公用经费用途主要包括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万元，与2023年度相比，增加6.00万元，增长100.00%，主要原因是2024年财政拨入政府性基金用于乡村少年宫项目建设。本年支出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万元，与2023年度相比，增加6.00万元，增长100.0%，主要原因是2024年财政拨入政府性基金用于乡村少年宫项目建设。</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585" w:firstLineChars="183"/>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2.05</w:t>
      </w:r>
      <w:r>
        <w:rPr>
          <w:rFonts w:ascii="方正仿宋_GBK" w:hAnsi="方正仿宋_GBK" w:eastAsia="方正仿宋_GBK" w:cs="方正仿宋_GBK"/>
          <w:sz w:val="32"/>
          <w:szCs w:val="32"/>
          <w:shd w:val="clear" w:color="auto" w:fill="FFFFFF"/>
        </w:rPr>
        <w:t>万元，与2023年度相比，减少1.71万元，下降45.48%，主要原因是学校压缩公用经费支出，减少了师资队伍的培训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根据预算绩效管理要求，我单位对14个二级项目开展了绩效自评，涉及财政拨款项目支出资金108.77万元。</w:t>
      </w:r>
    </w:p>
    <w:p>
      <w:pPr>
        <w:pStyle w:val="11"/>
        <w:widowControl w:val="0"/>
        <w:autoSpaceDE w:val="0"/>
        <w:spacing w:line="600" w:lineRule="atLeast"/>
        <w:ind w:firstLine="640"/>
        <w:rPr>
          <w:rFonts w:ascii="方正楷体_GBK" w:hAnsi="楷体" w:eastAsia="方正楷体_GBK" w:cs="楷体"/>
          <w:b/>
          <w:bCs/>
          <w:sz w:val="32"/>
          <w:szCs w:val="32"/>
          <w:shd w:val="clear" w:color="auto" w:fill="FFFFFF"/>
          <w:lang w:bidi="ar"/>
        </w:rPr>
      </w:pP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420360" cy="4820285"/>
            <wp:effectExtent l="0" t="0" r="889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420360" cy="4820285"/>
                    </a:xfrm>
                    <a:prstGeom prst="rect">
                      <a:avLst/>
                    </a:prstGeom>
                    <a:noFill/>
                    <a:ln>
                      <a:noFill/>
                    </a:ln>
                  </pic:spPr>
                </pic:pic>
              </a:graphicData>
            </a:graphic>
          </wp:inline>
        </w:drawing>
      </w:r>
      <w:r>
        <w:drawing>
          <wp:inline distT="0" distB="0" distL="114300" distR="114300">
            <wp:extent cx="5349240" cy="4946015"/>
            <wp:effectExtent l="0" t="0" r="381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34924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七、决算公开联系方式及信息反馈渠道</w:t>
      </w:r>
    </w:p>
    <w:p>
      <w:pPr>
        <w:pStyle w:val="6"/>
        <w:shd w:val="clear" w:color="auto" w:fill="FFFFFF"/>
        <w:spacing w:before="0" w:beforeAutospacing="0" w:after="0" w:afterAutospacing="0" w:line="600" w:lineRule="exact"/>
        <w:ind w:firstLine="640" w:firstLineChars="200"/>
        <w:rPr>
          <w:rFonts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刘老师：023-74599179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垫江县裴兴学校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1,077.95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17.62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728.84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23.55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318.58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32.64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39.17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1,125.13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1,125.23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1,127.11</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1,127.11</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450" w:type="dxa"/>
        <w:tblInd w:w="0" w:type="dxa"/>
        <w:tblLayout w:type="fixed"/>
        <w:tblCellMar>
          <w:top w:w="0" w:type="dxa"/>
          <w:left w:w="0" w:type="dxa"/>
          <w:bottom w:w="0" w:type="dxa"/>
          <w:right w:w="0" w:type="dxa"/>
        </w:tblCellMar>
      </w:tblPr>
      <w:tblGrid>
        <w:gridCol w:w="1429"/>
        <w:gridCol w:w="3499"/>
        <w:gridCol w:w="1000"/>
        <w:gridCol w:w="581"/>
        <w:gridCol w:w="867"/>
        <w:gridCol w:w="581"/>
        <w:gridCol w:w="675"/>
        <w:gridCol w:w="581"/>
        <w:gridCol w:w="855"/>
        <w:gridCol w:w="581"/>
        <w:gridCol w:w="879"/>
        <w:gridCol w:w="581"/>
        <w:gridCol w:w="712"/>
        <w:gridCol w:w="581"/>
        <w:gridCol w:w="476"/>
        <w:gridCol w:w="581"/>
        <w:gridCol w:w="410"/>
        <w:gridCol w:w="292"/>
        <w:gridCol w:w="289"/>
      </w:tblGrid>
      <w:tr>
        <w:tblPrEx>
          <w:tblLayout w:type="fixed"/>
          <w:tblCellMar>
            <w:top w:w="0" w:type="dxa"/>
            <w:left w:w="0" w:type="dxa"/>
            <w:bottom w:w="0" w:type="dxa"/>
            <w:right w:w="0" w:type="dxa"/>
          </w:tblCellMar>
        </w:tblPrEx>
        <w:trPr>
          <w:gridAfter w:val="1"/>
          <w:wAfter w:w="289" w:type="dxa"/>
          <w:trHeight w:val="641" w:hRule="atLeast"/>
        </w:trPr>
        <w:tc>
          <w:tcPr>
            <w:tcW w:w="15161" w:type="dxa"/>
            <w:gridSpan w:val="1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gridAfter w:val="2"/>
          <w:wAfter w:w="581" w:type="dxa"/>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垫江县裴兴学校</w:t>
            </w:r>
          </w:p>
        </w:tc>
        <w:tc>
          <w:tcPr>
            <w:tcW w:w="144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5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991"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gridAfter w:val="2"/>
          <w:wAfter w:w="581" w:type="dxa"/>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5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991"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6" w:hRule="exact"/>
        </w:trPr>
        <w:tc>
          <w:tcPr>
            <w:tcW w:w="492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9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12"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49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9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9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9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9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6" w:hRule="exact"/>
        </w:trPr>
        <w:tc>
          <w:tcPr>
            <w:tcW w:w="4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1,125.13</w:t>
            </w:r>
            <w:r>
              <w:rPr>
                <w:rFonts w:ascii="Times New Roman" w:hAnsi="Times New Roman"/>
                <w:b/>
                <w:sz w:val="20"/>
              </w:rPr>
              <w:t xml:space="preserve"> </w:t>
            </w:r>
          </w:p>
        </w:tc>
        <w:tc>
          <w:tcPr>
            <w:tcW w:w="14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1,083.95</w:t>
            </w:r>
            <w:r>
              <w:rPr>
                <w:rFonts w:ascii="Times New Roman" w:hAnsi="Times New Roman"/>
                <w:b/>
                <w:sz w:val="20"/>
              </w:rPr>
              <w:t xml:space="preserve"> </w:t>
            </w:r>
          </w:p>
        </w:tc>
        <w:tc>
          <w:tcPr>
            <w:tcW w:w="125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17.62</w:t>
            </w:r>
            <w:r>
              <w:rPr>
                <w:rFonts w:ascii="Times New Roman" w:hAnsi="Times New Roman"/>
                <w:b/>
                <w:sz w:val="20"/>
              </w:rPr>
              <w:t xml:space="preserve"> </w:t>
            </w:r>
          </w:p>
        </w:tc>
        <w:tc>
          <w:tcPr>
            <w:tcW w:w="1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17.62</w:t>
            </w:r>
            <w:r>
              <w:rPr>
                <w:rFonts w:ascii="Times New Roman" w:hAnsi="Times New Roman"/>
                <w:b/>
                <w:sz w:val="20"/>
              </w:rPr>
              <w:t xml:space="preserve"> </w:t>
            </w:r>
          </w:p>
        </w:tc>
        <w:tc>
          <w:tcPr>
            <w:tcW w:w="129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0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99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23.55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728.73</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687.56</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17.62</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17.62</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23.55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727.18</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686.01</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17.62</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17.62</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23.55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51.79</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34.17</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17.62</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17.62</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675.38</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651.84</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23.55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1.56</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1.56</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318.58</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318.58</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306.77</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306.77</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80.27</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80.27</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39.70</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39.70</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186.79</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186.79</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32.64</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32.64</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39.17</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39.17</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22960</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彩票公益金安排的支出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2296004</w:t>
            </w:r>
          </w:p>
        </w:tc>
        <w:tc>
          <w:tcPr>
            <w:tcW w:w="34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用于教育事业的彩票公益金支出</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垫江县裴兴学校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6"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6"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1,125.23</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1,008.86</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116.38</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728.84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630.81</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98.03</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727.28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629.25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98.03</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53.77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19.43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34.35</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673.51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609.82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63.68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318.58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306.23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12.35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306.77</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306.23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0.54</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80.27</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186.79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186.25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0.54</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32.64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32.64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39.17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39.17</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2296004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用于教育事业的彩票公益金支出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垫江县裴兴学校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1,077.95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687.56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687.56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318.58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318.58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32.64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39.17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39.17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1,083.95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1,083.95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1,077.95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1,083.95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1,083.95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1,077.95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垫江县裴兴学校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1,077.95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969.18</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108.77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687.56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591.14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96.43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686.01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589.58</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96.43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34.17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34.17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651.84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589.58</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62.25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318.58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306.23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12.35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11.81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11.81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11.81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306.77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306.23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0.54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80.27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80.27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39.70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39.70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186.79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186.25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0.54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32.64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32.64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32.64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39.17</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39.17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39.17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垫江县裴兴学校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763.63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19.30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180.08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28.31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356.84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80.27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39.70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32.64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39.17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5.60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186.25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161.72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10.60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8.04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13.93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9.71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949.89</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19.30</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垫江县裴兴学校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2296004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垫江县裴兴学校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垫江县裴兴学校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2.05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4.15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91F19"/>
    <w:rsid w:val="00623A85"/>
    <w:rsid w:val="0073081C"/>
    <w:rsid w:val="00770383"/>
    <w:rsid w:val="007819D4"/>
    <w:rsid w:val="007B419D"/>
    <w:rsid w:val="007B7C4B"/>
    <w:rsid w:val="007D3D39"/>
    <w:rsid w:val="00984C6A"/>
    <w:rsid w:val="00994AF7"/>
    <w:rsid w:val="009B67B8"/>
    <w:rsid w:val="009C14C9"/>
    <w:rsid w:val="009D2B67"/>
    <w:rsid w:val="009E1452"/>
    <w:rsid w:val="00A566F9"/>
    <w:rsid w:val="00A86DD3"/>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4141E8"/>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02FA"/>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C20454"/>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E34C49"/>
    <w:rsid w:val="5CF66BF3"/>
    <w:rsid w:val="5D290C69"/>
    <w:rsid w:val="5DA80C2C"/>
    <w:rsid w:val="5DCC571E"/>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8744</Words>
  <Characters>11632</Characters>
  <Lines>104</Lines>
  <Paragraphs>29</Paragraphs>
  <TotalTime>1</TotalTime>
  <ScaleCrop>false</ScaleCrop>
  <LinksUpToDate>false</LinksUpToDate>
  <CharactersWithSpaces>12763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2025-09-22T09:12:19Z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