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垫江县牡丹湖小学校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widowControl w:val="0"/>
        <w:spacing w:line="600" w:lineRule="exact"/>
        <w:ind w:firstLine="640" w:firstLineChars="200"/>
        <w:rPr>
          <w:rFonts w:ascii="方正黑体_GBK" w:hAnsi="黑体" w:eastAsia="方正黑体_GBK" w:cs="仿宋_GB2312"/>
          <w:sz w:val="32"/>
        </w:rPr>
      </w:pPr>
    </w:p>
    <w:p>
      <w:pPr>
        <w:widowControl w:val="0"/>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一、单位基本情况</w:t>
      </w:r>
    </w:p>
    <w:p>
      <w:pPr>
        <w:widowControl w:val="0"/>
        <w:spacing w:line="600" w:lineRule="exact"/>
        <w:ind w:firstLine="643" w:firstLineChars="200"/>
        <w:rPr>
          <w:rFonts w:eastAsia="方正楷体_GBK"/>
          <w:b/>
          <w:bCs/>
          <w:sz w:val="32"/>
          <w:szCs w:val="32"/>
        </w:rPr>
      </w:pPr>
      <w:r>
        <w:rPr>
          <w:rFonts w:eastAsia="方正楷体_GBK"/>
          <w:b/>
          <w:bCs/>
          <w:sz w:val="32"/>
          <w:szCs w:val="32"/>
        </w:rPr>
        <w:t>（一）职能职责</w:t>
      </w:r>
    </w:p>
    <w:p>
      <w:pPr>
        <w:widowControl w:val="0"/>
        <w:spacing w:line="600" w:lineRule="exact"/>
        <w:ind w:firstLine="640" w:firstLineChars="200"/>
        <w:rPr>
          <w:rFonts w:eastAsia="方正仿宋_GBK"/>
          <w:sz w:val="32"/>
        </w:rPr>
      </w:pPr>
      <w:r>
        <w:rPr>
          <w:rFonts w:eastAsia="方正仿宋_GBK"/>
          <w:sz w:val="32"/>
        </w:rPr>
        <w:t>单位现行的职能职责：实施小学义务教育。适龄儿童义务教育；全面推进素质教育；学校卫生、安全、稳定；学校经费与校产管理；师资队伍建设；学前儿童教育与保育，制定本区域教育发展规划。</w:t>
      </w:r>
    </w:p>
    <w:p>
      <w:pPr>
        <w:widowControl w:val="0"/>
        <w:spacing w:line="600" w:lineRule="exact"/>
        <w:ind w:firstLine="643" w:firstLineChars="200"/>
        <w:rPr>
          <w:rFonts w:eastAsia="方正仿宋_GBK"/>
          <w:sz w:val="32"/>
        </w:rPr>
      </w:pPr>
      <w:r>
        <w:rPr>
          <w:rFonts w:eastAsia="方正楷体_GBK"/>
          <w:b/>
          <w:sz w:val="32"/>
        </w:rPr>
        <w:t>（二）机构设置</w:t>
      </w:r>
    </w:p>
    <w:p>
      <w:pPr>
        <w:widowControl w:val="0"/>
        <w:spacing w:line="600" w:lineRule="exact"/>
        <w:ind w:firstLine="600" w:firstLineChars="200"/>
        <w:rPr>
          <w:rFonts w:eastAsia="方正仿宋_GBK"/>
          <w:sz w:val="32"/>
        </w:rPr>
      </w:pPr>
      <w:r>
        <w:rPr>
          <w:rFonts w:ascii="方正仿宋_GBK" w:eastAsia="方正仿宋_GBK"/>
          <w:sz w:val="30"/>
          <w:szCs w:val="30"/>
        </w:rPr>
        <w:t>本单位内设机构包含：德育处、教务处、教科处、后勤处。单位领导职数6 名，其中：校长1名、副校长3 名；内设机构领导职数2名。</w:t>
      </w:r>
    </w:p>
    <w:p>
      <w:pPr>
        <w:widowControl w:val="0"/>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widowControl w:val="0"/>
        <w:autoSpaceDE w:val="0"/>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widowControl w:val="0"/>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2024年度收入总计1794.72万元，支出总计</w:t>
      </w:r>
      <w:r>
        <w:rPr>
          <w:rFonts w:ascii="方正仿宋_GBK" w:hAnsi="方正仿宋_GBK" w:eastAsia="方正仿宋_GBK" w:cs="方正仿宋_GBK"/>
          <w:sz w:val="32"/>
          <w:szCs w:val="32"/>
        </w:rPr>
        <w:t>1794.72</w:t>
      </w:r>
      <w:r>
        <w:rPr>
          <w:rFonts w:ascii="方正仿宋_GBK" w:hAnsi="方正仿宋_GBK" w:eastAsia="方正仿宋_GBK" w:cs="方正仿宋_GBK"/>
          <w:sz w:val="32"/>
          <w:szCs w:val="32"/>
          <w:shd w:val="clear" w:color="auto" w:fill="FFFFFF"/>
        </w:rPr>
        <w:t>万元。收、支与2023年度相比，增加205.74万元，增长12.95%，主要原因是新增教师26人后人员经费收支均增加。</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2024年度收入合计1789.27万元，与2023年度相比，增加265.53万元，增长17.43%，主要原因是新增教师26人后人员经费收入增加。其中：财政拨款收入</w:t>
      </w:r>
      <w:r>
        <w:rPr>
          <w:rFonts w:ascii="方正仿宋_GBK" w:hAnsi="方正仿宋_GBK" w:eastAsia="方正仿宋_GBK" w:cs="方正仿宋_GBK"/>
          <w:sz w:val="32"/>
          <w:szCs w:val="32"/>
        </w:rPr>
        <w:t>1546.57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86.44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242.70</w:t>
      </w:r>
      <w:r>
        <w:rPr>
          <w:rFonts w:ascii="方正仿宋_GBK" w:hAnsi="方正仿宋_GBK" w:eastAsia="方正仿宋_GBK" w:cs="方正仿宋_GBK"/>
          <w:sz w:val="32"/>
          <w:szCs w:val="32"/>
          <w:shd w:val="clear" w:color="auto" w:fill="FFFFFF"/>
        </w:rPr>
        <w:t>万元，占13.56%。此外，使用非财政拨款结余和专用结余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5.46</w:t>
      </w:r>
      <w:r>
        <w:rPr>
          <w:rFonts w:ascii="方正仿宋_GBK" w:hAnsi="方正仿宋_GBK" w:eastAsia="方正仿宋_GBK" w:cs="方正仿宋_GBK"/>
          <w:sz w:val="32"/>
          <w:szCs w:val="32"/>
          <w:shd w:val="clear" w:color="auto" w:fill="FFFFFF"/>
        </w:rPr>
        <w:t>万元。</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1780.48</w:t>
      </w:r>
      <w:r>
        <w:rPr>
          <w:rFonts w:ascii="方正仿宋_GBK" w:hAnsi="方正仿宋_GBK" w:eastAsia="方正仿宋_GBK" w:cs="方正仿宋_GBK"/>
          <w:sz w:val="32"/>
          <w:szCs w:val="32"/>
          <w:shd w:val="clear" w:color="auto" w:fill="FFFFFF"/>
        </w:rPr>
        <w:t>万元，与2023年度相比，增加253.21万元，增长16.58%，主要原因是新增教师26人后人员经费支出增加。其中：基本支出</w:t>
      </w:r>
      <w:r>
        <w:rPr>
          <w:rFonts w:ascii="方正仿宋_GBK" w:hAnsi="方正仿宋_GBK" w:eastAsia="方正仿宋_GBK" w:cs="方正仿宋_GBK"/>
          <w:sz w:val="32"/>
          <w:szCs w:val="32"/>
        </w:rPr>
        <w:t>1588.29</w:t>
      </w:r>
      <w:r>
        <w:rPr>
          <w:rFonts w:ascii="方正仿宋_GBK" w:hAnsi="方正仿宋_GBK" w:eastAsia="方正仿宋_GBK" w:cs="方正仿宋_GBK"/>
          <w:sz w:val="32"/>
          <w:szCs w:val="32"/>
          <w:shd w:val="clear" w:color="auto" w:fill="FFFFFF"/>
        </w:rPr>
        <w:t>万元，占89.21%；项目支出</w:t>
      </w:r>
      <w:r>
        <w:rPr>
          <w:rFonts w:ascii="方正仿宋_GBK" w:hAnsi="方正仿宋_GBK" w:eastAsia="方正仿宋_GBK" w:cs="方正仿宋_GBK"/>
          <w:sz w:val="32"/>
          <w:szCs w:val="32"/>
        </w:rPr>
        <w:t>192.19</w:t>
      </w:r>
      <w:r>
        <w:rPr>
          <w:rFonts w:ascii="方正仿宋_GBK" w:hAnsi="方正仿宋_GBK" w:eastAsia="方正仿宋_GBK" w:cs="方正仿宋_GBK"/>
          <w:sz w:val="32"/>
          <w:szCs w:val="32"/>
          <w:shd w:val="clear" w:color="auto" w:fill="FFFFFF"/>
        </w:rPr>
        <w:t>万元，占10.79%；经营支出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14.25</w:t>
      </w:r>
      <w:r>
        <w:rPr>
          <w:rFonts w:ascii="方正仿宋_GBK" w:hAnsi="方正仿宋_GBK" w:eastAsia="方正仿宋_GBK" w:cs="方正仿宋_GBK"/>
          <w:sz w:val="32"/>
          <w:szCs w:val="32"/>
          <w:shd w:val="clear" w:color="auto" w:fill="FFFFFF"/>
        </w:rPr>
        <w:t>万元。</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万元，与2023年度相比，减少5.46万元，下降100.00%，主要原因是2024年结余资金进行结余分配后结转结余为0。</w:t>
      </w:r>
    </w:p>
    <w:p>
      <w:pPr>
        <w:pStyle w:val="11"/>
        <w:widowControl w:val="0"/>
        <w:autoSpaceDE w:val="0"/>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2024年度财政拨款收、支总计1552.03万元。与2023年相比，财政拨款收、支总计各增加252.22万元，增长19.40%。主要原因是新增教师26人后人员经费收支增加。</w:t>
      </w:r>
    </w:p>
    <w:p>
      <w:pPr>
        <w:pStyle w:val="11"/>
        <w:widowControl w:val="0"/>
        <w:autoSpaceDE w:val="0"/>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1546.57</w:t>
      </w:r>
      <w:r>
        <w:rPr>
          <w:rFonts w:ascii="方正仿宋_GBK" w:hAnsi="方正仿宋_GBK" w:eastAsia="方正仿宋_GBK" w:cs="方正仿宋_GBK"/>
          <w:sz w:val="32"/>
          <w:szCs w:val="32"/>
          <w:shd w:val="clear" w:color="auto" w:fill="FFFFFF"/>
        </w:rPr>
        <w:t>万元，与2023年度相比，增加264.76万元，增长20.66%。主要原因是新增教师26人后人员经费收入增加。较年初预算数增加308.17万元，增长24.88%。主要原因是教师新增和超额绩效纳入养老、年金缴费基数。此外，年初财政拨款结转和结余</w:t>
      </w:r>
      <w:r>
        <w:rPr>
          <w:rFonts w:ascii="方正仿宋_GBK" w:hAnsi="方正仿宋_GBK" w:eastAsia="方正仿宋_GBK" w:cs="方正仿宋_GBK"/>
          <w:sz w:val="32"/>
          <w:szCs w:val="32"/>
        </w:rPr>
        <w:t>5.46</w:t>
      </w:r>
      <w:r>
        <w:rPr>
          <w:rFonts w:ascii="方正仿宋_GBK" w:hAnsi="方正仿宋_GBK" w:eastAsia="方正仿宋_GBK" w:cs="方正仿宋_GBK"/>
          <w:sz w:val="32"/>
          <w:szCs w:val="32"/>
          <w:shd w:val="clear" w:color="auto" w:fill="FFFFFF"/>
        </w:rPr>
        <w:t>万元。</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1552.03</w:t>
      </w:r>
      <w:r>
        <w:rPr>
          <w:rFonts w:ascii="方正仿宋_GBK" w:hAnsi="方正仿宋_GBK" w:eastAsia="方正仿宋_GBK" w:cs="方正仿宋_GBK"/>
          <w:sz w:val="32"/>
          <w:szCs w:val="32"/>
          <w:shd w:val="clear" w:color="auto" w:fill="FFFFFF"/>
        </w:rPr>
        <w:t>万元，与2023年度相比，增加257.68万元，增长19.91%。主要原因是新增教师26人后人员经费支出增加。较年初预算数增加313.63万元，增长25.33%。主要原因是教师新增和超额绩效纳入养老、年金缴费基数。</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万元，与2023年度相比，减少5.46万元，下降100.00%，主要原因是2024年结余资金进行结余分配后结转结余为0。</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1209.02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77.90</w:t>
      </w:r>
      <w:r>
        <w:rPr>
          <w:rFonts w:ascii="方正仿宋_GBK" w:hAnsi="方正仿宋_GBK" w:eastAsia="方正仿宋_GBK" w:cs="方正仿宋_GBK"/>
          <w:sz w:val="32"/>
          <w:szCs w:val="32"/>
          <w:shd w:val="clear" w:color="auto" w:fill="FFFFFF"/>
        </w:rPr>
        <w:t>%，较年初预算数增加204.67万元，增长20.38%，主要原因是本年预算执行中因教师新增、正常晋升、职级变化等人员经费增加。</w:t>
      </w:r>
    </w:p>
    <w:p>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210.62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13.57</w:t>
      </w:r>
      <w:r>
        <w:rPr>
          <w:rFonts w:ascii="方正仿宋_GBK" w:hAnsi="方正仿宋_GBK" w:eastAsia="方正仿宋_GBK" w:cs="方正仿宋_GBK"/>
          <w:sz w:val="32"/>
          <w:szCs w:val="32"/>
          <w:shd w:val="clear" w:color="auto" w:fill="FFFFFF"/>
        </w:rPr>
        <w:t>%，较年初预算数增加88.50万元，增长72.47%，主要原因是本年预算执行中因教师新增和超额绩效纳入养老、年金缴费基数导致支出增加。</w:t>
      </w:r>
    </w:p>
    <w:p>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61.22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3.94</w:t>
      </w:r>
      <w:r>
        <w:rPr>
          <w:rFonts w:ascii="方正仿宋_GBK" w:hAnsi="方正仿宋_GBK" w:eastAsia="方正仿宋_GBK" w:cs="方正仿宋_GBK"/>
          <w:sz w:val="32"/>
          <w:szCs w:val="32"/>
          <w:shd w:val="clear" w:color="auto" w:fill="FFFFFF"/>
        </w:rPr>
        <w:t>%，较年初预算数增加10.34万元，增长20.32%，主要原因是本年预算执行中因教师新增26人导致支出增加。</w:t>
      </w:r>
    </w:p>
    <w:p>
      <w:pPr>
        <w:widowControl w:val="0"/>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住房保障支出71.18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4.59</w:t>
      </w:r>
      <w:r>
        <w:rPr>
          <w:rFonts w:ascii="方正仿宋_GBK" w:hAnsi="方正仿宋_GBK" w:eastAsia="方正仿宋_GBK" w:cs="方正仿宋_GBK"/>
          <w:sz w:val="32"/>
          <w:szCs w:val="32"/>
          <w:shd w:val="clear" w:color="auto" w:fill="FFFFFF"/>
        </w:rPr>
        <w:t>%，较年初预算数增加10.12万元，增长16.57%，主要原因是本年预算执行中因教师新增26人导致支出增加。</w:t>
      </w:r>
    </w:p>
    <w:p>
      <w:pPr>
        <w:pStyle w:val="11"/>
        <w:widowControl w:val="0"/>
        <w:autoSpaceDE w:val="0"/>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widowControl w:val="0"/>
        <w:autoSpaceDE w:val="0"/>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1369.52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1352.73</w:t>
      </w:r>
      <w:r>
        <w:rPr>
          <w:rFonts w:ascii="方正仿宋_GBK" w:hAnsi="方正仿宋_GBK" w:eastAsia="方正仿宋_GBK" w:cs="方正仿宋_GBK"/>
          <w:sz w:val="32"/>
          <w:szCs w:val="32"/>
          <w:shd w:val="clear" w:color="auto" w:fill="FFFFFF"/>
        </w:rPr>
        <w:t>万元，与2023年度相比，增加244.54万元，增长22.07%，主要原因是教师新增、正常晋升、职级变化等。人员经费用途主要包括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16.79</w:t>
      </w:r>
      <w:r>
        <w:rPr>
          <w:rFonts w:ascii="方正仿宋_GBK" w:hAnsi="方正仿宋_GBK" w:eastAsia="方正仿宋_GBK" w:cs="方正仿宋_GBK"/>
          <w:sz w:val="32"/>
          <w:szCs w:val="32"/>
          <w:shd w:val="clear" w:color="auto" w:fill="FFFFFF"/>
        </w:rPr>
        <w:t>万元，与2023年度相比，减少0.47万元，下降2.72%，主要原因是工会经费、培训费、福利费的预算基数减少所致。公用经费用途主要包括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widowControl w:val="0"/>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widowControl w:val="0"/>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widowControl w:val="0"/>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widowControl w:val="0"/>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widowControl w:val="0"/>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widowControl w:val="0"/>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widowControl w:val="0"/>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widowControl w:val="0"/>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widowControl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widowControl w:val="0"/>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四、其他需要说明的事项</w:t>
      </w:r>
    </w:p>
    <w:p>
      <w:pPr>
        <w:pStyle w:val="11"/>
        <w:widowControl w:val="0"/>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widowControl w:val="0"/>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9.46</w:t>
      </w:r>
      <w:r>
        <w:rPr>
          <w:rFonts w:ascii="方正仿宋_GBK" w:hAnsi="方正仿宋_GBK" w:eastAsia="方正仿宋_GBK" w:cs="方正仿宋_GBK"/>
          <w:sz w:val="32"/>
          <w:szCs w:val="32"/>
          <w:shd w:val="clear" w:color="auto" w:fill="FFFFFF"/>
        </w:rPr>
        <w:t>万元，与2023年度相比，增加2.30万元，增长32.12%，主要原因是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加大了师资队伍的建设和培训</w:t>
      </w:r>
      <w:r>
        <w:rPr>
          <w:rFonts w:ascii="方正仿宋_GBK" w:hAnsi="方正仿宋_GBK" w:eastAsia="方正仿宋_GBK" w:cs="方正仿宋_GBK"/>
          <w:sz w:val="32"/>
          <w:szCs w:val="32"/>
        </w:rPr>
        <w:t>。</w:t>
      </w:r>
    </w:p>
    <w:p>
      <w:pPr>
        <w:pStyle w:val="11"/>
        <w:widowControl w:val="0"/>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widowControl w:val="0"/>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widowControl w:val="0"/>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widowControl w:val="0"/>
        <w:autoSpaceDE w:val="0"/>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widowControl w:val="0"/>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21.36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21.36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21.36万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21.36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教学用设备和学生课桌椅</w:t>
      </w:r>
      <w:r>
        <w:rPr>
          <w:rFonts w:ascii="方正仿宋_GBK" w:hAnsi="方正仿宋_GBK" w:eastAsia="方正仿宋_GBK" w:cs="方正仿宋_GBK"/>
          <w:sz w:val="32"/>
          <w:szCs w:val="32"/>
          <w:shd w:val="clear" w:color="auto" w:fill="FFFFFF"/>
        </w:rPr>
        <w:t>。</w:t>
      </w:r>
    </w:p>
    <w:p>
      <w:pPr>
        <w:widowControl w:val="0"/>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widowControl w:val="0"/>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widowControl w:val="0"/>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个二级项目开展了绩效自评，涉及财政拨款项目支出资金182.51万元。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277485" cy="4827905"/>
            <wp:effectExtent l="0" t="0" r="889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7485" cy="4827905"/>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316855" cy="5367020"/>
            <wp:effectExtent l="0" t="0" r="762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316855" cy="5367020"/>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widowControl w:val="0"/>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widowControl w:val="0"/>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widowControl w:val="0"/>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w:t>
      </w:r>
      <w:bookmarkStart w:id="0" w:name="_GoBack"/>
      <w:bookmarkEnd w:id="0"/>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widowControl w:val="0"/>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widowControl w:val="0"/>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widowControl w:val="0"/>
        <w:snapToGrid w:val="0"/>
        <w:spacing w:before="0" w:beforeAutospacing="0" w:after="0" w:afterAutospacing="0" w:line="600" w:lineRule="exact"/>
        <w:ind w:firstLine="640" w:firstLineChars="20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陈老师   023- 85616807</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widowControl w:val="0"/>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widowControl w:val="0"/>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ascii="Arial" w:hAnsi="Arial" w:cs="Arial"/>
                <w:sz w:val="22"/>
                <w:szCs w:val="22"/>
              </w:rPr>
            </w:pPr>
            <w:r>
              <w:rPr>
                <w:rFonts w:cs="宋体"/>
                <w:sz w:val="20"/>
                <w:szCs w:val="20"/>
              </w:rPr>
              <w:t>单位：</w:t>
            </w:r>
            <w:r>
              <w:rPr>
                <w:sz w:val="20"/>
              </w:rPr>
              <w:t>垫江县牡丹湖小学校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widowControl w:val="0"/>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1,546.57</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1,437.47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242.70</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210.62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61.22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71.18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1,789.27</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1,780.48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14.25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5.46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1,794.72</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widowControl w:val="0"/>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1,794.72</w:t>
            </w:r>
            <w:r>
              <w:rPr>
                <w:rFonts w:ascii="Times New Roman" w:hAnsi="Times New Roman"/>
                <w:sz w:val="20"/>
              </w:rPr>
              <w:t xml:space="preserve"> </w:t>
            </w:r>
          </w:p>
        </w:tc>
      </w:tr>
    </w:tbl>
    <w:p>
      <w:pPr>
        <w:widowControl w:val="0"/>
        <w:rPr>
          <w:rFonts w:hint="default" w:cs="宋体"/>
          <w:sz w:val="21"/>
          <w:szCs w:val="21"/>
        </w:rPr>
      </w:pPr>
    </w:p>
    <w:p>
      <w:pPr>
        <w:widowControl w:val="0"/>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widowControl w:val="0"/>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widowControl w:val="0"/>
              <w:rPr>
                <w:rFonts w:hint="default" w:cs="宋体"/>
                <w:sz w:val="20"/>
                <w:szCs w:val="20"/>
              </w:rPr>
            </w:pPr>
            <w:r>
              <w:rPr>
                <w:rFonts w:cs="宋体"/>
                <w:sz w:val="20"/>
                <w:szCs w:val="20"/>
              </w:rPr>
              <w:t>单位：</w:t>
            </w:r>
            <w:r>
              <w:rPr>
                <w:sz w:val="20"/>
              </w:rPr>
              <w:t>垫江县牡丹湖小学校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widowControl w:val="0"/>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widowControl w:val="0"/>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widowControl w:val="0"/>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1,789.27</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1,546.57</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242.70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1,446.25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1,203.56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242.70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1,443.86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1,201.17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242.70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1,443.86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1,201.17</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242.70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2.39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2.39</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2.39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2.39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140.73</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140.73</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69.89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69.89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61.22</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61.22</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71.18</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71.18</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widowControl w:val="0"/>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widowControl w:val="0"/>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widowControl w:val="0"/>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widowControl w:val="0"/>
              <w:rPr>
                <w:rFonts w:hint="default" w:cs="宋体"/>
                <w:sz w:val="20"/>
                <w:szCs w:val="20"/>
              </w:rPr>
            </w:pPr>
            <w:r>
              <w:rPr>
                <w:rFonts w:cs="宋体"/>
                <w:sz w:val="20"/>
                <w:szCs w:val="20"/>
              </w:rPr>
              <w:t>单位：</w:t>
            </w:r>
            <w:r>
              <w:rPr>
                <w:sz w:val="20"/>
              </w:rPr>
              <w:t xml:space="preserve">垫江县牡丹湖小学校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widowControl w:val="0"/>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widowControl w:val="0"/>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widowControl w:val="0"/>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1,780.48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1,588.29</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192.19</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1,437.47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1,245.28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192.19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1,435.08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1,242.88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192.19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1,435.08</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1,242.88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192.19</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2.39</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2.39</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2.39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2.39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140.73</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140.73</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69.89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69.89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61.22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61.22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71.18</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71.18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widowControl w:val="0"/>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p>
      <w:pPr>
        <w:widowControl w:val="0"/>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widowControl w:val="0"/>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r>
              <w:rPr>
                <w:rFonts w:cs="宋体"/>
                <w:sz w:val="20"/>
                <w:szCs w:val="20"/>
              </w:rPr>
              <w:t>单位：</w:t>
            </w:r>
            <w:r>
              <w:rPr>
                <w:sz w:val="20"/>
              </w:rPr>
              <w:t>垫江县牡丹湖小学校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widowControl w:val="0"/>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widowControl w:val="0"/>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1,546.57</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1,209.02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1,209.02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210.62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210.62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61.22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61.22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71.18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71.18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1,546.57</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1,552.03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1,552.03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5.46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5.46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1,552.03</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1,552.03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1,552.03</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widowControl w:val="0"/>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widowControl w:val="0"/>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widowControl w:val="0"/>
              <w:rPr>
                <w:rFonts w:hint="default" w:cs="宋体"/>
                <w:sz w:val="20"/>
                <w:szCs w:val="20"/>
              </w:rPr>
            </w:pPr>
            <w:r>
              <w:rPr>
                <w:rFonts w:cs="宋体"/>
                <w:sz w:val="20"/>
                <w:szCs w:val="20"/>
              </w:rPr>
              <w:t>单位：</w:t>
            </w:r>
            <w:r>
              <w:rPr>
                <w:sz w:val="20"/>
              </w:rPr>
              <w:t>垫江县牡丹湖小学校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widowControl w:val="0"/>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widowControl w:val="0"/>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1,552.03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1,369.52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182.51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1,209.02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1,026.51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182.51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1,206.63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1,024.12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182.51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1,206.63</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1,024.12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182.51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2.39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2.39</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2.39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2.39</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210.62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140.73</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140.73</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69.89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69.89</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61.22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61.22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61.22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71.18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71.18</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71.18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widowControl w:val="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widowControl w:val="0"/>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widowControl w:val="0"/>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r>
              <w:rPr>
                <w:rFonts w:cs="宋体"/>
                <w:sz w:val="20"/>
                <w:szCs w:val="20"/>
              </w:rPr>
              <w:t>单位：</w:t>
            </w:r>
            <w:r>
              <w:rPr>
                <w:sz w:val="20"/>
              </w:rPr>
              <w:t>垫江县牡丹湖小学校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widowControl w:val="0"/>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widowControl w:val="0"/>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1,352.73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16.79</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313.67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12.92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670.71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140.73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69.89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61.22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71.18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10.88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2.39</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6.11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8.30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1,352.73</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16.79</w:t>
            </w:r>
            <w:r>
              <w:rPr>
                <w:rFonts w:ascii="Times New Roman" w:hAnsi="Times New Roman"/>
                <w:sz w:val="18"/>
              </w:rPr>
              <w:t xml:space="preserve"> </w:t>
            </w:r>
          </w:p>
        </w:tc>
      </w:tr>
    </w:tbl>
    <w:p>
      <w:pPr>
        <w:widowControl w:val="0"/>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widowControl w:val="0"/>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widowControl w:val="0"/>
              <w:rPr>
                <w:rFonts w:hint="default" w:cs="宋体"/>
                <w:sz w:val="20"/>
                <w:szCs w:val="20"/>
              </w:rPr>
            </w:pPr>
            <w:r>
              <w:rPr>
                <w:rFonts w:cs="宋体"/>
                <w:sz w:val="20"/>
                <w:szCs w:val="20"/>
              </w:rPr>
              <w:t>单位：</w:t>
            </w:r>
            <w:r>
              <w:rPr>
                <w:sz w:val="20"/>
              </w:rPr>
              <w:t>垫江县牡丹湖小学校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widowControl w:val="0"/>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widowControl w:val="0"/>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widowControl w:val="0"/>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widowControl w:val="0"/>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widowControl w:val="0"/>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widowControl w:val="0"/>
              <w:rPr>
                <w:rFonts w:hint="default" w:cs="宋体"/>
                <w:sz w:val="20"/>
                <w:szCs w:val="20"/>
              </w:rPr>
            </w:pPr>
            <w:r>
              <w:rPr>
                <w:rFonts w:cs="宋体"/>
                <w:sz w:val="20"/>
                <w:szCs w:val="20"/>
              </w:rPr>
              <w:t>单位：</w:t>
            </w:r>
            <w:r>
              <w:rPr>
                <w:sz w:val="20"/>
              </w:rPr>
              <w:t>垫江县牡丹湖小学校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widowControl w:val="0"/>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widowControl w:val="0"/>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widowControl w:val="0"/>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val="0"/>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widowControl w:val="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widowControl w:val="0"/>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widowControl w:val="0"/>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widowControl w:val="0"/>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widowControl w:val="0"/>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widowControl w:val="0"/>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widowControl w:val="0"/>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widowControl w:val="0"/>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widowControl w:val="0"/>
              <w:spacing w:line="280" w:lineRule="exact"/>
              <w:rPr>
                <w:rFonts w:hint="default" w:cs="宋体"/>
                <w:kern w:val="2"/>
                <w:sz w:val="20"/>
                <w:szCs w:val="20"/>
              </w:rPr>
            </w:pPr>
            <w:r>
              <w:rPr>
                <w:rFonts w:cs="宋体"/>
                <w:kern w:val="2"/>
                <w:sz w:val="20"/>
                <w:szCs w:val="20"/>
              </w:rPr>
              <w:t>单位：</w:t>
            </w:r>
            <w:r>
              <w:rPr>
                <w:sz w:val="20"/>
              </w:rPr>
              <w:t>垫江县牡丹湖小学校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widowControl w:val="0"/>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widowControl w:val="0"/>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widowControl w:val="0"/>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21.36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21.36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21.36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21.36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9.46</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1.64</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val="0"/>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val="0"/>
              <w:spacing w:line="280" w:lineRule="exact"/>
              <w:jc w:val="right"/>
              <w:rPr>
                <w:rFonts w:hint="default" w:cs="宋体"/>
                <w:sz w:val="16"/>
                <w:szCs w:val="16"/>
              </w:rPr>
            </w:pPr>
          </w:p>
        </w:tc>
      </w:tr>
    </w:tbl>
    <w:p>
      <w:pPr>
        <w:widowControl w:val="0"/>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482092"/>
    <w:rsid w:val="00550ABE"/>
    <w:rsid w:val="00770383"/>
    <w:rsid w:val="007819D4"/>
    <w:rsid w:val="007A3AA7"/>
    <w:rsid w:val="007B419D"/>
    <w:rsid w:val="007B7C4B"/>
    <w:rsid w:val="007D3D39"/>
    <w:rsid w:val="009949D5"/>
    <w:rsid w:val="00994AF7"/>
    <w:rsid w:val="009B67B8"/>
    <w:rsid w:val="009D2B67"/>
    <w:rsid w:val="00A566F9"/>
    <w:rsid w:val="00AF2751"/>
    <w:rsid w:val="00B03CCD"/>
    <w:rsid w:val="00BE2B89"/>
    <w:rsid w:val="00C10E9E"/>
    <w:rsid w:val="00C20C3E"/>
    <w:rsid w:val="00C55FF0"/>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8B1FB5"/>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7144FF"/>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300E67"/>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3E54191"/>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154EA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6960</Words>
  <Characters>9150</Characters>
  <Lines>95</Lines>
  <Paragraphs>26</Paragraphs>
  <TotalTime>0</TotalTime>
  <ScaleCrop>false</ScaleCrop>
  <LinksUpToDate>false</LinksUpToDate>
  <CharactersWithSpaces>9784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2025-09-22T09:04:11Z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