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垫江县包家学校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ascii="方正楷体_GBK" w:eastAsia="方正楷体_GBK"/>
          <w:b/>
          <w:bCs/>
          <w:sz w:val="32"/>
          <w:szCs w:val="32"/>
        </w:rPr>
      </w:pPr>
      <w:r>
        <w:rPr>
          <w:rFonts w:ascii="方正楷体_GBK" w:eastAsia="方正楷体_GBK"/>
          <w:b/>
          <w:bCs/>
          <w:sz w:val="32"/>
          <w:szCs w:val="32"/>
        </w:rPr>
        <w:t>（一）职能职责</w:t>
      </w:r>
    </w:p>
    <w:p>
      <w:pPr>
        <w:pStyle w:val="16"/>
        <w:tabs>
          <w:tab w:val="center" w:pos="4153"/>
          <w:tab w:val="left" w:pos="7275"/>
        </w:tabs>
        <w:spacing w:line="600" w:lineRule="exact"/>
        <w:ind w:firstLine="640"/>
        <w:rPr>
          <w:rFonts w:eastAsia="方正仿宋_GBK"/>
          <w:sz w:val="32"/>
        </w:rPr>
      </w:pPr>
      <w:r>
        <w:rPr>
          <w:rFonts w:eastAsia="方正仿宋_GBK"/>
          <w:sz w:val="32"/>
        </w:rPr>
        <w:t>1</w:t>
      </w:r>
      <w:r>
        <w:rPr>
          <w:rFonts w:hint="eastAsia" w:eastAsia="方正仿宋_GBK"/>
          <w:sz w:val="32"/>
          <w:lang w:val="en-US" w:eastAsia="zh-CN"/>
        </w:rPr>
        <w:t>.</w:t>
      </w:r>
      <w:r>
        <w:rPr>
          <w:rFonts w:eastAsia="方正仿宋_GBK"/>
          <w:sz w:val="32"/>
        </w:rPr>
        <w:t>负责适龄儿童、青少年义务教育工作；负责辖区学前儿童教育与保育工作。</w:t>
      </w:r>
    </w:p>
    <w:p>
      <w:pPr>
        <w:pStyle w:val="16"/>
        <w:tabs>
          <w:tab w:val="center" w:pos="4153"/>
          <w:tab w:val="left" w:pos="7275"/>
        </w:tabs>
        <w:spacing w:line="600" w:lineRule="exact"/>
        <w:ind w:firstLine="640"/>
        <w:rPr>
          <w:rFonts w:eastAsia="方正仿宋_GBK"/>
          <w:sz w:val="32"/>
        </w:rPr>
      </w:pPr>
      <w:r>
        <w:rPr>
          <w:rFonts w:eastAsia="方正仿宋_GBK"/>
          <w:sz w:val="32"/>
        </w:rPr>
        <w:t>2</w:t>
      </w:r>
      <w:r>
        <w:rPr>
          <w:rFonts w:hint="eastAsia" w:eastAsia="方正仿宋_GBK"/>
          <w:sz w:val="32"/>
          <w:lang w:val="en-US" w:eastAsia="zh-CN"/>
        </w:rPr>
        <w:t>.</w:t>
      </w:r>
      <w:r>
        <w:rPr>
          <w:rFonts w:eastAsia="方正仿宋_GBK"/>
          <w:sz w:val="32"/>
        </w:rPr>
        <w:t>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Fonts w:hint="default" w:ascii="方正楷体_GBK" w:hAnsi="楷体" w:eastAsia="方正楷体_GBK" w:cs="楷体"/>
          <w:sz w:val="32"/>
          <w:szCs w:val="32"/>
        </w:rPr>
      </w:pPr>
      <w:r>
        <w:rPr>
          <w:rStyle w:val="10"/>
          <w:rFonts w:ascii="方正楷体_GBK" w:hAnsi="楷体" w:eastAsia="方正楷体_GBK" w:cs="楷体"/>
          <w:sz w:val="32"/>
          <w:szCs w:val="32"/>
          <w:shd w:val="clear" w:color="auto" w:fill="FFFFFF"/>
        </w:rPr>
        <w:t>（二）机构设置</w:t>
      </w:r>
    </w:p>
    <w:p>
      <w:pPr>
        <w:spacing w:line="600" w:lineRule="exact"/>
        <w:ind w:firstLine="640" w:firstLineChars="200"/>
        <w:rPr>
          <w:rFonts w:hint="default" w:eastAsia="方正仿宋_GBK"/>
          <w:sz w:val="32"/>
        </w:rPr>
      </w:pPr>
      <w:r>
        <w:rPr>
          <w:rFonts w:eastAsia="方正仿宋_GBK"/>
          <w:sz w:val="32"/>
        </w:rPr>
        <w:t>学校单位领导职数3名(校长1名、副校长2名)，内设机构领导职数5名，内设机构有德育处、教务处、教科处、后勤处、安稳办。</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2024年度收入总计1013.19万元，支出总计</w:t>
      </w:r>
      <w:r>
        <w:rPr>
          <w:rFonts w:ascii="方正仿宋_GBK" w:hAnsi="方正仿宋_GBK" w:eastAsia="方正仿宋_GBK" w:cs="方正仿宋_GBK"/>
          <w:sz w:val="32"/>
          <w:szCs w:val="32"/>
        </w:rPr>
        <w:t>1013.19</w:t>
      </w:r>
      <w:r>
        <w:rPr>
          <w:rFonts w:ascii="方正仿宋_GBK" w:hAnsi="方正仿宋_GBK" w:eastAsia="方正仿宋_GBK" w:cs="方正仿宋_GBK"/>
          <w:sz w:val="32"/>
          <w:szCs w:val="32"/>
          <w:shd w:val="clear" w:color="auto" w:fill="FFFFFF"/>
        </w:rPr>
        <w:t>万元。收、支与2023年度相比，减少226.44万元，下降18.27%，主要原因是2023年清算补发以前年度超额绩效和健康休养费。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2024年度收入合计1011.43万元，与2023年度相比，减少214.34万元，下降17.49%，主要原因是2023年清算补发以前年度超额绩效和健康休养费。其中：财政拨款收入</w:t>
      </w:r>
      <w:r>
        <w:rPr>
          <w:rFonts w:ascii="方正仿宋_GBK" w:hAnsi="方正仿宋_GBK" w:eastAsia="方正仿宋_GBK" w:cs="方正仿宋_GBK"/>
          <w:sz w:val="32"/>
          <w:szCs w:val="32"/>
        </w:rPr>
        <w:t>960.62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94.98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20.36</w:t>
      </w:r>
      <w:r>
        <w:rPr>
          <w:rFonts w:ascii="方正仿宋_GBK" w:hAnsi="方正仿宋_GBK" w:eastAsia="方正仿宋_GBK" w:cs="方正仿宋_GBK"/>
          <w:sz w:val="32"/>
          <w:szCs w:val="32"/>
          <w:shd w:val="clear" w:color="auto" w:fill="FFFFFF"/>
        </w:rPr>
        <w:t>万元，占2.01%；经营收入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30.45</w:t>
      </w:r>
      <w:r>
        <w:rPr>
          <w:rFonts w:ascii="方正仿宋_GBK" w:hAnsi="方正仿宋_GBK" w:eastAsia="方正仿宋_GBK" w:cs="方正仿宋_GBK"/>
          <w:sz w:val="32"/>
          <w:szCs w:val="32"/>
          <w:shd w:val="clear" w:color="auto" w:fill="FFFFFF"/>
        </w:rPr>
        <w:t>万元，占3.01%。此外，使用非财政拨款结余和专用结余</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1013.19</w:t>
      </w:r>
      <w:r>
        <w:rPr>
          <w:rFonts w:ascii="方正仿宋_GBK" w:hAnsi="方正仿宋_GBK" w:eastAsia="方正仿宋_GBK" w:cs="方正仿宋_GBK"/>
          <w:sz w:val="32"/>
          <w:szCs w:val="32"/>
          <w:shd w:val="clear" w:color="auto" w:fill="FFFFFF"/>
        </w:rPr>
        <w:t>万元，与2023年度相比，减少219.91万元，下降17.83%，主要原因是2023年清算补发以前年度超额绩效和健康休养费。其中：基本支出</w:t>
      </w:r>
      <w:r>
        <w:rPr>
          <w:rFonts w:ascii="方正仿宋_GBK" w:hAnsi="方正仿宋_GBK" w:eastAsia="方正仿宋_GBK" w:cs="方正仿宋_GBK"/>
          <w:sz w:val="32"/>
          <w:szCs w:val="32"/>
        </w:rPr>
        <w:t>905.96</w:t>
      </w:r>
      <w:r>
        <w:rPr>
          <w:rFonts w:ascii="方正仿宋_GBK" w:hAnsi="方正仿宋_GBK" w:eastAsia="方正仿宋_GBK" w:cs="方正仿宋_GBK"/>
          <w:sz w:val="32"/>
          <w:szCs w:val="32"/>
          <w:shd w:val="clear" w:color="auto" w:fill="FFFFFF"/>
        </w:rPr>
        <w:t>万元，占89.42%；项目支出</w:t>
      </w:r>
      <w:r>
        <w:rPr>
          <w:rFonts w:ascii="方正仿宋_GBK" w:hAnsi="方正仿宋_GBK" w:eastAsia="方正仿宋_GBK" w:cs="方正仿宋_GBK"/>
          <w:sz w:val="32"/>
          <w:szCs w:val="32"/>
        </w:rPr>
        <w:t>107.23</w:t>
      </w:r>
      <w:r>
        <w:rPr>
          <w:rFonts w:ascii="方正仿宋_GBK" w:hAnsi="方正仿宋_GBK" w:eastAsia="方正仿宋_GBK" w:cs="方正仿宋_GBK"/>
          <w:sz w:val="32"/>
          <w:szCs w:val="32"/>
          <w:shd w:val="clear" w:color="auto" w:fill="FFFFFF"/>
        </w:rPr>
        <w:t>万元，占10.58%；经营支出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2024年度财政拨款收、支总计960.62万元。与2023年相比，财政拨款收、支总计各减少192.24万元，下降16.68%。主要原因是2023年清算补发以前年度超额绩效和健康休养费。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960.62</w:t>
      </w:r>
      <w:r>
        <w:rPr>
          <w:rFonts w:ascii="方正仿宋_GBK" w:hAnsi="方正仿宋_GBK" w:eastAsia="方正仿宋_GBK" w:cs="方正仿宋_GBK"/>
          <w:sz w:val="32"/>
          <w:szCs w:val="32"/>
          <w:shd w:val="clear" w:color="auto" w:fill="FFFFFF"/>
        </w:rPr>
        <w:t>万元，与2023年度相比，减少183.67万元，下降16.05%。主要原因是2023年清算补发以前年度超额绩效和健康休养费。较年初预算数增加82.98万元，增长9.45%。主要原因是教职工正常晋升、岗位职级变化等人员经费和校舍维修项目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960.62</w:t>
      </w:r>
      <w:r>
        <w:rPr>
          <w:rFonts w:ascii="方正仿宋_GBK" w:hAnsi="方正仿宋_GBK" w:eastAsia="方正仿宋_GBK" w:cs="方正仿宋_GBK"/>
          <w:sz w:val="32"/>
          <w:szCs w:val="32"/>
          <w:shd w:val="clear" w:color="auto" w:fill="FFFFFF"/>
        </w:rPr>
        <w:t>万元，与2023年度相比，减少192.24万元，下降16.68%。主要原因是2023年清算补发以前年度超额绩效和健康休养费。较年初预算数增加82.98万元，增长9.45%。主要原因是教职工正常晋升、岗位职级变化等人员经费和校舍维修项目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622.08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64.76</w:t>
      </w:r>
      <w:r>
        <w:rPr>
          <w:rFonts w:ascii="方正仿宋_GBK" w:hAnsi="方正仿宋_GBK" w:eastAsia="方正仿宋_GBK" w:cs="方正仿宋_GBK"/>
          <w:sz w:val="32"/>
          <w:szCs w:val="32"/>
          <w:shd w:val="clear" w:color="auto" w:fill="FFFFFF"/>
        </w:rPr>
        <w:t>%，较年初预算数增加28.02万元，增长4.72%，主要原因是本年预算执行中因教职工正常晋升、岗位职级变化等人员经费增加所致。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270.56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28.17</w:t>
      </w:r>
      <w:r>
        <w:rPr>
          <w:rFonts w:ascii="方正仿宋_GBK" w:hAnsi="方正仿宋_GBK" w:eastAsia="方正仿宋_GBK" w:cs="方正仿宋_GBK"/>
          <w:sz w:val="32"/>
          <w:szCs w:val="32"/>
          <w:shd w:val="clear" w:color="auto" w:fill="FFFFFF"/>
        </w:rPr>
        <w:t>%，较年初预算数增加59.69万元，增长28.31%，主要原因是本年预算执行中将超额绩效纳入养老保险和职业年金基数增加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30.08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%，较年初预算数减少2.97万元，下降8.99%，主要原因是本年预算执行中因教职工退休后减少了缴费基数。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3.94</w:t>
      </w:r>
      <w:r>
        <w:rPr>
          <w:rFonts w:ascii="方正仿宋_GBK" w:hAnsi="方正仿宋_GBK" w:eastAsia="方正仿宋_GBK" w:cs="方正仿宋_GBK"/>
          <w:sz w:val="32"/>
          <w:szCs w:val="32"/>
          <w:shd w:val="clear" w:color="auto" w:fill="FFFFFF"/>
        </w:rPr>
        <w:t>%，较年初预算数减少1.76万元，下降4.44%，主要原因是本年预算执行中因教职工退休后减少了缴费基数。</w:t>
      </w:r>
    </w:p>
    <w:p>
      <w:pPr>
        <w:pStyle w:val="11"/>
        <w:autoSpaceDE w:val="0"/>
        <w:spacing w:line="600"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1"/>
        <w:autoSpaceDE w:val="0"/>
        <w:spacing w:line="60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856.48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838.85</w:t>
      </w:r>
      <w:r>
        <w:rPr>
          <w:rFonts w:ascii="方正仿宋_GBK" w:hAnsi="方正仿宋_GBK" w:eastAsia="方正仿宋_GBK" w:cs="方正仿宋_GBK"/>
          <w:sz w:val="32"/>
          <w:szCs w:val="32"/>
          <w:shd w:val="clear" w:color="auto" w:fill="FFFFFF"/>
        </w:rPr>
        <w:t>万元，与2023年度相比，减少194.22万元，下降18.80%，主要原因是2023年清算补发以前年度超额绩效和健康休养费。人员经费用途主要包括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17.63</w:t>
      </w:r>
      <w:r>
        <w:rPr>
          <w:rFonts w:ascii="方正仿宋_GBK" w:hAnsi="方正仿宋_GBK" w:eastAsia="方正仿宋_GBK" w:cs="方正仿宋_GBK"/>
          <w:sz w:val="32"/>
          <w:szCs w:val="32"/>
          <w:shd w:val="clear" w:color="auto" w:fill="FFFFFF"/>
        </w:rPr>
        <w:t>万元，与2023年度相比，减少9.98万元，下降36.15%，主要原因是工会经费、培训费、福利费的预算基数减少所致。公用经费用途主要包括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2.90</w:t>
      </w:r>
      <w:r>
        <w:rPr>
          <w:rFonts w:ascii="方正仿宋_GBK" w:hAnsi="方正仿宋_GBK" w:eastAsia="方正仿宋_GBK" w:cs="方正仿宋_GBK"/>
          <w:sz w:val="32"/>
          <w:szCs w:val="32"/>
          <w:shd w:val="clear" w:color="auto" w:fill="FFFFFF"/>
        </w:rPr>
        <w:t>万元，与2023年度相比，减少1.18万元，下降28.92%，主要原因是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个二级项目开展了绩效自评，涉及财政拨款项目支出资金104.15万元。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18125" cy="4850130"/>
            <wp:effectExtent l="0" t="0" r="635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18125" cy="4850130"/>
                    </a:xfrm>
                    <a:prstGeom prst="rect">
                      <a:avLst/>
                    </a:prstGeom>
                    <a:noFill/>
                    <a:ln>
                      <a:noFill/>
                    </a:ln>
                  </pic:spPr>
                </pic:pic>
              </a:graphicData>
            </a:graphic>
          </wp:inline>
        </w:drawing>
      </w:r>
      <w:r>
        <w:drawing>
          <wp:inline distT="0" distB="0" distL="114300" distR="114300">
            <wp:extent cx="5268595" cy="5367020"/>
            <wp:effectExtent l="0" t="0" r="825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268595" cy="5367020"/>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黎老师   023-74586698</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垫江县包家学校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960.62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20.36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674.65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30.45</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270.56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30.08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37.90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1,011.43</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1,013.19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1.76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1,013.19</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1,013.19</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430"/>
        <w:gridCol w:w="1291"/>
        <w:gridCol w:w="1350"/>
        <w:gridCol w:w="1169"/>
        <w:gridCol w:w="1170"/>
        <w:gridCol w:w="1304"/>
        <w:gridCol w:w="1242"/>
        <w:gridCol w:w="1376"/>
        <w:gridCol w:w="1590"/>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3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垫江县包家学校</w:t>
            </w: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3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51" w:hRule="exact"/>
        </w:trPr>
        <w:tc>
          <w:tcPr>
            <w:tcW w:w="50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51"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4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1,011.43</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960.62</w:t>
            </w:r>
            <w:r>
              <w:rPr>
                <w:rFonts w:ascii="Times New Roman" w:hAnsi="Times New Roman"/>
                <w:b/>
                <w:sz w:val="20"/>
              </w:rPr>
              <w:t xml:space="preserve"> </w:t>
            </w:r>
          </w:p>
        </w:tc>
        <w:tc>
          <w:tcPr>
            <w:tcW w:w="11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20.36</w:t>
            </w:r>
            <w:r>
              <w:rPr>
                <w:rFonts w:ascii="Times New Roman" w:hAnsi="Times New Roman"/>
                <w:b/>
                <w:sz w:val="20"/>
              </w:rPr>
              <w:t xml:space="preserve"> </w:t>
            </w:r>
          </w:p>
        </w:tc>
        <w:tc>
          <w:tcPr>
            <w:tcW w:w="13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20.36</w:t>
            </w:r>
            <w:r>
              <w:rPr>
                <w:rFonts w:ascii="Times New Roman" w:hAnsi="Times New Roman"/>
                <w:b/>
                <w:sz w:val="20"/>
              </w:rPr>
              <w:t xml:space="preserve"> </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30.45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672.90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622.08</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20.36</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20.36</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671.39</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620.58</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20.36</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20.36</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30.45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46.32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25.96</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20.36</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20.36</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625.08</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594.63</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30.45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270.56</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270.56</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258.75</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258.75</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76.14</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76.14</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37.50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37.50</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145.12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145.12</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30.08</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30.08</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37.90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37.90</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垫江县包家学校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1,013.19</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905.96</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107.23</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674.65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579.69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673.15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578.19</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94.96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47.48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21.11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26.37</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625.67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557.08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68.59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270.56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258.30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12.27</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11.81</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258.75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258.30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76.14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37.50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37.50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145.12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144.66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30.08</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30.08</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37.90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37.90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垫江县包家学校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622.08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622.08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270.56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270.56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30.08</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960.62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垫江县包家学校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960.62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856.48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104.15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622.08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530.20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620.58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528.70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91.88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25.96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25.96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594.63</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528.70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65.92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270.56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258.30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12.27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11.81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11.81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11.81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258.75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258.30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76.14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37.50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37.50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145.12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144.66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30.08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30.08</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30.08</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37.90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37.90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垫江县包家学校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694.19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148.61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333.82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76.14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37.50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30.08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0.95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37.90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144.66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119.17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3.97</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16.29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838.85</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17.63</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垫江县包家学校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垫江县包家学校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垫江县包家学校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2.90</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5.03</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4A5D18"/>
    <w:rsid w:val="00550ABE"/>
    <w:rsid w:val="00566C14"/>
    <w:rsid w:val="00770383"/>
    <w:rsid w:val="007819D4"/>
    <w:rsid w:val="007B419D"/>
    <w:rsid w:val="007B7C4B"/>
    <w:rsid w:val="007D3D39"/>
    <w:rsid w:val="00994AF7"/>
    <w:rsid w:val="009B67B8"/>
    <w:rsid w:val="009D2B67"/>
    <w:rsid w:val="00A566F9"/>
    <w:rsid w:val="00AF2751"/>
    <w:rsid w:val="00B03CCD"/>
    <w:rsid w:val="00B23127"/>
    <w:rsid w:val="00BE2B89"/>
    <w:rsid w:val="00BE67E3"/>
    <w:rsid w:val="00C10E9E"/>
    <w:rsid w:val="00C20C3E"/>
    <w:rsid w:val="00CF2ACF"/>
    <w:rsid w:val="00DD6830"/>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B16C5E"/>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A24DC8"/>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F8534B"/>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CD2258"/>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A7F3FE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1"/>
    <w:basedOn w:val="1"/>
    <w:qFormat/>
    <w:uiPriority w:val="0"/>
    <w:pPr>
      <w:widowControl w:val="0"/>
      <w:ind w:firstLine="420" w:firstLineChars="200"/>
      <w:jc w:val="both"/>
    </w:pPr>
    <w:rPr>
      <w:rFonts w:hint="default" w:ascii="Times New Roman" w:hAnsi="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8371</Words>
  <Characters>10999</Characters>
  <Lines>100</Lines>
  <Paragraphs>28</Paragraphs>
  <TotalTime>0</TotalTime>
  <ScaleCrop>false</ScaleCrop>
  <LinksUpToDate>false</LinksUpToDate>
  <CharactersWithSpaces>12011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2025-09-22T08:53:34Z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