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垫江县白家小学校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ascii="方正黑体_GBK" w:hAnsi="黑体" w:eastAsia="方正黑体_GBK" w:cs="仿宋_GB2312"/>
          <w:sz w:val="32"/>
        </w:rPr>
      </w:pP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一、单位基本情况</w:t>
      </w:r>
    </w:p>
    <w:p>
      <w:pPr>
        <w:spacing w:line="600" w:lineRule="exact"/>
        <w:ind w:firstLine="640" w:firstLineChars="200"/>
        <w:rPr>
          <w:rFonts w:hint="default" w:eastAsia="方正楷体_GBK"/>
          <w:b/>
          <w:bCs/>
          <w:sz w:val="32"/>
          <w:szCs w:val="32"/>
        </w:rPr>
      </w:pPr>
      <w:r>
        <w:rPr>
          <w:rFonts w:eastAsia="方正楷体_GBK"/>
          <w:b/>
          <w:bCs/>
          <w:sz w:val="32"/>
          <w:szCs w:val="32"/>
        </w:rPr>
        <w:t>（一）职能职责</w:t>
      </w:r>
    </w:p>
    <w:p>
      <w:pPr>
        <w:spacing w:line="600" w:lineRule="exact"/>
        <w:ind w:firstLine="640" w:firstLineChars="200"/>
        <w:rPr>
          <w:rFonts w:hint="default" w:eastAsia="方正仿宋_GBK"/>
          <w:sz w:val="32"/>
        </w:rPr>
      </w:pPr>
      <w:r>
        <w:rPr>
          <w:rFonts w:eastAsia="方正仿宋_GBK"/>
          <w:sz w:val="32"/>
        </w:rPr>
        <w:t>1．实施义务教育。适龄儿童义务教育；全面推进素质教育；学校卫生、安全、稳定；学校经费与校产管理；师资队伍建设；制定本区域教育发展规划。</w:t>
      </w:r>
    </w:p>
    <w:p>
      <w:pPr>
        <w:spacing w:line="600" w:lineRule="exact"/>
        <w:ind w:firstLine="640" w:firstLineChars="200"/>
        <w:rPr>
          <w:rFonts w:hint="default" w:eastAsia="方正仿宋_GBK"/>
          <w:sz w:val="32"/>
        </w:rPr>
      </w:pPr>
      <w:r>
        <w:rPr>
          <w:rFonts w:eastAsia="方正仿宋_GBK"/>
          <w:sz w:val="32"/>
        </w:rPr>
        <w:t>2．负责辖区学前儿童教育与保育</w:t>
      </w:r>
    </w:p>
    <w:p>
      <w:pPr>
        <w:spacing w:line="600" w:lineRule="exact"/>
        <w:ind w:firstLine="643" w:firstLineChars="200"/>
        <w:rPr>
          <w:rStyle w:val="10"/>
          <w:rFonts w:hint="default" w:ascii="楷体" w:hAnsi="楷体" w:eastAsia="楷体" w:cs="楷体"/>
          <w:sz w:val="32"/>
          <w:szCs w:val="32"/>
          <w:shd w:val="clear" w:color="auto" w:fill="FFFFFF"/>
        </w:rPr>
      </w:pPr>
      <w:r>
        <w:rPr>
          <w:rStyle w:val="10"/>
          <w:rFonts w:ascii="楷体" w:hAnsi="楷体" w:eastAsia="楷体" w:cs="楷体"/>
          <w:sz w:val="32"/>
          <w:szCs w:val="32"/>
          <w:shd w:val="clear" w:color="auto" w:fill="FFFFFF"/>
        </w:rPr>
        <w:t>（二）机构设置</w:t>
      </w:r>
    </w:p>
    <w:p>
      <w:pPr>
        <w:spacing w:line="600" w:lineRule="exact"/>
        <w:ind w:firstLine="640" w:firstLineChars="200"/>
        <w:rPr>
          <w:rFonts w:hint="default" w:eastAsia="方正仿宋_GBK"/>
          <w:sz w:val="32"/>
        </w:rPr>
      </w:pPr>
      <w:r>
        <w:rPr>
          <w:rFonts w:eastAsia="方正仿宋_GBK"/>
          <w:sz w:val="32"/>
        </w:rPr>
        <w:t>学校单位领导职数3名(校长1名、副校长2名)，内设机构领导职数4名，内设机构有德育处、教务处、教科处、后勤处。</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二、单位决算收支情况说明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2024年度收入总计1806.24万元，支出总计</w:t>
      </w:r>
      <w:r>
        <w:rPr>
          <w:rFonts w:ascii="方正仿宋_GBK" w:hAnsi="方正仿宋_GBK" w:eastAsia="方正仿宋_GBK" w:cs="方正仿宋_GBK"/>
          <w:sz w:val="32"/>
          <w:szCs w:val="32"/>
        </w:rPr>
        <w:t>1806.24</w:t>
      </w:r>
      <w:r>
        <w:rPr>
          <w:rFonts w:ascii="方正仿宋_GBK" w:hAnsi="方正仿宋_GBK" w:eastAsia="方正仿宋_GBK" w:cs="方正仿宋_GBK"/>
          <w:sz w:val="32"/>
          <w:szCs w:val="32"/>
          <w:shd w:val="clear" w:color="auto" w:fill="FFFFFF"/>
        </w:rPr>
        <w:t>万元。收、支与2023年度相比，增加71.18万元，增长4.10%，主要原因是合并绿柏小学</w:t>
      </w:r>
      <w:r>
        <w:rPr>
          <w:rFonts w:hint="eastAsia" w:ascii="方正仿宋_GBK" w:hAnsi="方正仿宋_GBK" w:eastAsia="方正仿宋_GBK" w:cs="方正仿宋_GBK"/>
          <w:sz w:val="32"/>
          <w:szCs w:val="32"/>
          <w:shd w:val="clear" w:color="auto" w:fill="FFFFFF"/>
          <w:lang w:eastAsia="zh-CN"/>
        </w:rPr>
        <w:t>后的学位增加</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2024年度收入合计1804.10万元，与2023年度相比，增加94.79万元，增长5.55%，主要原因是合并绿柏小学</w:t>
      </w:r>
      <w:r>
        <w:rPr>
          <w:rFonts w:hint="eastAsia" w:ascii="方正仿宋_GBK" w:hAnsi="方正仿宋_GBK" w:eastAsia="方正仿宋_GBK" w:cs="方正仿宋_GBK"/>
          <w:sz w:val="32"/>
          <w:szCs w:val="32"/>
          <w:shd w:val="clear" w:color="auto" w:fill="FFFFFF"/>
          <w:lang w:eastAsia="zh-CN"/>
        </w:rPr>
        <w:t>后的学位增加</w:t>
      </w:r>
      <w:r>
        <w:rPr>
          <w:rFonts w:ascii="方正仿宋_GBK" w:hAnsi="方正仿宋_GBK" w:eastAsia="方正仿宋_GBK" w:cs="方正仿宋_GBK"/>
          <w:sz w:val="32"/>
          <w:szCs w:val="32"/>
          <w:shd w:val="clear" w:color="auto" w:fill="FFFFFF"/>
        </w:rPr>
        <w:t>。其中：</w:t>
      </w:r>
      <w:bookmarkStart w:id="0" w:name="_GoBack"/>
      <w:bookmarkEnd w:id="0"/>
      <w:r>
        <w:rPr>
          <w:rFonts w:ascii="方正仿宋_GBK" w:hAnsi="方正仿宋_GBK" w:eastAsia="方正仿宋_GBK" w:cs="方正仿宋_GBK"/>
          <w:sz w:val="32"/>
          <w:szCs w:val="32"/>
          <w:shd w:val="clear" w:color="auto" w:fill="FFFFFF"/>
        </w:rPr>
        <w:t>财政拨款收入</w:t>
      </w:r>
      <w:r>
        <w:rPr>
          <w:rFonts w:ascii="方正仿宋_GBK" w:hAnsi="方正仿宋_GBK" w:eastAsia="方正仿宋_GBK" w:cs="方正仿宋_GBK"/>
          <w:sz w:val="32"/>
          <w:szCs w:val="32"/>
        </w:rPr>
        <w:t>1715.69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95.10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32.55</w:t>
      </w:r>
      <w:r>
        <w:rPr>
          <w:rFonts w:ascii="方正仿宋_GBK" w:hAnsi="方正仿宋_GBK" w:eastAsia="方正仿宋_GBK" w:cs="方正仿宋_GBK"/>
          <w:sz w:val="32"/>
          <w:szCs w:val="32"/>
          <w:shd w:val="clear" w:color="auto" w:fill="FFFFFF"/>
        </w:rPr>
        <w:t>万元，占1.80%；经营收入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55.86</w:t>
      </w:r>
      <w:r>
        <w:rPr>
          <w:rFonts w:ascii="方正仿宋_GBK" w:hAnsi="方正仿宋_GBK" w:eastAsia="方正仿宋_GBK" w:cs="方正仿宋_GBK"/>
          <w:sz w:val="32"/>
          <w:szCs w:val="32"/>
          <w:shd w:val="clear" w:color="auto" w:fill="FFFFFF"/>
        </w:rPr>
        <w:t>万元，占3.10%。此外，使用非财政拨款结余和专用结余</w:t>
      </w:r>
      <w:r>
        <w:rPr>
          <w:rFonts w:ascii="方正仿宋_GBK" w:hAnsi="方正仿宋_GBK" w:eastAsia="方正仿宋_GBK" w:cs="方正仿宋_GBK"/>
          <w:sz w:val="32"/>
          <w:szCs w:val="32"/>
        </w:rPr>
        <w:t>2.14</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1803.23</w:t>
      </w:r>
      <w:r>
        <w:rPr>
          <w:rFonts w:ascii="方正仿宋_GBK" w:hAnsi="方正仿宋_GBK" w:eastAsia="方正仿宋_GBK" w:cs="方正仿宋_GBK"/>
          <w:sz w:val="32"/>
          <w:szCs w:val="32"/>
          <w:shd w:val="clear" w:color="auto" w:fill="FFFFFF"/>
        </w:rPr>
        <w:t>万元，与2023年度相比，增加77.18万元，增长4.47%，主要原因是合并绿柏小学</w:t>
      </w:r>
      <w:r>
        <w:rPr>
          <w:rFonts w:hint="eastAsia" w:ascii="方正仿宋_GBK" w:hAnsi="方正仿宋_GBK" w:eastAsia="方正仿宋_GBK" w:cs="方正仿宋_GBK"/>
          <w:sz w:val="32"/>
          <w:szCs w:val="32"/>
          <w:shd w:val="clear" w:color="auto" w:fill="FFFFFF"/>
          <w:lang w:eastAsia="zh-CN"/>
        </w:rPr>
        <w:t>后的学位增加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1640.22</w:t>
      </w:r>
      <w:r>
        <w:rPr>
          <w:rFonts w:ascii="方正仿宋_GBK" w:hAnsi="方正仿宋_GBK" w:eastAsia="方正仿宋_GBK" w:cs="方正仿宋_GBK"/>
          <w:sz w:val="32"/>
          <w:szCs w:val="32"/>
          <w:shd w:val="clear" w:color="auto" w:fill="FFFFFF"/>
        </w:rPr>
        <w:t>万元，占90.96%；项目支出</w:t>
      </w:r>
      <w:r>
        <w:rPr>
          <w:rFonts w:ascii="方正仿宋_GBK" w:hAnsi="方正仿宋_GBK" w:eastAsia="方正仿宋_GBK" w:cs="方正仿宋_GBK"/>
          <w:sz w:val="32"/>
          <w:szCs w:val="32"/>
        </w:rPr>
        <w:t>163.02</w:t>
      </w:r>
      <w:r>
        <w:rPr>
          <w:rFonts w:ascii="方正仿宋_GBK" w:hAnsi="方正仿宋_GBK" w:eastAsia="方正仿宋_GBK" w:cs="方正仿宋_GBK"/>
          <w:sz w:val="32"/>
          <w:szCs w:val="32"/>
          <w:shd w:val="clear" w:color="auto" w:fill="FFFFFF"/>
        </w:rPr>
        <w:t>万元，占9.04%；经营支出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2024年度财政拨款收、支总计1715.69万元。与2023年相比，财政拨款收、支总计各增加84.03万元，增长5.15%。主要原因是合并绿柏小学</w:t>
      </w:r>
      <w:r>
        <w:rPr>
          <w:rFonts w:hint="eastAsia" w:ascii="方正仿宋_GBK" w:hAnsi="方正仿宋_GBK" w:eastAsia="方正仿宋_GBK" w:cs="方正仿宋_GBK"/>
          <w:sz w:val="32"/>
          <w:szCs w:val="32"/>
          <w:shd w:val="clear" w:color="auto" w:fill="FFFFFF"/>
          <w:lang w:eastAsia="zh-CN"/>
        </w:rPr>
        <w:t>后的学位增加</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1709.69</w:t>
      </w:r>
      <w:r>
        <w:rPr>
          <w:rFonts w:ascii="方正仿宋_GBK" w:hAnsi="方正仿宋_GBK" w:eastAsia="方正仿宋_GBK" w:cs="方正仿宋_GBK"/>
          <w:sz w:val="32"/>
          <w:szCs w:val="32"/>
          <w:shd w:val="clear" w:color="auto" w:fill="FFFFFF"/>
        </w:rPr>
        <w:t>万元，与2023年度相比，增加91.14万元，增长5.63%。主要原因是合并绿柏小学</w:t>
      </w:r>
      <w:r>
        <w:rPr>
          <w:rFonts w:hint="eastAsia" w:ascii="方正仿宋_GBK" w:hAnsi="方正仿宋_GBK" w:eastAsia="方正仿宋_GBK" w:cs="方正仿宋_GBK"/>
          <w:sz w:val="32"/>
          <w:szCs w:val="32"/>
          <w:shd w:val="clear" w:color="auto" w:fill="FFFFFF"/>
          <w:lang w:eastAsia="zh-CN"/>
        </w:rPr>
        <w:t>后的学位增加</w:t>
      </w:r>
      <w:r>
        <w:rPr>
          <w:rFonts w:ascii="方正仿宋_GBK" w:hAnsi="方正仿宋_GBK" w:eastAsia="方正仿宋_GBK" w:cs="方正仿宋_GBK"/>
          <w:sz w:val="32"/>
          <w:szCs w:val="32"/>
          <w:shd w:val="clear" w:color="auto" w:fill="FFFFFF"/>
        </w:rPr>
        <w:t>。较年初预算数增加669.53万元，增长64.37%。主要原因是合并绿柏小学</w:t>
      </w:r>
      <w:r>
        <w:rPr>
          <w:rFonts w:hint="eastAsia" w:ascii="方正仿宋_GBK" w:hAnsi="方正仿宋_GBK" w:eastAsia="方正仿宋_GBK" w:cs="方正仿宋_GBK"/>
          <w:sz w:val="32"/>
          <w:szCs w:val="32"/>
          <w:shd w:val="clear" w:color="auto" w:fill="FFFFFF"/>
          <w:lang w:eastAsia="zh-CN"/>
        </w:rPr>
        <w:t>后的学位增加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1709.69</w:t>
      </w:r>
      <w:r>
        <w:rPr>
          <w:rFonts w:ascii="方正仿宋_GBK" w:hAnsi="方正仿宋_GBK" w:eastAsia="方正仿宋_GBK" w:cs="方正仿宋_GBK"/>
          <w:sz w:val="32"/>
          <w:szCs w:val="32"/>
          <w:shd w:val="clear" w:color="auto" w:fill="FFFFFF"/>
        </w:rPr>
        <w:t>万元，与2023年度相比，增加78.03万元，增长4.78%。主要原因是合并绿柏小学</w:t>
      </w:r>
      <w:r>
        <w:rPr>
          <w:rFonts w:hint="eastAsia" w:ascii="方正仿宋_GBK" w:hAnsi="方正仿宋_GBK" w:eastAsia="方正仿宋_GBK" w:cs="方正仿宋_GBK"/>
          <w:sz w:val="32"/>
          <w:szCs w:val="32"/>
          <w:shd w:val="clear" w:color="auto" w:fill="FFFFFF"/>
          <w:lang w:eastAsia="zh-CN"/>
        </w:rPr>
        <w:t>后的学位增加</w:t>
      </w:r>
      <w:r>
        <w:rPr>
          <w:rFonts w:ascii="方正仿宋_GBK" w:hAnsi="方正仿宋_GBK" w:eastAsia="方正仿宋_GBK" w:cs="方正仿宋_GBK"/>
          <w:sz w:val="32"/>
          <w:szCs w:val="32"/>
          <w:shd w:val="clear" w:color="auto" w:fill="FFFFFF"/>
        </w:rPr>
        <w:t>。较年初预算数增加669.53万元，增长64.37%。主要原因是合并绿柏小学</w:t>
      </w:r>
      <w:r>
        <w:rPr>
          <w:rFonts w:hint="eastAsia" w:ascii="方正仿宋_GBK" w:hAnsi="方正仿宋_GBK" w:eastAsia="方正仿宋_GBK" w:cs="方正仿宋_GBK"/>
          <w:sz w:val="32"/>
          <w:szCs w:val="32"/>
          <w:shd w:val="clear" w:color="auto" w:fill="FFFFFF"/>
          <w:lang w:eastAsia="zh-CN"/>
        </w:rPr>
        <w:t>后的学位增加</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万元，与2023年度相比，无增减，主要原因是2023年和2024年均无一般公共预算财政拨款结转和结余。</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1132.38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66.23</w:t>
      </w:r>
      <w:r>
        <w:rPr>
          <w:rFonts w:ascii="方正仿宋_GBK" w:hAnsi="方正仿宋_GBK" w:eastAsia="方正仿宋_GBK" w:cs="方正仿宋_GBK"/>
          <w:sz w:val="32"/>
          <w:szCs w:val="32"/>
          <w:shd w:val="clear" w:color="auto" w:fill="FFFFFF"/>
        </w:rPr>
        <w:t>%，较年初预算数增加413.12万元，增长57.44%，主要原因是合并绿柏小学</w:t>
      </w:r>
      <w:r>
        <w:rPr>
          <w:rFonts w:hint="eastAsia" w:ascii="方正仿宋_GBK" w:hAnsi="方正仿宋_GBK" w:eastAsia="方正仿宋_GBK" w:cs="方正仿宋_GBK"/>
          <w:sz w:val="32"/>
          <w:szCs w:val="32"/>
          <w:shd w:val="clear" w:color="auto" w:fill="FFFFFF"/>
          <w:lang w:eastAsia="zh-CN"/>
        </w:rPr>
        <w:t>后的学位增加</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454.66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26.59</w:t>
      </w:r>
      <w:r>
        <w:rPr>
          <w:rFonts w:ascii="方正仿宋_GBK" w:hAnsi="方正仿宋_GBK" w:eastAsia="方正仿宋_GBK" w:cs="方正仿宋_GBK"/>
          <w:sz w:val="32"/>
          <w:szCs w:val="32"/>
          <w:shd w:val="clear" w:color="auto" w:fill="FFFFFF"/>
        </w:rPr>
        <w:t>%，较年初预算数增加220.11万元，增长93.84%，主要原因是合并绿柏小学</w:t>
      </w:r>
      <w:r>
        <w:rPr>
          <w:rFonts w:hint="eastAsia" w:ascii="方正仿宋_GBK" w:hAnsi="方正仿宋_GBK" w:eastAsia="方正仿宋_GBK" w:cs="方正仿宋_GBK"/>
          <w:sz w:val="32"/>
          <w:szCs w:val="32"/>
          <w:shd w:val="clear" w:color="auto" w:fill="FFFFFF"/>
          <w:lang w:eastAsia="zh-CN"/>
        </w:rPr>
        <w:t>后的学位增加</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58.76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3.44</w:t>
      </w:r>
      <w:r>
        <w:rPr>
          <w:rFonts w:ascii="方正仿宋_GBK" w:hAnsi="方正仿宋_GBK" w:eastAsia="方正仿宋_GBK" w:cs="方正仿宋_GBK"/>
          <w:sz w:val="32"/>
          <w:szCs w:val="32"/>
          <w:shd w:val="clear" w:color="auto" w:fill="FFFFFF"/>
        </w:rPr>
        <w:t>%，较年初预算数增加19.51万元，增长49.71%，主要原因是合并绿柏小学</w:t>
      </w:r>
      <w:r>
        <w:rPr>
          <w:rFonts w:hint="eastAsia" w:ascii="方正仿宋_GBK" w:hAnsi="方正仿宋_GBK" w:eastAsia="方正仿宋_GBK" w:cs="方正仿宋_GBK"/>
          <w:sz w:val="32"/>
          <w:szCs w:val="32"/>
          <w:shd w:val="clear" w:color="auto" w:fill="FFFFFF"/>
          <w:lang w:eastAsia="zh-CN"/>
        </w:rPr>
        <w:t>后的学位增加</w:t>
      </w:r>
      <w:r>
        <w:rPr>
          <w:rFonts w:ascii="方正仿宋_GBK" w:hAnsi="方正仿宋_GBK" w:eastAsia="方正仿宋_GBK" w:cs="方正仿宋_GBK"/>
          <w:sz w:val="32"/>
          <w:szCs w:val="32"/>
          <w:shd w:val="clear" w:color="auto" w:fill="FFFFFF"/>
        </w:rPr>
        <w:t>。</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住房保障支出63.88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3.74</w:t>
      </w:r>
      <w:r>
        <w:rPr>
          <w:rFonts w:ascii="方正仿宋_GBK" w:hAnsi="方正仿宋_GBK" w:eastAsia="方正仿宋_GBK" w:cs="方正仿宋_GBK"/>
          <w:sz w:val="32"/>
          <w:szCs w:val="32"/>
          <w:shd w:val="clear" w:color="auto" w:fill="FFFFFF"/>
        </w:rPr>
        <w:t>%，较年初预算数增加16.78万元，增长35.63%，主要原因是合并绿柏小学</w:t>
      </w:r>
      <w:r>
        <w:rPr>
          <w:rFonts w:hint="eastAsia" w:ascii="方正仿宋_GBK" w:hAnsi="方正仿宋_GBK" w:eastAsia="方正仿宋_GBK" w:cs="方正仿宋_GBK"/>
          <w:sz w:val="32"/>
          <w:szCs w:val="32"/>
          <w:shd w:val="clear" w:color="auto" w:fill="FFFFFF"/>
          <w:lang w:eastAsia="zh-CN"/>
        </w:rPr>
        <w:t>后的学位增加</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1558.16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1529.20</w:t>
      </w:r>
      <w:r>
        <w:rPr>
          <w:rFonts w:ascii="方正仿宋_GBK" w:hAnsi="方正仿宋_GBK" w:eastAsia="方正仿宋_GBK" w:cs="方正仿宋_GBK"/>
          <w:sz w:val="32"/>
          <w:szCs w:val="32"/>
          <w:shd w:val="clear" w:color="auto" w:fill="FFFFFF"/>
        </w:rPr>
        <w:t>万元，与2023年度相比，增加187.17万元，增长13.95%，主要原因是合并绿柏小学</w:t>
      </w:r>
      <w:r>
        <w:rPr>
          <w:rFonts w:hint="eastAsia" w:ascii="方正仿宋_GBK" w:hAnsi="方正仿宋_GBK" w:eastAsia="方正仿宋_GBK" w:cs="方正仿宋_GBK"/>
          <w:sz w:val="32"/>
          <w:szCs w:val="32"/>
          <w:shd w:val="clear" w:color="auto" w:fill="FFFFFF"/>
          <w:lang w:eastAsia="zh-CN"/>
        </w:rPr>
        <w:t>后的学位增加</w:t>
      </w:r>
      <w:r>
        <w:rPr>
          <w:rFonts w:ascii="方正仿宋_GBK" w:hAnsi="方正仿宋_GBK" w:eastAsia="方正仿宋_GBK" w:cs="方正仿宋_GBK"/>
          <w:sz w:val="32"/>
          <w:szCs w:val="32"/>
          <w:shd w:val="clear" w:color="auto" w:fill="FFFFFF"/>
        </w:rPr>
        <w:t>。人员经费用途主要包括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28.96</w:t>
      </w:r>
      <w:r>
        <w:rPr>
          <w:rFonts w:ascii="方正仿宋_GBK" w:hAnsi="方正仿宋_GBK" w:eastAsia="方正仿宋_GBK" w:cs="方正仿宋_GBK"/>
          <w:sz w:val="32"/>
          <w:szCs w:val="32"/>
          <w:shd w:val="clear" w:color="auto" w:fill="FFFFFF"/>
        </w:rPr>
        <w:t>万元，与2023年度相比，减少7.74万元，下降21.09%，主要原因是工会经费、培训费、福利费的预算基数减少所致。公用经费用途主要包括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万元，与2023年度相比，增加6.00万元，增长100.00%；本年支出</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万元，与2023年度相比，增加6.00万元，增长100.00%，主要原因是本年度财政使用政府性基金用于乡村少年宫建设。</w:t>
      </w:r>
    </w:p>
    <w:p>
      <w:pPr>
        <w:pStyle w:val="6"/>
        <w:snapToGrid w:val="0"/>
        <w:spacing w:before="0" w:beforeAutospacing="0" w:after="0" w:afterAutospacing="0" w:line="600" w:lineRule="exact"/>
        <w:ind w:firstLine="640"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3.68</w:t>
      </w:r>
      <w:r>
        <w:rPr>
          <w:rFonts w:ascii="方正仿宋_GBK" w:hAnsi="方正仿宋_GBK" w:eastAsia="方正仿宋_GBK" w:cs="方正仿宋_GBK"/>
          <w:sz w:val="32"/>
          <w:szCs w:val="32"/>
          <w:shd w:val="clear" w:color="auto" w:fill="FFFFFF"/>
        </w:rPr>
        <w:t>万元，与2023年度相比，减少0.53万元，下降12.59%，主要原因是学校压缩公用经费支出，减少了师资队伍的培训</w:t>
      </w:r>
      <w:r>
        <w:rPr>
          <w:rFonts w:hint="default" w:ascii="方正仿宋_GBK" w:hAnsi="方正仿宋_GBK" w:eastAsia="方正仿宋_GBK" w:cs="方正仿宋_GBK"/>
          <w:sz w:val="32"/>
          <w:szCs w:val="32"/>
        </w:rPr>
        <w:t>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度我单位未发生政府采购事项，无相关经费支出。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151.53</w:t>
      </w:r>
      <w:r>
        <w:rPr>
          <w:rFonts w:hint="eastAsia" w:ascii="方正仿宋_GBK" w:hAnsi="方正仿宋_GBK" w:eastAsia="方正仿宋_GBK" w:cs="方正仿宋_GBK"/>
          <w:sz w:val="32"/>
          <w:szCs w:val="32"/>
          <w:shd w:val="clear" w:color="auto" w:fill="FFFFFF"/>
        </w:rPr>
        <w:t>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379085" cy="4872355"/>
            <wp:effectExtent l="0" t="0" r="254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379085" cy="4872355"/>
                    </a:xfrm>
                    <a:prstGeom prst="rect">
                      <a:avLst/>
                    </a:prstGeom>
                    <a:noFill/>
                    <a:ln>
                      <a:noFill/>
                    </a:ln>
                  </pic:spPr>
                </pic:pic>
              </a:graphicData>
            </a:graphic>
          </wp:inline>
        </w:drawing>
      </w:r>
      <w:r>
        <w:drawing>
          <wp:inline distT="0" distB="0" distL="114300" distR="114300">
            <wp:extent cx="5386705" cy="5323840"/>
            <wp:effectExtent l="0" t="0" r="4445" b="6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386705" cy="5323840"/>
                    </a:xfrm>
                    <a:prstGeom prst="rect">
                      <a:avLst/>
                    </a:prstGeom>
                    <a:noFill/>
                    <a:ln>
                      <a:noFill/>
                    </a:ln>
                  </pic:spPr>
                </pic:pic>
              </a:graphicData>
            </a:graphic>
          </wp:inline>
        </w:drawing>
      </w:r>
      <w:r>
        <w:t xml:space="preserve"> </w:t>
      </w: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rPr>
        <w:t>王老师   023-74583553</w:t>
      </w: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r>
              <w:rPr>
                <w:rFonts w:cs="宋体"/>
                <w:sz w:val="20"/>
                <w:szCs w:val="20"/>
              </w:rPr>
              <w:t>单位：</w:t>
            </w:r>
            <w:r>
              <w:rPr>
                <w:sz w:val="20"/>
              </w:rPr>
              <w:t>垫江县白家小学校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1,709.69</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6.00</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32.55</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1,219.93</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55.86</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454.66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58.76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63.88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1,804.10</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1,803.23</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2.14</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1,806.24</w:t>
            </w:r>
            <w:r>
              <w:rPr>
                <w:rFonts w:ascii="Times New Roman" w:hAnsi="Times New Roman"/>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1,806.24</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垫江县白家小学校</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29" w:hRule="exac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29"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9" w:hRule="exac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1,804.10</w:t>
            </w:r>
            <w:r>
              <w:rPr>
                <w:rFonts w:ascii="Times New Roman" w:hAnsi="Times New Roman"/>
                <w:b/>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1,715.69</w:t>
            </w:r>
            <w:r>
              <w:rPr>
                <w:rFonts w:ascii="Times New Roman" w:hAnsi="Times New Roman"/>
                <w:b/>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32.55</w:t>
            </w:r>
            <w:r>
              <w:rPr>
                <w:rFonts w:ascii="Times New Roman" w:hAnsi="Times New Roman"/>
                <w:b/>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32.55</w:t>
            </w:r>
            <w:r>
              <w:rPr>
                <w:rFonts w:ascii="Times New Roman" w:hAnsi="Times New Roman"/>
                <w:b/>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55.86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1,220.79</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1,132.38</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32.55</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32.55</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55.86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1,218.13</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1,129.72</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32.55</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32.55</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55.86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58.67</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26.12</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32.55</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32.55</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1,159.46</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1,103.60</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55.86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2.66</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2.66</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2.66</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2.66</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454.66</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454.66</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454.66</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454.66</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141.49</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141.49</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70.41</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70.41</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242.76</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242.76</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58.76</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58.76</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58.76</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58.76</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58.76</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58.76</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63.88</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63.88</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63.88</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63.88</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63.88</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63.88</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其他支出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22960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彩票公益金安排的支出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2296004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用于教育事业的彩票公益金支出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6.00</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6.00</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垫江县白家小学校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29"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29"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9"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1,803.23</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1,640.22</w:t>
            </w:r>
            <w:r>
              <w:rPr>
                <w:rFonts w:ascii="Times New Roman" w:hAnsi="Times New Roman"/>
                <w:b/>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163.02</w:t>
            </w:r>
            <w:r>
              <w:rPr>
                <w:rFonts w:ascii="Times New Roman" w:hAnsi="Times New Roman"/>
                <w:b/>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1,219.93</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1,063.64</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156.29</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1,217.27</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1,060.98</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156.29</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55.67</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30.38</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25.28</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1,161.60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1,030.59</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131.01</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2.66</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2.66</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2.66</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2.66</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454.66</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453.94</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0.73</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454.66</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453.94</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0.73</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141.49</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141.49</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70.41</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70.41</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242.76</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242.04</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0.73</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58.76</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58.76</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58.76</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58.76</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58.76</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58.76</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63.88</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63.88</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63.88</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63.88</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63.88</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63.88</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其他支出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22960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彩票公益金安排的支出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2296004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用于教育事业的彩票公益金支出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垫江县白家小学校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1,709.69</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6.00</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1,132.38</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1,132.38</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454.66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454.66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58.76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58.76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63.88</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63.88</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6.00</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6.00</w:t>
            </w: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1,715.69</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1,715.69</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1,709.69</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6.00</w:t>
            </w: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1,715.69</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1,715.69</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1,709.69</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6.00</w:t>
            </w: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垫江县白家小学校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1,709.69</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1,558.16</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151.53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1,132.38</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981.58</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150.80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1,129.72</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978.92</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150.80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26.12</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2.00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24.12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1,103.60</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976.92</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126.68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2.66</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2.66</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2.66</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2.66</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454.66</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453.94</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0.73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454.66</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453.94</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0.73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141.49</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141.49</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70.41</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70.41</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242.76</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242.04</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0.73</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58.76</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58.76</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58.76</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58.76</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58.76</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58.76</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63.88</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63.88</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63.88</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63.88</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63.88</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63.88</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垫江县白家小学校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1,287.16</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28.96</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283.49</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45.89</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610.93</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141.49</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70.41</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58.76</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63.88</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10.72</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242.04</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2.66</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208.28</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14.40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12.93</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sz w:val="18"/>
                <w:szCs w:val="18"/>
              </w:rPr>
            </w:pPr>
            <w:r>
              <w:rPr>
                <w:rFonts w:cs="宋体"/>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19.36</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13.37</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sz w:val="18"/>
                <w:szCs w:val="18"/>
              </w:rPr>
            </w:pPr>
            <w:r>
              <w:rPr>
                <w:rFonts w:hint="default" w:ascii="Times New Roman" w:hAnsi="Times New Roman"/>
                <w:sz w:val="18"/>
                <w:szCs w:val="18"/>
              </w:rPr>
              <w:t>1,529.20</w:t>
            </w:r>
            <w:r>
              <w:rPr>
                <w:rFonts w:ascii="Times New Roman" w:hAnsi="Times New Roman"/>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28.96</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垫江县白家小学校</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229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其他支出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22960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彩票公益金安排的支出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2296004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用于教育事业的彩票公益金支出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垫江县白家小学校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垫江县白家小学校</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3.68</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5.45</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00000" w:csb1="00000000"/>
  </w:font>
  <w:font w:name="方正黑体_GBK">
    <w:altName w:val="Arial Unicode MS"/>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altName w:val="Arial Unicode MS"/>
    <w:panose1 w:val="02000000000000000000"/>
    <w:charset w:val="86"/>
    <w:family w:val="script"/>
    <w:pitch w:val="default"/>
    <w:sig w:usb0="00000000" w:usb1="00000000" w:usb2="00000000" w:usb3="00000000" w:csb0="00000000" w:csb1="00000000"/>
  </w:font>
  <w:font w:name="方正仿宋_GBK">
    <w:altName w:val="Arial Unicode MS"/>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704EA"/>
    <w:rsid w:val="002B254B"/>
    <w:rsid w:val="00466C9B"/>
    <w:rsid w:val="00550ABE"/>
    <w:rsid w:val="00716784"/>
    <w:rsid w:val="00770383"/>
    <w:rsid w:val="007819D4"/>
    <w:rsid w:val="007B419D"/>
    <w:rsid w:val="007B7C4B"/>
    <w:rsid w:val="007D3D39"/>
    <w:rsid w:val="00936112"/>
    <w:rsid w:val="00994AF7"/>
    <w:rsid w:val="009B67B8"/>
    <w:rsid w:val="009D2B67"/>
    <w:rsid w:val="009F0B8E"/>
    <w:rsid w:val="00A566F9"/>
    <w:rsid w:val="00AF2751"/>
    <w:rsid w:val="00B03CCD"/>
    <w:rsid w:val="00BE2B89"/>
    <w:rsid w:val="00C10E9E"/>
    <w:rsid w:val="00C20C3E"/>
    <w:rsid w:val="00CE2E25"/>
    <w:rsid w:val="00CF2ACF"/>
    <w:rsid w:val="00D755F3"/>
    <w:rsid w:val="00F73F90"/>
    <w:rsid w:val="00FB4B3B"/>
    <w:rsid w:val="01474EBF"/>
    <w:rsid w:val="01F3521E"/>
    <w:rsid w:val="03B87EA0"/>
    <w:rsid w:val="03E3214F"/>
    <w:rsid w:val="044C50BA"/>
    <w:rsid w:val="05BC6D49"/>
    <w:rsid w:val="05D215D7"/>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344DF7"/>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DB54EC"/>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BF142A2"/>
    <w:rsid w:val="5C263CE4"/>
    <w:rsid w:val="5C5D2777"/>
    <w:rsid w:val="5CF66BF3"/>
    <w:rsid w:val="5D290C69"/>
    <w:rsid w:val="5E065885"/>
    <w:rsid w:val="5F2D4A41"/>
    <w:rsid w:val="604D2898"/>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8362</Words>
  <Characters>11160</Characters>
  <Lines>100</Lines>
  <Paragraphs>28</Paragraphs>
  <TotalTime>192</TotalTime>
  <ScaleCrop>false</ScaleCrop>
  <LinksUpToDate>false</LinksUpToDate>
  <CharactersWithSpaces>12260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2025-09-23T01:48:04Z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