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垫江第九中学校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pStyle w:val="6"/>
        <w:shd w:val="clear" w:color="auto" w:fill="FFFFFF"/>
        <w:spacing w:before="0" w:beforeAutospacing="0" w:after="0" w:afterAutospacing="0" w:line="600" w:lineRule="exact"/>
        <w:ind w:firstLine="643" w:firstLineChars="200"/>
        <w:rPr>
          <w:rStyle w:val="10"/>
          <w:rFonts w:ascii="黑体" w:hAnsi="黑体" w:eastAsia="黑体" w:cs="黑体"/>
          <w:sz w:val="32"/>
          <w:szCs w:val="32"/>
          <w:shd w:val="clear" w:color="auto" w:fill="FFFFFF"/>
        </w:rPr>
      </w:pPr>
    </w:p>
    <w:p>
      <w:pPr>
        <w:pStyle w:val="6"/>
        <w:shd w:val="clear" w:color="auto" w:fill="FFFFFF"/>
        <w:spacing w:before="0" w:beforeAutospacing="0" w:after="0" w:afterAutospacing="0" w:line="600" w:lineRule="exact"/>
        <w:ind w:firstLine="640" w:firstLineChars="200"/>
        <w:rPr>
          <w:rFonts w:hint="default" w:ascii="黑体" w:hAnsi="黑体" w:eastAsia="黑体" w:cs="黑体"/>
          <w:b w:val="0"/>
          <w:bCs/>
          <w:sz w:val="32"/>
          <w:szCs w:val="32"/>
        </w:rPr>
      </w:pPr>
      <w:r>
        <w:rPr>
          <w:rStyle w:val="10"/>
          <w:rFonts w:ascii="黑体" w:hAnsi="黑体" w:eastAsia="黑体" w:cs="黑体"/>
          <w:b w:val="0"/>
          <w:bCs/>
          <w:sz w:val="32"/>
          <w:szCs w:val="32"/>
          <w:shd w:val="clear" w:color="auto" w:fill="FFFFFF"/>
        </w:rPr>
        <w:t>一、单位基本情况</w:t>
      </w:r>
    </w:p>
    <w:p>
      <w:pPr>
        <w:spacing w:line="600" w:lineRule="exact"/>
        <w:ind w:firstLine="643" w:firstLineChars="200"/>
        <w:rPr>
          <w:rFonts w:hint="default" w:eastAsia="方正楷体_GBK"/>
          <w:b/>
          <w:sz w:val="32"/>
        </w:rPr>
      </w:pPr>
      <w:r>
        <w:rPr>
          <w:rFonts w:eastAsia="方正楷体_GBK"/>
          <w:b/>
          <w:sz w:val="32"/>
        </w:rPr>
        <w:t>（一）职能职责</w:t>
      </w:r>
    </w:p>
    <w:p>
      <w:pPr>
        <w:spacing w:line="600" w:lineRule="exact"/>
        <w:ind w:firstLine="640" w:firstLineChars="200"/>
        <w:rPr>
          <w:rFonts w:hint="default" w:eastAsia="方正仿宋_GBK"/>
          <w:sz w:val="32"/>
        </w:rPr>
      </w:pPr>
      <w:r>
        <w:rPr>
          <w:rFonts w:eastAsia="方正仿宋_GBK"/>
          <w:sz w:val="32"/>
        </w:rPr>
        <w:t>实施初中义务教育、适龄青少年义务教育；全面推进素质教育；学校卫生、安全、稳定；学校经费与校产管理；师资队伍建设；制定本区域教育发展规划。</w:t>
      </w:r>
    </w:p>
    <w:p>
      <w:pPr>
        <w:pStyle w:val="16"/>
        <w:tabs>
          <w:tab w:val="center" w:pos="4153"/>
          <w:tab w:val="left" w:pos="7275"/>
        </w:tabs>
        <w:spacing w:line="600" w:lineRule="exact"/>
        <w:jc w:val="left"/>
        <w:rPr>
          <w:rFonts w:eastAsia="方正楷体_GBK"/>
          <w:b/>
          <w:sz w:val="32"/>
        </w:rPr>
      </w:pPr>
      <w:r>
        <w:rPr>
          <w:rFonts w:hint="eastAsia" w:eastAsia="方正楷体_GBK"/>
          <w:b/>
          <w:sz w:val="32"/>
        </w:rPr>
        <w:t>（二）机构设置</w:t>
      </w:r>
    </w:p>
    <w:p>
      <w:pPr>
        <w:spacing w:line="600" w:lineRule="exact"/>
        <w:ind w:firstLine="640" w:firstLineChars="200"/>
        <w:rPr>
          <w:rFonts w:hint="default" w:eastAsia="方正仿宋_GBK"/>
          <w:sz w:val="32"/>
        </w:rPr>
      </w:pPr>
      <w:r>
        <w:rPr>
          <w:rFonts w:eastAsia="方正仿宋_GBK"/>
          <w:sz w:val="32"/>
        </w:rPr>
        <w:t>学校单位领导职数4名(校长1名、副校长3名)，内设机构领导职数5名，内设机构有办公室、教务处、后勤处、教科处、德育处。</w:t>
      </w:r>
    </w:p>
    <w:p>
      <w:pPr>
        <w:pStyle w:val="6"/>
        <w:shd w:val="clear" w:color="auto" w:fill="FFFFFF"/>
        <w:spacing w:before="0" w:beforeAutospacing="0" w:after="0" w:afterAutospacing="0" w:line="600" w:lineRule="exact"/>
        <w:ind w:firstLine="640" w:firstLineChars="200"/>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二、单位决算</w:t>
      </w:r>
      <w:r>
        <w:rPr>
          <w:rStyle w:val="10"/>
          <w:rFonts w:hint="eastAsia" w:ascii="黑体" w:hAnsi="黑体" w:eastAsia="黑体" w:cs="黑体"/>
          <w:b w:val="0"/>
          <w:bCs/>
          <w:sz w:val="32"/>
          <w:szCs w:val="32"/>
          <w:shd w:val="clear" w:color="auto" w:fill="FFFFFF"/>
          <w:lang w:eastAsia="zh-CN"/>
        </w:rPr>
        <w:t>收支</w:t>
      </w:r>
      <w:r>
        <w:rPr>
          <w:rStyle w:val="10"/>
          <w:rFonts w:ascii="黑体" w:hAnsi="黑体" w:eastAsia="黑体" w:cs="黑体"/>
          <w:b w:val="0"/>
          <w:bCs/>
          <w:sz w:val="32"/>
          <w:szCs w:val="32"/>
          <w:shd w:val="clear" w:color="auto" w:fill="FFFFFF"/>
        </w:rPr>
        <w:t>情况说明</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r>
        <w:rPr>
          <w:rFonts w:hint="eastAsia" w:ascii="楷体" w:hAnsi="楷体" w:eastAsia="楷体" w:cs="楷体"/>
          <w:b/>
          <w:bCs/>
          <w:sz w:val="32"/>
          <w:szCs w:val="32"/>
          <w:shd w:val="clear" w:color="auto" w:fill="FFFFFF"/>
        </w:rPr>
        <w:t>。</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2024年度收入总计5048.34万元，支出总计</w:t>
      </w:r>
      <w:r>
        <w:rPr>
          <w:rFonts w:ascii="方正仿宋_GBK" w:hAnsi="方正仿宋_GBK" w:eastAsia="方正仿宋_GBK" w:cs="方正仿宋_GBK"/>
          <w:sz w:val="32"/>
          <w:szCs w:val="32"/>
        </w:rPr>
        <w:t>5048.34</w:t>
      </w:r>
      <w:r>
        <w:rPr>
          <w:rFonts w:ascii="方正仿宋_GBK" w:hAnsi="方正仿宋_GBK" w:eastAsia="方正仿宋_GBK" w:cs="方正仿宋_GBK"/>
          <w:sz w:val="32"/>
          <w:szCs w:val="32"/>
          <w:shd w:val="clear" w:color="auto" w:fill="FFFFFF"/>
        </w:rPr>
        <w:t>万元。收、支与2023年度相比，减少697.12万元，下降12.13%，主要原因是2023年清算补发以前年度超额绩效和健康休养费。</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2024年度收入合计4959.40万元，与2023年度相比，减少601.15万元，下降10.81%，主要原因是2023年清算补发以前年度超额绩效和健康休养费。其中：财政拨款收入</w:t>
      </w:r>
      <w:r>
        <w:rPr>
          <w:rFonts w:ascii="方正仿宋_GBK" w:hAnsi="方正仿宋_GBK" w:eastAsia="方正仿宋_GBK" w:cs="方正仿宋_GBK"/>
          <w:sz w:val="32"/>
          <w:szCs w:val="32"/>
        </w:rPr>
        <w:t>4619.47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93.15</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13.00</w:t>
      </w:r>
      <w:r>
        <w:rPr>
          <w:rFonts w:ascii="方正仿宋_GBK" w:hAnsi="方正仿宋_GBK" w:eastAsia="方正仿宋_GBK" w:cs="方正仿宋_GBK"/>
          <w:sz w:val="32"/>
          <w:szCs w:val="32"/>
          <w:shd w:val="clear" w:color="auto" w:fill="FFFFFF"/>
        </w:rPr>
        <w:t>万元，占0.26%；经营收入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326.94</w:t>
      </w:r>
      <w:r>
        <w:rPr>
          <w:rFonts w:ascii="方正仿宋_GBK" w:hAnsi="方正仿宋_GBK" w:eastAsia="方正仿宋_GBK" w:cs="方正仿宋_GBK"/>
          <w:sz w:val="32"/>
          <w:szCs w:val="32"/>
          <w:shd w:val="clear" w:color="auto" w:fill="FFFFFF"/>
        </w:rPr>
        <w:t>万元，占6.59%。此外，使用非财政拨款结余和专用结余</w:t>
      </w:r>
      <w:r>
        <w:rPr>
          <w:rFonts w:ascii="方正仿宋_GBK" w:hAnsi="方正仿宋_GBK" w:eastAsia="方正仿宋_GBK" w:cs="方正仿宋_GBK"/>
          <w:sz w:val="32"/>
          <w:szCs w:val="32"/>
        </w:rPr>
        <w:t>88.93</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5048.34</w:t>
      </w:r>
      <w:r>
        <w:rPr>
          <w:rFonts w:ascii="方正仿宋_GBK" w:hAnsi="方正仿宋_GBK" w:eastAsia="方正仿宋_GBK" w:cs="方正仿宋_GBK"/>
          <w:sz w:val="32"/>
          <w:szCs w:val="32"/>
          <w:shd w:val="clear" w:color="auto" w:fill="FFFFFF"/>
        </w:rPr>
        <w:t>万元，与2023年度相比，减少521.77万元，下降9.37%，主要原因是2023年清算补发以前年度超额绩效和健康休养费。其中：基本支出</w:t>
      </w:r>
      <w:r>
        <w:rPr>
          <w:rFonts w:ascii="方正仿宋_GBK" w:hAnsi="方正仿宋_GBK" w:eastAsia="方正仿宋_GBK" w:cs="方正仿宋_GBK"/>
          <w:sz w:val="32"/>
          <w:szCs w:val="32"/>
        </w:rPr>
        <w:t>4669.80</w:t>
      </w:r>
      <w:r>
        <w:rPr>
          <w:rFonts w:ascii="方正仿宋_GBK" w:hAnsi="方正仿宋_GBK" w:eastAsia="方正仿宋_GBK" w:cs="方正仿宋_GBK"/>
          <w:sz w:val="32"/>
          <w:szCs w:val="32"/>
          <w:shd w:val="clear" w:color="auto" w:fill="FFFFFF"/>
        </w:rPr>
        <w:t>万元，占92.50%；项目支出</w:t>
      </w:r>
      <w:r>
        <w:rPr>
          <w:rFonts w:ascii="方正仿宋_GBK" w:hAnsi="方正仿宋_GBK" w:eastAsia="方正仿宋_GBK" w:cs="方正仿宋_GBK"/>
          <w:sz w:val="32"/>
          <w:szCs w:val="32"/>
        </w:rPr>
        <w:t>378.53</w:t>
      </w:r>
      <w:r>
        <w:rPr>
          <w:rFonts w:ascii="方正仿宋_GBK" w:hAnsi="方正仿宋_GBK" w:eastAsia="方正仿宋_GBK" w:cs="方正仿宋_GBK"/>
          <w:sz w:val="32"/>
          <w:szCs w:val="32"/>
          <w:shd w:val="clear" w:color="auto" w:fill="FFFFFF"/>
        </w:rPr>
        <w:t>万元，占7.50%；经营支出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万元，与2023年度相比，无增减，主要原因是2023年和2024年无结转和结余。</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2024年度财政拨款收、支总计4619.47万元。与2023年相比，财政拨款收、支总计各减少577.83万元，下降11.12%。主要原因是上年清算补发以前年度超额绩效和健康休养费。</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4619.47</w:t>
      </w:r>
      <w:r>
        <w:rPr>
          <w:rFonts w:ascii="方正仿宋_GBK" w:hAnsi="方正仿宋_GBK" w:eastAsia="方正仿宋_GBK" w:cs="方正仿宋_GBK"/>
          <w:sz w:val="32"/>
          <w:szCs w:val="32"/>
          <w:shd w:val="clear" w:color="auto" w:fill="FFFFFF"/>
        </w:rPr>
        <w:t>万元，与2023年度相比，减少559.03万元，下降10.80%。主要原因是2023年清算补发以前年度超额绩效和健康休养费。较年初预算数增加627.80万元，增长15.73%。主要原因是教职工正常晋升、岗位职级变化等人员经费增加和校舍维修公用经费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4619.47</w:t>
      </w:r>
      <w:r>
        <w:rPr>
          <w:rFonts w:ascii="方正仿宋_GBK" w:hAnsi="方正仿宋_GBK" w:eastAsia="方正仿宋_GBK" w:cs="方正仿宋_GBK"/>
          <w:sz w:val="32"/>
          <w:szCs w:val="32"/>
          <w:shd w:val="clear" w:color="auto" w:fill="FFFFFF"/>
        </w:rPr>
        <w:t>万元，与2023年度相比，减少577.83万元，下降11.12%。主要原因是2023年清算补发以前年度超额绩效和健康休养费。较年初预算数增加627.80万元，增长15.73%。主要原因是教职工正常晋升、岗位职级变化等人员经费增加和校舍维修公用经费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万元，与2023年度相比，无增减，主要原因是2023年和2024年均无一般公共预算财政拨款结转和结余。</w:t>
      </w:r>
    </w:p>
    <w:p>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cyan"/>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3412.81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73.88</w:t>
      </w:r>
      <w:r>
        <w:rPr>
          <w:rFonts w:ascii="方正仿宋_GBK" w:hAnsi="方正仿宋_GBK" w:eastAsia="方正仿宋_GBK" w:cs="方正仿宋_GBK"/>
          <w:sz w:val="32"/>
          <w:szCs w:val="32"/>
          <w:shd w:val="clear" w:color="auto" w:fill="FFFFFF"/>
        </w:rPr>
        <w:t>%，较年初预算数增加401.45万元，增长13.33%，主要原因是教职工正常晋升、岗位职级变化等人员经费和校舍维修公用经费增加。</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829.57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17.96</w:t>
      </w:r>
      <w:r>
        <w:rPr>
          <w:rFonts w:ascii="方正仿宋_GBK" w:hAnsi="方正仿宋_GBK" w:eastAsia="方正仿宋_GBK" w:cs="方正仿宋_GBK"/>
          <w:sz w:val="32"/>
          <w:szCs w:val="32"/>
          <w:shd w:val="clear" w:color="auto" w:fill="FFFFFF"/>
        </w:rPr>
        <w:t>%，较年初预算数增加237.40万元，增长40.09%，主要原因是社保局追加补缴了以前年度养老保险和职业年金。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172.95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3.74</w:t>
      </w:r>
      <w:r>
        <w:rPr>
          <w:rFonts w:ascii="方正仿宋_GBK" w:hAnsi="方正仿宋_GBK" w:eastAsia="方正仿宋_GBK" w:cs="方正仿宋_GBK"/>
          <w:sz w:val="32"/>
          <w:szCs w:val="32"/>
          <w:shd w:val="clear" w:color="auto" w:fill="FFFFFF"/>
        </w:rPr>
        <w:t>%，较年初预算数减少3.48万元，下降1.97%，主要原因是教职工退休后减少医疗保险缴费。</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住房保障支出204.14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4.42</w:t>
      </w:r>
      <w:r>
        <w:rPr>
          <w:rFonts w:ascii="方正仿宋_GBK" w:hAnsi="方正仿宋_GBK" w:eastAsia="方正仿宋_GBK" w:cs="方正仿宋_GBK"/>
          <w:sz w:val="32"/>
          <w:szCs w:val="32"/>
          <w:shd w:val="clear" w:color="auto" w:fill="FFFFFF"/>
        </w:rPr>
        <w:t>%，较年初预算数减少7.57万元，下降3.58%，主要原因是教职工退休后减少公积金缴费基数。</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4242.84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4175.89</w:t>
      </w:r>
      <w:r>
        <w:rPr>
          <w:rFonts w:ascii="方正仿宋_GBK" w:hAnsi="方正仿宋_GBK" w:eastAsia="方正仿宋_GBK" w:cs="方正仿宋_GBK"/>
          <w:sz w:val="32"/>
          <w:szCs w:val="32"/>
          <w:shd w:val="clear" w:color="auto" w:fill="FFFFFF"/>
        </w:rPr>
        <w:t>万元，与2023年度相比，减少497.10万元，下降10.64%，主要原因是2023年清算补发以前年度超额绩效和健康休养费。人员经费用途主要包括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66.95</w:t>
      </w:r>
      <w:r>
        <w:rPr>
          <w:rFonts w:ascii="方正仿宋_GBK" w:hAnsi="方正仿宋_GBK" w:eastAsia="方正仿宋_GBK" w:cs="方正仿宋_GBK"/>
          <w:sz w:val="32"/>
          <w:szCs w:val="32"/>
          <w:shd w:val="clear" w:color="auto" w:fill="FFFFFF"/>
        </w:rPr>
        <w:t>万元，与2023年度相比，减少7.51万元，下降10.09%，主要原因是工会经费、培训费、福利费的预算基数减少所致。公用经费用途主要包括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11"/>
        <w:autoSpaceDE w:val="0"/>
        <w:spacing w:line="600" w:lineRule="exact"/>
        <w:ind w:firstLine="643"/>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600" w:lineRule="exact"/>
        <w:ind w:firstLine="640" w:firstLineChars="200"/>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三、财政拨款“三公”经费情况说明</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5.61</w:t>
      </w:r>
      <w:r>
        <w:rPr>
          <w:rFonts w:ascii="方正仿宋_GBK" w:hAnsi="方正仿宋_GBK" w:eastAsia="方正仿宋_GBK" w:cs="方正仿宋_GBK"/>
          <w:sz w:val="32"/>
          <w:szCs w:val="32"/>
          <w:shd w:val="clear" w:color="auto" w:fill="FFFFFF"/>
        </w:rPr>
        <w:t>万元，较年初预算数增加1.61万元，增长40.25%，主要原因是公务用车使用年限较长后导致运行成本和维修费用增加。较上年支出数减少0.56万元，下降9.08%，主要原因是根据政府过紧日子要求，缩减“三公”经费的支出。</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5.61</w:t>
      </w:r>
      <w:r>
        <w:rPr>
          <w:rFonts w:ascii="方正仿宋_GBK" w:hAnsi="方正仿宋_GBK" w:eastAsia="方正仿宋_GBK" w:cs="方正仿宋_GBK"/>
          <w:sz w:val="32"/>
          <w:szCs w:val="32"/>
          <w:shd w:val="clear" w:color="auto" w:fill="FFFFFF"/>
        </w:rPr>
        <w:t>万元，主要用于教职工上下班通勤车辆运行费用。费用支出较年初预算数增加1.61万元，增长40.25%，主要原因是公务用车使用年限较长</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导致运行成本和维修费用增加。较上年支出数减少0.56万元，下降9.08%，主要原因是根据政府过紧日子要求，缩减“三公”经费的支出。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11"/>
        <w:autoSpaceDE w:val="0"/>
        <w:spacing w:line="600" w:lineRule="exact"/>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5.61</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600" w:lineRule="exact"/>
        <w:ind w:firstLine="640" w:firstLineChars="200"/>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9.37</w:t>
      </w:r>
      <w:r>
        <w:rPr>
          <w:rFonts w:ascii="方正仿宋_GBK" w:hAnsi="方正仿宋_GBK" w:eastAsia="方正仿宋_GBK" w:cs="方正仿宋_GBK"/>
          <w:sz w:val="32"/>
          <w:szCs w:val="32"/>
          <w:shd w:val="clear" w:color="auto" w:fill="FFFFFF"/>
        </w:rPr>
        <w:t>万元，与2023年度相比，减少5.51万元，下降37.03%，主要原因是学校压缩公用经费支出，减少了师资队伍的培训。</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截至2023年12月31日，本单位共有车辆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lang w:val="en-US" w:eastAsia="zh-CN"/>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11.36</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11.36</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11.36万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11.36</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rPr>
        <w:t>教学用设备和学生课桌椅</w:t>
      </w:r>
      <w:r>
        <w:rPr>
          <w:rFonts w:ascii="方正仿宋_GBK" w:hAnsi="方正仿宋_GBK" w:eastAsia="方正仿宋_GBK" w:cs="方正仿宋_GBK"/>
          <w:sz w:val="32"/>
          <w:szCs w:val="32"/>
          <w:shd w:val="clear" w:color="auto" w:fill="FFFFFF"/>
        </w:rPr>
        <w:t>。</w:t>
      </w:r>
    </w:p>
    <w:p>
      <w:pPr>
        <w:pStyle w:val="6"/>
        <w:shd w:val="clear" w:color="auto" w:fill="FFFFFF"/>
        <w:spacing w:before="0" w:beforeAutospacing="0" w:after="0" w:afterAutospacing="0" w:line="600" w:lineRule="exact"/>
        <w:ind w:firstLine="640" w:firstLineChars="200"/>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根据预算绩效管理要求，我单位对12个二级项目开展了绩效自评，涉及财政拨款项目支出资金376.63万元。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890260" cy="4857115"/>
            <wp:effectExtent l="0" t="0" r="571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890260" cy="4857115"/>
                    </a:xfrm>
                    <a:prstGeom prst="rect">
                      <a:avLst/>
                    </a:prstGeom>
                    <a:noFill/>
                    <a:ln>
                      <a:noFill/>
                    </a:ln>
                  </pic:spPr>
                </pic:pic>
              </a:graphicData>
            </a:graphic>
          </wp:inline>
        </w:drawing>
      </w:r>
      <w:r>
        <w:t xml:space="preserve"> </w:t>
      </w:r>
    </w:p>
    <w:p>
      <w:pPr>
        <w:bidi w:val="0"/>
        <w:jc w:val="left"/>
        <w:rPr>
          <w:rFonts w:hint="default" w:ascii="宋体" w:hAnsi="宋体" w:eastAsia="宋体" w:cs="Times New Roman"/>
          <w:sz w:val="24"/>
          <w:szCs w:val="24"/>
          <w:lang w:val="en-US" w:eastAsia="zh-CN" w:bidi="ar-SA"/>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6063615" cy="4837430"/>
            <wp:effectExtent l="0" t="0" r="3810" b="127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6063615" cy="4837430"/>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6"/>
        <w:shd w:val="clear" w:color="auto" w:fill="FFFFFF"/>
        <w:spacing w:before="0" w:beforeAutospacing="0" w:after="0" w:afterAutospacing="0" w:line="600" w:lineRule="exact"/>
        <w:ind w:firstLine="640" w:firstLineChars="200"/>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bookmarkStart w:id="0" w:name="_GoBack"/>
      <w:bookmarkEnd w:id="0"/>
      <w:r>
        <w:rPr>
          <w:rFonts w:ascii="方正仿宋_GBK" w:hAnsi="方正仿宋_GBK" w:eastAsia="方正仿宋_GBK" w:cs="方正仿宋_GBK"/>
          <w:sz w:val="32"/>
          <w:szCs w:val="32"/>
          <w:shd w:val="clear" w:color="auto" w:fill="FFFFFF"/>
        </w:rPr>
        <w:t>“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ascii="楷体" w:hAnsi="楷体" w:eastAsia="楷体" w:cs="楷体"/>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p>
    <w:p>
      <w:pPr>
        <w:pStyle w:val="6"/>
        <w:snapToGrid w:val="0"/>
        <w:spacing w:before="0" w:beforeAutospacing="0" w:after="0" w:afterAutospacing="0" w:line="600" w:lineRule="exact"/>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0" w:beforeAutospacing="0" w:after="0" w:afterAutospacing="0" w:line="600" w:lineRule="exact"/>
        <w:ind w:firstLine="640" w:firstLineChars="200"/>
        <w:rPr>
          <w:rStyle w:val="10"/>
          <w:rFonts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rPr>
        <w:t>韩老师   023-74578992</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r>
              <w:rPr>
                <w:rFonts w:cs="宋体"/>
                <w:sz w:val="20"/>
                <w:szCs w:val="20"/>
              </w:rPr>
              <w:t>单位：</w:t>
            </w:r>
            <w:r>
              <w:rPr>
                <w:sz w:val="20"/>
              </w:rPr>
              <w:t>垫江第九中学校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4,619.47</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13.00</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3,841.67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326.94</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829.57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172.95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204.14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4,959.40</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5,048.34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88.93</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5,048.34</w:t>
            </w:r>
            <w:r>
              <w:rPr>
                <w:rFonts w:ascii="Times New Roman" w:hAnsi="Times New Roman"/>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5,048.34</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垫江第九中学校</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40"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40"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4,959.40</w:t>
            </w:r>
            <w:r>
              <w:rPr>
                <w:rFonts w:ascii="Times New Roman" w:hAnsi="Times New Roman"/>
                <w:b/>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4,619.47</w:t>
            </w:r>
            <w:r>
              <w:rPr>
                <w:rFonts w:ascii="Times New Roman" w:hAnsi="Times New Roman"/>
                <w:b/>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13.00</w:t>
            </w:r>
            <w:r>
              <w:rPr>
                <w:rFonts w:ascii="Times New Roman" w:hAnsi="Times New Roman"/>
                <w:b/>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13.00</w:t>
            </w:r>
            <w:r>
              <w:rPr>
                <w:rFonts w:ascii="Times New Roman" w:hAnsi="Times New Roman"/>
                <w:b/>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326.94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3,752.74</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3,412.81</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326.94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3,744.49</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3,404.55</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326.94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3,744.49</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3,404.55</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326.94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8.25</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8.25</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8.25</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8.25</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829.57</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829.57</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821.56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821.56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412.43</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412.43</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216.27</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216.27</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192.85</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192.85</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8.02</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8.02</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8.02</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8.02</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172.95</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172.95</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172.95</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172.95</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172.95</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172.95</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204.14</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204.14</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204.14</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204.14</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204.14</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204.14</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垫江第九中学校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40"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40"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5,048.34</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4,669.80</w:t>
            </w:r>
            <w:r>
              <w:rPr>
                <w:rFonts w:ascii="Times New Roman" w:hAnsi="Times New Roman"/>
                <w:b/>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378.53</w:t>
            </w:r>
            <w:r>
              <w:rPr>
                <w:rFonts w:ascii="Times New Roman" w:hAnsi="Times New Roman"/>
                <w:b/>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3,841.67</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3,463.77</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377.91</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3,833.42</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3,455.52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377.91</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3,833.42</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3,455.52</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377.91</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8.25</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8.25</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8.25</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8.25</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829.57</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828.95</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0.63</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821.56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820.93</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0.63</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412.43</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412.43</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216.27</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216.27</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192.85</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192.23</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0.63</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8.02</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8.02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8.02</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8.02</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172.95</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172.95</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172.95</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172.95</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172.95</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172.95</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204.14</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204.14</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204.14</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204.14</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204.14</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204.14</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垫江第九中学校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4,619.47</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3,412.81</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3,412.81</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829.57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829.57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172.95</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172.95</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204.14</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204.14</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4,619.47</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4,619.47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4,619.47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4,619.47</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4,619.47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4,619.47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垫江第九中学校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4,619.47</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4,242.84</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376.63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3,412.81</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3,036.80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376.00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3,404.55</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3,028.55</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376.00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3,404.55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3,028.55</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376.00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8.25</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8.25</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8.25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8.25</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829.57</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828.95</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0.63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821.56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820.93</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0.63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412.43</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412.43</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216.27</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216.27</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192.85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192.23</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0.63</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8.02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8.02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8.02</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8.02</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172.95</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172.95</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172.95</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172.95</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172.95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172.95</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204.14</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204.14</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204.14</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204.14</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204.14</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204.14</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垫江第九中学校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3,975.64</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66.95</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951.51</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130.69</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1,851.72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412.43</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216.27</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172.95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5.29</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204.14</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30.64</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200.25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8.25</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8.02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139.32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11.80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35.73</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sz w:val="18"/>
                <w:szCs w:val="18"/>
              </w:rPr>
            </w:pPr>
            <w:r>
              <w:rPr>
                <w:rFonts w:cs="宋体"/>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41.11</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22.97</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4,175.89</w:t>
            </w:r>
            <w:r>
              <w:rPr>
                <w:rFonts w:ascii="Times New Roman" w:hAnsi="Times New Roman"/>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66.95</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垫江第九中学校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垫江第九中学校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垫江第九中学校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5.61</w:t>
            </w: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5.61</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5.61</w:t>
            </w: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5.61</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5.61</w:t>
            </w: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5.61</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11.36</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11.36</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11.36</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11.36</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9.37</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5.68</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黑体_GBK">
    <w:panose1 w:val="02010600010101010101"/>
    <w:charset w:val="86"/>
    <w:family w:val="script"/>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c1MDY2N2QxZTRiZDAxNzlmNWEyOWQxNmEzNzQifQ=="/>
  </w:docVars>
  <w:rsids>
    <w:rsidRoot w:val="00B03CCD"/>
    <w:rsid w:val="000239C6"/>
    <w:rsid w:val="001D3BB7"/>
    <w:rsid w:val="002B254B"/>
    <w:rsid w:val="00466C9B"/>
    <w:rsid w:val="004C5012"/>
    <w:rsid w:val="00550ABE"/>
    <w:rsid w:val="005C4A2E"/>
    <w:rsid w:val="00770383"/>
    <w:rsid w:val="00772C2D"/>
    <w:rsid w:val="007819D4"/>
    <w:rsid w:val="007B419D"/>
    <w:rsid w:val="007B7C4B"/>
    <w:rsid w:val="007D3D39"/>
    <w:rsid w:val="00994AF7"/>
    <w:rsid w:val="009B67B8"/>
    <w:rsid w:val="009D2B67"/>
    <w:rsid w:val="00A566F9"/>
    <w:rsid w:val="00AF2751"/>
    <w:rsid w:val="00B03CCD"/>
    <w:rsid w:val="00BE2B89"/>
    <w:rsid w:val="00C10E9E"/>
    <w:rsid w:val="00C134A9"/>
    <w:rsid w:val="00C20C3E"/>
    <w:rsid w:val="00CF2ACF"/>
    <w:rsid w:val="00E871F1"/>
    <w:rsid w:val="00EE4704"/>
    <w:rsid w:val="00F67EC1"/>
    <w:rsid w:val="00F73F90"/>
    <w:rsid w:val="00FB4B3B"/>
    <w:rsid w:val="00FF3E0E"/>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7D23A1E"/>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064D4C"/>
    <w:rsid w:val="2B167953"/>
    <w:rsid w:val="2B200583"/>
    <w:rsid w:val="2B8209DE"/>
    <w:rsid w:val="2C636760"/>
    <w:rsid w:val="2C6762A3"/>
    <w:rsid w:val="2FCA4B37"/>
    <w:rsid w:val="2FE029D7"/>
    <w:rsid w:val="2FF06E00"/>
    <w:rsid w:val="30586FEC"/>
    <w:rsid w:val="315F0B22"/>
    <w:rsid w:val="31D84415"/>
    <w:rsid w:val="31FE28E2"/>
    <w:rsid w:val="32285F6F"/>
    <w:rsid w:val="32770556"/>
    <w:rsid w:val="329C0913"/>
    <w:rsid w:val="32AA0460"/>
    <w:rsid w:val="3337290D"/>
    <w:rsid w:val="33E31118"/>
    <w:rsid w:val="33EF7674"/>
    <w:rsid w:val="342D7BC6"/>
    <w:rsid w:val="352930DB"/>
    <w:rsid w:val="35573069"/>
    <w:rsid w:val="355F6038"/>
    <w:rsid w:val="358C217E"/>
    <w:rsid w:val="36215A2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3FD91081"/>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3D4A48"/>
    <w:rsid w:val="4B7951CB"/>
    <w:rsid w:val="4B7C315C"/>
    <w:rsid w:val="4DAC4ACA"/>
    <w:rsid w:val="4DBE01D2"/>
    <w:rsid w:val="4EC11663"/>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4C360E"/>
    <w:rsid w:val="6A6C7940"/>
    <w:rsid w:val="6AAD2300"/>
    <w:rsid w:val="6B474EF5"/>
    <w:rsid w:val="6B656B09"/>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8432</Words>
  <Characters>11210</Characters>
  <Lines>100</Lines>
  <Paragraphs>28</Paragraphs>
  <TotalTime>1</TotalTime>
  <ScaleCrop>false</ScaleCrop>
  <LinksUpToDate>false</LinksUpToDate>
  <CharactersWithSpaces>12267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2025-09-22T07:28:39Z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