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beforeAutospacing="0" w:after="0" w:afterAutospacing="0" w:line="596"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垫江第八中学校</w:t>
      </w:r>
    </w:p>
    <w:p>
      <w:pPr>
        <w:pStyle w:val="6"/>
        <w:spacing w:before="0" w:beforeAutospacing="0" w:after="0" w:afterAutospacing="0" w:line="596" w:lineRule="exact"/>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spacing w:line="600" w:lineRule="exact"/>
        <w:ind w:firstLine="640" w:firstLineChars="200"/>
        <w:rPr>
          <w:rFonts w:ascii="Times New Roman" w:hAnsi="Times New Roman" w:eastAsia="方正黑体_GBK"/>
          <w:sz w:val="32"/>
        </w:rPr>
      </w:pPr>
    </w:p>
    <w:p>
      <w:pPr>
        <w:spacing w:line="600" w:lineRule="exact"/>
        <w:ind w:firstLine="640" w:firstLineChars="200"/>
        <w:rPr>
          <w:rFonts w:hint="default" w:ascii="Times New Roman" w:hAnsi="Times New Roman" w:eastAsia="方正黑体_GBK"/>
          <w:sz w:val="32"/>
        </w:rPr>
      </w:pPr>
      <w:r>
        <w:rPr>
          <w:rFonts w:ascii="Times New Roman" w:hAnsi="Times New Roman" w:eastAsia="方正黑体_GBK"/>
          <w:sz w:val="32"/>
        </w:rPr>
        <w:t>一、单位基本情况</w:t>
      </w:r>
    </w:p>
    <w:p>
      <w:pPr>
        <w:spacing w:line="600" w:lineRule="exact"/>
        <w:ind w:firstLine="640" w:firstLineChars="200"/>
        <w:rPr>
          <w:rFonts w:hint="default" w:eastAsia="方正楷体_GBK"/>
          <w:b/>
          <w:sz w:val="32"/>
        </w:rPr>
      </w:pPr>
      <w:r>
        <w:rPr>
          <w:rFonts w:eastAsia="方正楷体_GBK"/>
          <w:b/>
          <w:sz w:val="32"/>
        </w:rPr>
        <w:t>（一）职能职责</w:t>
      </w:r>
    </w:p>
    <w:p>
      <w:pPr>
        <w:spacing w:line="600" w:lineRule="exact"/>
        <w:ind w:firstLine="640" w:firstLineChars="200"/>
        <w:rPr>
          <w:rFonts w:hint="default" w:eastAsia="方正仿宋_GBK"/>
          <w:sz w:val="32"/>
          <w:szCs w:val="32"/>
        </w:rPr>
      </w:pPr>
      <w:r>
        <w:rPr>
          <w:rFonts w:eastAsia="方正仿宋_GBK"/>
          <w:sz w:val="32"/>
          <w:szCs w:val="32"/>
        </w:rPr>
        <w:t>1</w:t>
      </w:r>
      <w:r>
        <w:rPr>
          <w:rFonts w:hint="eastAsia" w:eastAsia="方正仿宋_GBK"/>
          <w:sz w:val="32"/>
          <w:szCs w:val="32"/>
          <w:lang w:val="en-US" w:eastAsia="zh-CN"/>
        </w:rPr>
        <w:t>.</w:t>
      </w:r>
      <w:r>
        <w:rPr>
          <w:rFonts w:eastAsia="方正仿宋_GBK"/>
          <w:sz w:val="32"/>
          <w:szCs w:val="32"/>
        </w:rPr>
        <w:t>实施初中义务教育。</w:t>
      </w:r>
    </w:p>
    <w:p>
      <w:pPr>
        <w:spacing w:line="600" w:lineRule="exact"/>
        <w:ind w:firstLine="640" w:firstLineChars="200"/>
        <w:rPr>
          <w:rFonts w:hint="default" w:eastAsia="方正仿宋_GBK"/>
          <w:sz w:val="32"/>
          <w:szCs w:val="32"/>
        </w:rPr>
      </w:pPr>
      <w:r>
        <w:rPr>
          <w:rFonts w:eastAsia="方正仿宋_GBK"/>
          <w:sz w:val="32"/>
          <w:szCs w:val="32"/>
        </w:rPr>
        <w:t>2</w:t>
      </w:r>
      <w:r>
        <w:rPr>
          <w:rFonts w:hint="eastAsia" w:eastAsia="方正仿宋_GBK"/>
          <w:sz w:val="32"/>
          <w:szCs w:val="32"/>
          <w:lang w:val="en-US" w:eastAsia="zh-CN"/>
        </w:rPr>
        <w:t>.</w:t>
      </w:r>
      <w:r>
        <w:rPr>
          <w:rFonts w:eastAsia="方正仿宋_GBK"/>
          <w:sz w:val="32"/>
          <w:szCs w:val="32"/>
        </w:rPr>
        <w:t>适龄青少年义务教育。</w:t>
      </w:r>
    </w:p>
    <w:p>
      <w:pPr>
        <w:spacing w:line="600" w:lineRule="exact"/>
        <w:ind w:firstLine="640" w:firstLineChars="200"/>
        <w:rPr>
          <w:rFonts w:hint="default" w:eastAsia="方正仿宋_GBK"/>
          <w:sz w:val="32"/>
          <w:szCs w:val="32"/>
        </w:rPr>
      </w:pPr>
      <w:r>
        <w:rPr>
          <w:rFonts w:eastAsia="方正仿宋_GBK"/>
          <w:sz w:val="32"/>
          <w:szCs w:val="32"/>
        </w:rPr>
        <w:t>3</w:t>
      </w:r>
      <w:r>
        <w:rPr>
          <w:rFonts w:hint="eastAsia" w:eastAsia="方正仿宋_GBK"/>
          <w:sz w:val="32"/>
          <w:szCs w:val="32"/>
          <w:lang w:val="en-US" w:eastAsia="zh-CN"/>
        </w:rPr>
        <w:t>.</w:t>
      </w:r>
      <w:r>
        <w:rPr>
          <w:rFonts w:eastAsia="方正仿宋_GBK"/>
          <w:sz w:val="32"/>
          <w:szCs w:val="32"/>
        </w:rPr>
        <w:t>全面推进素质教育。</w:t>
      </w:r>
    </w:p>
    <w:p>
      <w:pPr>
        <w:spacing w:line="600" w:lineRule="exact"/>
        <w:ind w:firstLine="640" w:firstLineChars="200"/>
        <w:rPr>
          <w:rFonts w:hint="default" w:eastAsia="方正仿宋_GBK"/>
          <w:sz w:val="32"/>
          <w:szCs w:val="32"/>
        </w:rPr>
      </w:pPr>
      <w:r>
        <w:rPr>
          <w:rFonts w:eastAsia="方正仿宋_GBK"/>
          <w:sz w:val="32"/>
          <w:szCs w:val="32"/>
        </w:rPr>
        <w:t>4</w:t>
      </w:r>
      <w:r>
        <w:rPr>
          <w:rFonts w:hint="eastAsia" w:eastAsia="方正仿宋_GBK"/>
          <w:sz w:val="32"/>
          <w:szCs w:val="32"/>
          <w:lang w:val="en-US" w:eastAsia="zh-CN"/>
        </w:rPr>
        <w:t>.</w:t>
      </w:r>
      <w:r>
        <w:rPr>
          <w:rFonts w:eastAsia="方正仿宋_GBK"/>
          <w:sz w:val="32"/>
          <w:szCs w:val="32"/>
        </w:rPr>
        <w:t>学校卫生、安全、稳定。</w:t>
      </w:r>
    </w:p>
    <w:p>
      <w:pPr>
        <w:spacing w:line="600" w:lineRule="exact"/>
        <w:ind w:firstLine="640" w:firstLineChars="200"/>
        <w:rPr>
          <w:rFonts w:hint="default" w:eastAsia="方正仿宋_GBK"/>
          <w:sz w:val="32"/>
          <w:szCs w:val="32"/>
        </w:rPr>
      </w:pPr>
      <w:r>
        <w:rPr>
          <w:rFonts w:eastAsia="方正仿宋_GBK"/>
          <w:sz w:val="32"/>
          <w:szCs w:val="32"/>
        </w:rPr>
        <w:t>5</w:t>
      </w:r>
      <w:r>
        <w:rPr>
          <w:rFonts w:hint="eastAsia" w:eastAsia="方正仿宋_GBK"/>
          <w:sz w:val="32"/>
          <w:szCs w:val="32"/>
          <w:lang w:val="en-US" w:eastAsia="zh-CN"/>
        </w:rPr>
        <w:t>.</w:t>
      </w:r>
      <w:r>
        <w:rPr>
          <w:rFonts w:eastAsia="方正仿宋_GBK"/>
          <w:sz w:val="32"/>
          <w:szCs w:val="32"/>
        </w:rPr>
        <w:t>学校经费与校产管理。</w:t>
      </w:r>
    </w:p>
    <w:p>
      <w:pPr>
        <w:spacing w:line="600" w:lineRule="exact"/>
        <w:ind w:firstLine="640" w:firstLineChars="200"/>
        <w:rPr>
          <w:rFonts w:hint="default" w:eastAsia="方正仿宋_GBK"/>
          <w:sz w:val="32"/>
          <w:szCs w:val="32"/>
        </w:rPr>
      </w:pPr>
      <w:r>
        <w:rPr>
          <w:rFonts w:eastAsia="方正仿宋_GBK"/>
          <w:sz w:val="32"/>
          <w:szCs w:val="32"/>
        </w:rPr>
        <w:t>6</w:t>
      </w:r>
      <w:r>
        <w:rPr>
          <w:rFonts w:hint="eastAsia" w:eastAsia="方正仿宋_GBK"/>
          <w:sz w:val="32"/>
          <w:szCs w:val="32"/>
          <w:lang w:val="en-US" w:eastAsia="zh-CN"/>
        </w:rPr>
        <w:t>.</w:t>
      </w:r>
      <w:r>
        <w:rPr>
          <w:rFonts w:eastAsia="方正仿宋_GBK"/>
          <w:sz w:val="32"/>
          <w:szCs w:val="32"/>
        </w:rPr>
        <w:t>师资队伍建设。</w:t>
      </w:r>
    </w:p>
    <w:p>
      <w:pPr>
        <w:spacing w:line="600" w:lineRule="exact"/>
        <w:ind w:firstLine="640" w:firstLineChars="200"/>
        <w:rPr>
          <w:rFonts w:hint="default" w:ascii="Times New Roman" w:hAnsi="Times New Roman" w:eastAsia="方正仿宋_GBK"/>
          <w:sz w:val="32"/>
        </w:rPr>
      </w:pPr>
      <w:r>
        <w:rPr>
          <w:rFonts w:eastAsia="方正仿宋_GBK"/>
          <w:sz w:val="32"/>
          <w:szCs w:val="32"/>
        </w:rPr>
        <w:t>7</w:t>
      </w:r>
      <w:r>
        <w:rPr>
          <w:rFonts w:hint="eastAsia" w:eastAsia="方正仿宋_GBK"/>
          <w:sz w:val="32"/>
          <w:szCs w:val="32"/>
          <w:lang w:val="en-US" w:eastAsia="zh-CN"/>
        </w:rPr>
        <w:t>.</w:t>
      </w:r>
      <w:r>
        <w:rPr>
          <w:rFonts w:eastAsia="方正仿宋_GBK"/>
          <w:sz w:val="32"/>
          <w:szCs w:val="32"/>
        </w:rPr>
        <w:t>制定本区域教育发展规划</w:t>
      </w:r>
      <w:r>
        <w:rPr>
          <w:rFonts w:ascii="Times New Roman" w:hAnsi="Times New Roman" w:eastAsia="方正仿宋_GBK"/>
          <w:sz w:val="32"/>
        </w:rPr>
        <w:t>。</w:t>
      </w:r>
    </w:p>
    <w:p>
      <w:pPr>
        <w:spacing w:line="600" w:lineRule="exact"/>
        <w:ind w:firstLine="640" w:firstLineChars="200"/>
        <w:rPr>
          <w:rFonts w:hint="default" w:ascii="Times New Roman" w:hAnsi="Times New Roman" w:eastAsia="方正仿宋_GBK"/>
          <w:sz w:val="32"/>
        </w:rPr>
      </w:pPr>
      <w:r>
        <w:rPr>
          <w:rFonts w:ascii="方正楷体_GBK" w:eastAsia="方正楷体_GBK"/>
          <w:b/>
          <w:sz w:val="32"/>
          <w:szCs w:val="32"/>
        </w:rPr>
        <w:t>（二）机构设置</w:t>
      </w:r>
    </w:p>
    <w:p>
      <w:pPr>
        <w:pStyle w:val="6"/>
        <w:shd w:val="clear" w:color="auto" w:fill="FFFFFF"/>
        <w:spacing w:before="0" w:beforeAutospacing="0" w:after="0" w:afterAutospacing="0" w:line="600" w:lineRule="exact"/>
        <w:ind w:firstLine="640" w:firstLineChars="200"/>
        <w:rPr>
          <w:rFonts w:hint="default" w:ascii="方正仿宋_GBK" w:eastAsia="方正仿宋_GBK"/>
          <w:sz w:val="32"/>
          <w:szCs w:val="32"/>
        </w:rPr>
      </w:pPr>
      <w:r>
        <w:rPr>
          <w:rFonts w:eastAsia="方正仿宋_GBK"/>
          <w:sz w:val="32"/>
        </w:rPr>
        <w:t>学校单位领导职数4名(校长1名、副校长3名)，内设机构有办公室、教务处、后勤处、教科处、德育处</w:t>
      </w:r>
      <w:r>
        <w:rPr>
          <w:rFonts w:ascii="方正仿宋_GBK" w:eastAsia="方正仿宋_GBK"/>
          <w:sz w:val="32"/>
          <w:szCs w:val="32"/>
        </w:rPr>
        <w:t>。</w:t>
      </w:r>
    </w:p>
    <w:p>
      <w:pPr>
        <w:spacing w:line="600" w:lineRule="exact"/>
        <w:ind w:firstLine="640" w:firstLineChars="200"/>
        <w:rPr>
          <w:rFonts w:hint="default" w:ascii="Times New Roman" w:hAnsi="Times New Roman" w:eastAsia="方正黑体_GBK"/>
          <w:sz w:val="32"/>
        </w:rPr>
      </w:pPr>
      <w:r>
        <w:rPr>
          <w:rFonts w:ascii="Times New Roman" w:hAnsi="Times New Roman" w:eastAsia="方正黑体_GBK"/>
          <w:sz w:val="32"/>
        </w:rPr>
        <w:t>二、单位决算收支情况说明</w:t>
      </w:r>
    </w:p>
    <w:p>
      <w:pPr>
        <w:pStyle w:val="11"/>
        <w:autoSpaceDE w:val="0"/>
        <w:spacing w:line="60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（一）收入支出决算总体情况说明</w:t>
      </w:r>
    </w:p>
    <w:p>
      <w:pPr>
        <w:pStyle w:val="6"/>
        <w:shd w:val="clear" w:color="auto" w:fill="FFFFFF"/>
        <w:spacing w:before="0" w:beforeAutospacing="0" w:after="0" w:afterAutospacing="0" w:line="600" w:lineRule="exact"/>
        <w:ind w:firstLine="640"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2024年度收入总计8136.14万元，支出总计</w:t>
      </w:r>
      <w:r>
        <w:rPr>
          <w:rFonts w:ascii="方正仿宋_GBK" w:hAnsi="方正仿宋_GBK" w:eastAsia="方正仿宋_GBK" w:cs="方正仿宋_GBK"/>
          <w:sz w:val="32"/>
          <w:szCs w:val="32"/>
        </w:rPr>
        <w:t>8136.14</w:t>
      </w:r>
      <w:r>
        <w:rPr>
          <w:rFonts w:ascii="方正仿宋_GBK" w:hAnsi="方正仿宋_GBK" w:eastAsia="方正仿宋_GBK" w:cs="方正仿宋_GBK"/>
          <w:sz w:val="32"/>
          <w:szCs w:val="32"/>
          <w:shd w:val="clear" w:color="auto" w:fill="FFFFFF"/>
        </w:rPr>
        <w:t>万元。收、支与2023年度相比，增加1347.30万元，增长19.85%，主要原因是财政追加政府性基金用于土地出让金支付。</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2024年度收入合计8120.65万元，与2023年度相比，增加1440.39万元，增长21.56%，主要原因是财政追加政府性基金用于土地出让金支付。其中：财政拨款收入</w:t>
      </w:r>
      <w:r>
        <w:rPr>
          <w:rFonts w:ascii="方正仿宋_GBK" w:hAnsi="方正仿宋_GBK" w:eastAsia="方正仿宋_GBK" w:cs="方正仿宋_GBK"/>
          <w:sz w:val="32"/>
          <w:szCs w:val="32"/>
        </w:rPr>
        <w:t>7604.50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93.64</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161.09</w:t>
      </w:r>
      <w:r>
        <w:rPr>
          <w:rFonts w:ascii="方正仿宋_GBK" w:hAnsi="方正仿宋_GBK" w:eastAsia="方正仿宋_GBK" w:cs="方正仿宋_GBK"/>
          <w:sz w:val="32"/>
          <w:szCs w:val="32"/>
          <w:shd w:val="clear" w:color="auto" w:fill="FFFFFF"/>
        </w:rPr>
        <w:t>万元，占1.98%；经营收入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355.06</w:t>
      </w:r>
      <w:r>
        <w:rPr>
          <w:rFonts w:ascii="方正仿宋_GBK" w:hAnsi="方正仿宋_GBK" w:eastAsia="方正仿宋_GBK" w:cs="方正仿宋_GBK"/>
          <w:sz w:val="32"/>
          <w:szCs w:val="32"/>
          <w:shd w:val="clear" w:color="auto" w:fill="FFFFFF"/>
        </w:rPr>
        <w:t>万元，占4.37%。此外，使用非财政拨款结余和专用结余</w:t>
      </w:r>
      <w:r>
        <w:rPr>
          <w:rFonts w:ascii="方正仿宋_GBK" w:hAnsi="方正仿宋_GBK" w:eastAsia="方正仿宋_GBK" w:cs="方正仿宋_GBK"/>
          <w:sz w:val="32"/>
          <w:szCs w:val="32"/>
        </w:rPr>
        <w:t>15.50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8078.59</w:t>
      </w:r>
      <w:r>
        <w:rPr>
          <w:rFonts w:ascii="方正仿宋_GBK" w:hAnsi="方正仿宋_GBK" w:eastAsia="方正仿宋_GBK" w:cs="方正仿宋_GBK"/>
          <w:sz w:val="32"/>
          <w:szCs w:val="32"/>
          <w:shd w:val="clear" w:color="auto" w:fill="FFFFFF"/>
        </w:rPr>
        <w:t>万元，与2023年度相比，增加1369.02万元，增长20.40%，主要原因是财政追加政府性基金用于土地出让金支付。其中：基本支出</w:t>
      </w:r>
      <w:r>
        <w:rPr>
          <w:rFonts w:ascii="方正仿宋_GBK" w:hAnsi="方正仿宋_GBK" w:eastAsia="方正仿宋_GBK" w:cs="方正仿宋_GBK"/>
          <w:sz w:val="32"/>
          <w:szCs w:val="32"/>
        </w:rPr>
        <w:t>5920.13</w:t>
      </w:r>
      <w:r>
        <w:rPr>
          <w:rFonts w:ascii="方正仿宋_GBK" w:hAnsi="方正仿宋_GBK" w:eastAsia="方正仿宋_GBK" w:cs="方正仿宋_GBK"/>
          <w:sz w:val="32"/>
          <w:szCs w:val="32"/>
          <w:shd w:val="clear" w:color="auto" w:fill="FFFFFF"/>
        </w:rPr>
        <w:t>万元，占73.28%；项目支出</w:t>
      </w:r>
      <w:r>
        <w:rPr>
          <w:rFonts w:ascii="方正仿宋_GBK" w:hAnsi="方正仿宋_GBK" w:eastAsia="方正仿宋_GBK" w:cs="方正仿宋_GBK"/>
          <w:sz w:val="32"/>
          <w:szCs w:val="32"/>
        </w:rPr>
        <w:t>2158.46</w:t>
      </w:r>
      <w:r>
        <w:rPr>
          <w:rFonts w:ascii="方正仿宋_GBK" w:hAnsi="方正仿宋_GBK" w:eastAsia="方正仿宋_GBK" w:cs="方正仿宋_GBK"/>
          <w:sz w:val="32"/>
          <w:szCs w:val="32"/>
          <w:shd w:val="clear" w:color="auto" w:fill="FFFFFF"/>
        </w:rPr>
        <w:t>万元，占26.72%；经营支出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57.55</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万元，与2023年度相比，无增减，主要原因是2023、2024年均无结转和结余。</w:t>
      </w:r>
    </w:p>
    <w:p>
      <w:pPr>
        <w:pStyle w:val="11"/>
        <w:autoSpaceDE w:val="0"/>
        <w:spacing w:line="60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（二）财政拨款收入支出决算总体情况说明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2024年度财政拨款收、支总计7604.50万元。与2023年相比，财政拨款收、支总计各增加1357.03万元，增长21.72%。主要原因是财政追加政府性基金用于土地出让金支付。</w:t>
      </w:r>
    </w:p>
    <w:p>
      <w:pPr>
        <w:pStyle w:val="11"/>
        <w:autoSpaceDE w:val="0"/>
        <w:spacing w:line="60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（三）一般公共预算财政拨款收入支出决算情况说明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5917.25</w:t>
      </w:r>
      <w:r>
        <w:rPr>
          <w:rFonts w:ascii="方正仿宋_GBK" w:hAnsi="方正仿宋_GBK" w:eastAsia="方正仿宋_GBK" w:cs="方正仿宋_GBK"/>
          <w:sz w:val="32"/>
          <w:szCs w:val="32"/>
          <w:shd w:val="clear" w:color="auto" w:fill="FFFFFF"/>
        </w:rPr>
        <w:t>万元，与2023年度相比，减少326.24万元，下降5.23%。主要原因是2023年清算补发以前年度超额绩效和健康休养费。较年初预算数增加701.82万元，增长13.46%。主要原因是岗位晋升</w:t>
      </w:r>
      <w:bookmarkStart w:id="0" w:name="_GoBack"/>
      <w:bookmarkEnd w:id="0"/>
      <w:r>
        <w:rPr>
          <w:rFonts w:ascii="方正仿宋_GBK" w:hAnsi="方正仿宋_GBK" w:eastAsia="方正仿宋_GBK" w:cs="方正仿宋_GBK"/>
          <w:sz w:val="32"/>
          <w:szCs w:val="32"/>
          <w:shd w:val="clear" w:color="auto" w:fill="FFFFFF"/>
        </w:rPr>
        <w:t>、超额绩效纳入社保缴费基数所致。此外，年初财政拨款结转和结余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5917.25</w:t>
      </w:r>
      <w:r>
        <w:rPr>
          <w:rFonts w:ascii="方正仿宋_GBK" w:hAnsi="方正仿宋_GBK" w:eastAsia="方正仿宋_GBK" w:cs="方正仿宋_GBK"/>
          <w:sz w:val="32"/>
          <w:szCs w:val="32"/>
          <w:shd w:val="clear" w:color="auto" w:fill="FFFFFF"/>
        </w:rPr>
        <w:t>万元，与2023年度相比，减少326.24万元，下降5.23%。主要原因是2023年清算补发以前年度超额绩效和健康休养费。较年初预算数增加701.82万元，增长13.46%。主要原因是岗位晋升等、超额绩效纳入社保缴费基数所致。</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万元，与2023年度相比，无增减，主要原因是2023、2024年均无一般公共预算财政拨款结转和结余。</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highlight w:val="cyan"/>
          <w:shd w:val="clear" w:color="auto" w:fill="FFFFFF"/>
        </w:rPr>
      </w:pPr>
      <w:r>
        <w:rPr>
          <w:rStyle w:val="10"/>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本单位2024年度一般公共预算财政拨款支出主要用于以下几个方面：</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（1）教育支出</w:t>
      </w:r>
      <w:r>
        <w:rPr>
          <w:rFonts w:ascii="方正仿宋_GBK" w:hAnsi="方正仿宋_GBK" w:eastAsia="方正仿宋_GBK" w:cs="方正仿宋_GBK"/>
          <w:sz w:val="32"/>
          <w:szCs w:val="32"/>
        </w:rPr>
        <w:t>4359.28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73.67</w:t>
      </w:r>
      <w:r>
        <w:rPr>
          <w:rFonts w:ascii="方正仿宋_GBK" w:hAnsi="方正仿宋_GBK" w:eastAsia="方正仿宋_GBK" w:cs="方正仿宋_GBK"/>
          <w:sz w:val="32"/>
          <w:szCs w:val="32"/>
          <w:shd w:val="clear" w:color="auto" w:fill="FFFFFF"/>
        </w:rPr>
        <w:t>%，较年初预算数增加360.37万元，增长9.01%，主要原因是本年预算执行中因教职工正常晋升、岗位职级变化等人员经费增加所致。</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（2）社会保障与就业支出</w:t>
      </w:r>
      <w:r>
        <w:rPr>
          <w:rFonts w:ascii="方正仿宋_GBK" w:hAnsi="方正仿宋_GBK" w:eastAsia="方正仿宋_GBK" w:cs="方正仿宋_GBK"/>
          <w:sz w:val="32"/>
          <w:szCs w:val="32"/>
        </w:rPr>
        <w:t>1045.67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17.67</w:t>
      </w:r>
      <w:r>
        <w:rPr>
          <w:rFonts w:ascii="方正仿宋_GBK" w:hAnsi="方正仿宋_GBK" w:eastAsia="方正仿宋_GBK" w:cs="方正仿宋_GBK"/>
          <w:sz w:val="32"/>
          <w:szCs w:val="32"/>
          <w:shd w:val="clear" w:color="auto" w:fill="FFFFFF"/>
        </w:rPr>
        <w:t>%，较年初预算数增加316.58万元，增长43.42%，主要原因是本年预算执行中将超额绩效纳入养老保险和职业年金基数增加</w:t>
      </w:r>
      <w:r>
        <w:rPr>
          <w:rFonts w:hint="eastAsia" w:ascii="方正仿宋_GBK" w:hAnsi="方正仿宋_GBK" w:eastAsia="方正仿宋_GBK" w:cs="方正仿宋_GBK"/>
          <w:sz w:val="32"/>
          <w:szCs w:val="32"/>
          <w:shd w:val="clear" w:color="auto" w:fill="FFFFFF"/>
          <w:lang w:val="en-US" w:eastAsia="zh-CN"/>
        </w:rPr>
        <w:t>所</w:t>
      </w:r>
      <w:r>
        <w:rPr>
          <w:rFonts w:ascii="方正仿宋_GBK" w:hAnsi="方正仿宋_GBK" w:eastAsia="方正仿宋_GBK" w:cs="方正仿宋_GBK"/>
          <w:sz w:val="32"/>
          <w:szCs w:val="32"/>
          <w:shd w:val="clear" w:color="auto" w:fill="FFFFFF"/>
        </w:rPr>
        <w:t>致。</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（3）卫生健康支出</w:t>
      </w:r>
      <w:r>
        <w:rPr>
          <w:rFonts w:ascii="方正仿宋_GBK" w:hAnsi="方正仿宋_GBK" w:eastAsia="方正仿宋_GBK" w:cs="方正仿宋_GBK"/>
          <w:sz w:val="32"/>
          <w:szCs w:val="32"/>
        </w:rPr>
        <w:t>226.89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3.83</w:t>
      </w:r>
      <w:r>
        <w:rPr>
          <w:rFonts w:ascii="方正仿宋_GBK" w:hAnsi="方正仿宋_GBK" w:eastAsia="方正仿宋_GBK" w:cs="方正仿宋_GBK"/>
          <w:sz w:val="32"/>
          <w:szCs w:val="32"/>
          <w:shd w:val="clear" w:color="auto" w:fill="FFFFFF"/>
        </w:rPr>
        <w:t>%，较年初预算数增加5.33万元，增长2.41%，主要原因是本年预算执行中补缴了员工的医疗保险</w:t>
      </w:r>
      <w:r>
        <w:rPr>
          <w:rFonts w:cs="宋体"/>
          <w:sz w:val="32"/>
          <w:szCs w:val="32"/>
          <w:shd w:val="clear" w:color="auto" w:fill="FFFFFF"/>
        </w:rPr>
        <w:t>费。</w:t>
      </w:r>
    </w:p>
    <w:p>
      <w:pPr>
        <w:spacing w:line="60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rPr>
        <w:t>住房保障支出265.39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4.49</w:t>
      </w:r>
      <w:r>
        <w:rPr>
          <w:rFonts w:ascii="方正仿宋_GBK" w:hAnsi="方正仿宋_GBK" w:eastAsia="方正仿宋_GBK" w:cs="方正仿宋_GBK"/>
          <w:sz w:val="32"/>
          <w:szCs w:val="32"/>
          <w:shd w:val="clear" w:color="auto" w:fill="FFFFFF"/>
        </w:rPr>
        <w:t>%，较年初预算数减少0.48万元，下降0.18%，主要原因是本年预算执行中因教职工退休减少了缴费基数。</w:t>
      </w:r>
    </w:p>
    <w:p>
      <w:pPr>
        <w:pStyle w:val="11"/>
        <w:autoSpaceDE w:val="0"/>
        <w:spacing w:line="60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（四）一般公共预算财政拨款基本支出决算情况说明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2024年度一般公共</w:t>
      </w:r>
      <w:r>
        <w:rPr>
          <w:rFonts w:hint="eastAsia" w:ascii="方正仿宋_GBK" w:hAnsi="方正仿宋_GBK" w:eastAsia="方正仿宋_GBK" w:cs="方正仿宋_GBK"/>
          <w:sz w:val="32"/>
          <w:szCs w:val="32"/>
          <w:shd w:val="clear" w:color="auto" w:fill="FFFFFF"/>
          <w:lang w:val="en-US" w:eastAsia="zh-CN"/>
        </w:rPr>
        <w:t>预算</w:t>
      </w:r>
      <w:r>
        <w:rPr>
          <w:rFonts w:ascii="方正仿宋_GBK" w:hAnsi="方正仿宋_GBK" w:eastAsia="方正仿宋_GBK" w:cs="方正仿宋_GBK"/>
          <w:sz w:val="32"/>
          <w:szCs w:val="32"/>
          <w:shd w:val="clear" w:color="auto" w:fill="FFFFFF"/>
        </w:rPr>
        <w:t>财政拨款基本支出</w:t>
      </w:r>
      <w:r>
        <w:rPr>
          <w:rFonts w:ascii="方正仿宋_GBK" w:hAnsi="方正仿宋_GBK" w:eastAsia="方正仿宋_GBK" w:cs="方正仿宋_GBK"/>
          <w:sz w:val="32"/>
          <w:szCs w:val="32"/>
        </w:rPr>
        <w:t>5446.11</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5363.03</w:t>
      </w:r>
      <w:r>
        <w:rPr>
          <w:rFonts w:ascii="方正仿宋_GBK" w:hAnsi="方正仿宋_GBK" w:eastAsia="方正仿宋_GBK" w:cs="方正仿宋_GBK"/>
          <w:sz w:val="32"/>
          <w:szCs w:val="32"/>
          <w:shd w:val="clear" w:color="auto" w:fill="FFFFFF"/>
        </w:rPr>
        <w:t>万元，与2023年度相比，减少342.96万元，下降6.01%，主要原因是2023年清算补发以前年度超额绩效和健康休养费。人员经费用途主要包括</w:t>
      </w:r>
      <w:r>
        <w:rPr>
          <w:rFonts w:ascii="方正仿宋_GBK" w:eastAsia="方正仿宋_GBK"/>
          <w:sz w:val="32"/>
          <w:szCs w:val="32"/>
        </w:rPr>
        <w:t>教师岗位工资、薪级工资、津补贴、绩效工资、社会保障和就业支出、医疗卫生支出和住房保障支出、健康休养费、退休人员生活补贴</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83.08</w:t>
      </w:r>
      <w:r>
        <w:rPr>
          <w:rFonts w:ascii="方正仿宋_GBK" w:hAnsi="方正仿宋_GBK" w:eastAsia="方正仿宋_GBK" w:cs="方正仿宋_GBK"/>
          <w:sz w:val="32"/>
          <w:szCs w:val="32"/>
          <w:shd w:val="clear" w:color="auto" w:fill="FFFFFF"/>
        </w:rPr>
        <w:t>万元，与2023年度相比，减少5.98万元，下降6.71%，主要原因是工会经费、培训费、福利费的预算基数减少所致。公用经费用途主要包括</w:t>
      </w:r>
      <w:r>
        <w:rPr>
          <w:rFonts w:ascii="方正仿宋_GBK" w:eastAsia="方正仿宋_GBK"/>
          <w:sz w:val="32"/>
          <w:szCs w:val="32"/>
        </w:rPr>
        <w:t>学校师资培训、教职工体检和工作餐等福利、工会补助等支出</w:t>
      </w:r>
      <w:r>
        <w:rPr>
          <w:rFonts w:ascii="方正仿宋_GBK" w:hAnsi="方正仿宋_GBK" w:eastAsia="方正仿宋_GBK" w:cs="方正仿宋_GBK"/>
          <w:sz w:val="32"/>
          <w:szCs w:val="32"/>
          <w:shd w:val="clear" w:color="auto" w:fill="FFFFFF"/>
        </w:rPr>
        <w:t>。</w:t>
      </w:r>
    </w:p>
    <w:p>
      <w:pPr>
        <w:pStyle w:val="11"/>
        <w:autoSpaceDE w:val="0"/>
        <w:spacing w:line="60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（五）政府性基金预算收支决算情况说明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1687.25</w:t>
      </w:r>
      <w:r>
        <w:rPr>
          <w:rFonts w:ascii="方正仿宋_GBK" w:hAnsi="方正仿宋_GBK" w:eastAsia="方正仿宋_GBK" w:cs="方正仿宋_GBK"/>
          <w:sz w:val="32"/>
          <w:szCs w:val="32"/>
          <w:shd w:val="clear" w:color="auto" w:fill="FFFFFF"/>
        </w:rPr>
        <w:t>万元，与2023年度相比，增加1683.27万元，增长42293.22%。本年支出</w:t>
      </w:r>
      <w:r>
        <w:rPr>
          <w:rFonts w:ascii="方正仿宋_GBK" w:hAnsi="方正仿宋_GBK" w:eastAsia="方正仿宋_GBK" w:cs="方正仿宋_GBK"/>
          <w:sz w:val="32"/>
          <w:szCs w:val="32"/>
        </w:rPr>
        <w:t>1687.25</w:t>
      </w:r>
      <w:r>
        <w:rPr>
          <w:rFonts w:ascii="方正仿宋_GBK" w:hAnsi="方正仿宋_GBK" w:eastAsia="方正仿宋_GBK" w:cs="方正仿宋_GBK"/>
          <w:sz w:val="32"/>
          <w:szCs w:val="32"/>
          <w:shd w:val="clear" w:color="auto" w:fill="FFFFFF"/>
        </w:rPr>
        <w:t>万元，与2023年度相比，增加1683.27万元，增长42293.22%，主要原因是财政追加政府性基金支付土地出让金。</w:t>
      </w:r>
    </w:p>
    <w:p>
      <w:pPr>
        <w:pStyle w:val="6"/>
        <w:snapToGrid w:val="0"/>
        <w:spacing w:before="0" w:beforeAutospacing="0" w:after="0" w:afterAutospacing="0" w:line="600" w:lineRule="exact"/>
        <w:ind w:firstLine="640" w:firstLineChars="200"/>
        <w:jc w:val="both"/>
        <w:rPr>
          <w:rFonts w:hint="default" w:ascii="方正楷体_GBK" w:hAnsi="方正仿宋_GBK" w:eastAsia="方正楷体_GBK" w:cs="方正仿宋_GBK"/>
          <w:sz w:val="32"/>
          <w:szCs w:val="32"/>
        </w:rPr>
      </w:pPr>
      <w:r>
        <w:rPr>
          <w:rFonts w:ascii="方正楷体_GBK" w:hAnsi="楷体" w:eastAsia="方正楷体_GBK" w:cs="楷体"/>
          <w:b/>
          <w:bCs/>
          <w:sz w:val="32"/>
          <w:szCs w:val="32"/>
          <w:shd w:val="clear" w:color="auto" w:fill="FFFFFF"/>
        </w:rPr>
        <w:t>（六）国有资本经营预算财政拨款支出决算情况说明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2024年度国有资本经营预算财政拨</w:t>
      </w:r>
      <w:r>
        <w:rPr>
          <w:rFonts w:hint="eastAsia" w:ascii="方正仿宋_GBK" w:hAnsi="方正仿宋_GBK" w:eastAsia="方正仿宋_GBK" w:cs="方正仿宋_GBK"/>
          <w:sz w:val="32"/>
          <w:szCs w:val="32"/>
          <w:shd w:val="clear" w:color="auto" w:fill="FFFFFF"/>
          <w:lang w:val="en-US" w:eastAsia="zh-CN"/>
        </w:rPr>
        <w:t>款</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万元。本单位202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年度无国有资本经营预算财政拨款支出。</w:t>
      </w:r>
    </w:p>
    <w:p>
      <w:pPr>
        <w:spacing w:line="600" w:lineRule="exact"/>
        <w:ind w:firstLine="640" w:firstLineChars="200"/>
        <w:rPr>
          <w:rFonts w:hint="default" w:ascii="Times New Roman" w:hAnsi="Times New Roman" w:eastAsia="方正黑体_GBK"/>
          <w:sz w:val="32"/>
        </w:rPr>
      </w:pPr>
      <w:r>
        <w:rPr>
          <w:rFonts w:ascii="Times New Roman" w:hAnsi="Times New Roman" w:eastAsia="方正黑体_GBK"/>
          <w:sz w:val="32"/>
        </w:rPr>
        <w:t>三、财政拨款“三公”经费情况说明</w:t>
      </w:r>
    </w:p>
    <w:p>
      <w:pPr>
        <w:pStyle w:val="6"/>
        <w:snapToGrid w:val="0"/>
        <w:spacing w:before="0" w:beforeAutospacing="0" w:after="0" w:afterAutospacing="0" w:line="600" w:lineRule="exact"/>
        <w:ind w:firstLine="640" w:firstLineChars="200"/>
        <w:jc w:val="both"/>
        <w:rPr>
          <w:rFonts w:hint="default" w:ascii="方正楷体_GBK" w:hAnsi="楷体" w:eastAsia="方正楷体_GBK" w:cs="楷体"/>
          <w:b/>
          <w:bCs/>
          <w:sz w:val="32"/>
          <w:szCs w:val="32"/>
          <w:shd w:val="clear" w:color="auto" w:fill="FFFFFF"/>
          <w:lang w:bidi="ar"/>
        </w:rPr>
      </w:pPr>
      <w:r>
        <w:rPr>
          <w:rFonts w:ascii="方正楷体_GBK" w:hAnsi="楷体" w:eastAsia="方正楷体_GBK" w:cs="楷体"/>
          <w:b/>
          <w:bCs/>
          <w:sz w:val="32"/>
          <w:szCs w:val="32"/>
          <w:shd w:val="clear" w:color="auto" w:fill="FFFFFF"/>
          <w:lang w:bidi="ar"/>
        </w:rPr>
        <w:t>（一）“三公”经费支出总体情况说明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三公”经费支出共计5.55万元，较年初预算数增加5.55万元，增长100.00%，主要原因是2024年初预算中未安排“三公”经费。较上年支出数增加5.42万元，增长4169.23%，主要原因是学校教职工上下班通勤车辆用燃油费、保险费、车辆维修费等</w:t>
      </w:r>
      <w:r>
        <w:rPr>
          <w:rFonts w:hint="eastAsia" w:ascii="方正仿宋_GBK" w:hAnsi="方正仿宋_GBK" w:eastAsia="方正仿宋_GBK" w:cs="方正仿宋_GBK"/>
          <w:sz w:val="32"/>
          <w:szCs w:val="32"/>
          <w:shd w:val="clear" w:color="auto" w:fill="FFFFFF"/>
          <w:lang w:val="en-US" w:eastAsia="zh-CN"/>
        </w:rPr>
        <w:t>,</w:t>
      </w:r>
      <w:r>
        <w:rPr>
          <w:rFonts w:ascii="方正仿宋_GBK" w:hAnsi="方正仿宋_GBK" w:eastAsia="方正仿宋_GBK" w:cs="方正仿宋_GBK"/>
          <w:sz w:val="32"/>
          <w:szCs w:val="32"/>
          <w:shd w:val="clear" w:color="auto" w:fill="FFFFFF"/>
        </w:rPr>
        <w:t>上年主要用非财政资金支付。</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（二）“三公”经费分项支出情况</w:t>
      </w:r>
    </w:p>
    <w:p>
      <w:pPr>
        <w:pStyle w:val="6"/>
        <w:snapToGrid w:val="0"/>
        <w:spacing w:before="0" w:beforeAutospacing="0" w:after="0" w:afterAutospacing="0" w:line="600" w:lineRule="exact"/>
        <w:ind w:firstLine="640" w:firstLineChars="200"/>
        <w:jc w:val="both"/>
        <w:rPr>
          <w:rFonts w:ascii="方正仿宋_GBK" w:hAnsi="方正仿宋_GBK" w:eastAsia="方正仿宋_GBK" w:cs="方正仿宋_GBK"/>
          <w:kern w:val="0"/>
          <w:sz w:val="32"/>
          <w:szCs w:val="32"/>
          <w:shd w:val="clear" w:color="auto" w:fill="FFFFFF"/>
        </w:rPr>
      </w:pPr>
      <w:r>
        <w:rPr>
          <w:rFonts w:ascii="方正仿宋_GBK" w:hAnsi="方正仿宋_GBK" w:eastAsia="方正仿宋_GBK" w:cs="方正仿宋_GBK"/>
          <w:kern w:val="0"/>
          <w:sz w:val="32"/>
          <w:szCs w:val="32"/>
          <w:shd w:val="clear" w:color="auto" w:fill="FFFFFF"/>
        </w:rPr>
        <w:t>2024年度本</w:t>
      </w:r>
      <w:r>
        <w:rPr>
          <w:rFonts w:hint="eastAsia" w:ascii="方正仿宋_GBK" w:hAnsi="方正仿宋_GBK" w:eastAsia="方正仿宋_GBK" w:cs="方正仿宋_GBK"/>
          <w:kern w:val="0"/>
          <w:sz w:val="32"/>
          <w:szCs w:val="32"/>
          <w:shd w:val="clear" w:color="auto" w:fill="FFFFFF"/>
        </w:rPr>
        <w:t>单位</w:t>
      </w:r>
      <w:r>
        <w:rPr>
          <w:rFonts w:ascii="方正仿宋_GBK" w:hAnsi="方正仿宋_GBK" w:eastAsia="方正仿宋_GBK" w:cs="方正仿宋_GBK"/>
          <w:kern w:val="0"/>
          <w:sz w:val="32"/>
          <w:szCs w:val="32"/>
          <w:shd w:val="clear" w:color="auto" w:fill="FFFFFF"/>
        </w:rPr>
        <w:t>因公出国（境）费用0.00万元。费用支出较年初预算数无增减，主要原因是年初预算未安排因公出国（境）费用，也未发生因公出国（境）费用。较上年支出数无增减，主要原因是上年和本年均未发生因公出国（境）费用。</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kern w:val="0"/>
          <w:sz w:val="32"/>
          <w:szCs w:val="32"/>
          <w:shd w:val="clear" w:color="auto" w:fill="FFFFFF"/>
        </w:rPr>
        <w:t>公务车购置费0.00万元。费用支出较年初预算数无增减，主要原因是年初预算未安排且本年未发生公务车购置费用。较上年支出数无增减，主要原因是上年和本年均未发生公务车购置费用。</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val="en-US" w:eastAsia="zh-CN"/>
        </w:rPr>
        <w:t>用</w:t>
      </w:r>
      <w:r>
        <w:rPr>
          <w:rFonts w:ascii="方正仿宋_GBK" w:hAnsi="方正仿宋_GBK" w:eastAsia="方正仿宋_GBK" w:cs="方正仿宋_GBK"/>
          <w:sz w:val="32"/>
          <w:szCs w:val="32"/>
          <w:shd w:val="clear" w:color="auto" w:fill="FFFFFF"/>
        </w:rPr>
        <w:t>车运行维护费</w:t>
      </w:r>
      <w:r>
        <w:rPr>
          <w:rFonts w:ascii="方正仿宋_GBK" w:hAnsi="方正仿宋_GBK" w:eastAsia="方正仿宋_GBK" w:cs="方正仿宋_GBK"/>
          <w:sz w:val="32"/>
          <w:szCs w:val="32"/>
        </w:rPr>
        <w:t>5.55</w:t>
      </w:r>
      <w:r>
        <w:rPr>
          <w:rFonts w:ascii="方正仿宋_GBK" w:hAnsi="方正仿宋_GBK" w:eastAsia="方正仿宋_GBK" w:cs="方正仿宋_GBK"/>
          <w:sz w:val="32"/>
          <w:szCs w:val="32"/>
          <w:shd w:val="clear" w:color="auto" w:fill="FFFFFF"/>
        </w:rPr>
        <w:t>万元，主要用于学校教职工上下班通勤车辆用燃油费、保险费、车辆维修费等。费用支出较年初预算数增加5.55万元，增长100.00%，主要原因是2024年初预算中未安排“三公”经费。较上年支出数增加5.42万元，增长4169.23%，主要原因是上年“三公”经费基本是用非财政资金支付。</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公务接待费0.00万元。费用支出较年初预算数无增减，</w:t>
      </w:r>
      <w:r>
        <w:rPr>
          <w:rFonts w:ascii="方正仿宋_GBK" w:eastAsia="方正仿宋_GBK"/>
          <w:sz w:val="32"/>
          <w:szCs w:val="32"/>
        </w:rPr>
        <w:t>主要原因是年初预算未安排且本年未发生公务接待费用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主要原因是上年和本年均未发生公务接待费用。</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（三）“三公”经费实物量情况</w:t>
      </w:r>
    </w:p>
    <w:p>
      <w:pPr>
        <w:spacing w:line="60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辆，公务车保有量为1辆；国内公务接待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人。2024年本单位人均接待费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5.55</w:t>
      </w:r>
      <w:r>
        <w:rPr>
          <w:rFonts w:ascii="方正仿宋_GBK" w:hAnsi="方正仿宋_GBK" w:eastAsia="方正仿宋_GBK" w:cs="方正仿宋_GBK"/>
          <w:sz w:val="32"/>
          <w:szCs w:val="32"/>
          <w:shd w:val="clear" w:color="auto" w:fill="FFFFFF"/>
        </w:rPr>
        <w:t>万元。</w:t>
      </w:r>
    </w:p>
    <w:p>
      <w:pPr>
        <w:spacing w:line="600" w:lineRule="exact"/>
        <w:ind w:firstLine="640" w:firstLineChars="200"/>
        <w:rPr>
          <w:rFonts w:hint="default" w:ascii="Times New Roman" w:hAnsi="Times New Roman" w:eastAsia="方正黑体_GBK"/>
          <w:sz w:val="32"/>
        </w:rPr>
      </w:pPr>
      <w:r>
        <w:rPr>
          <w:rFonts w:ascii="Times New Roman" w:hAnsi="Times New Roman" w:eastAsia="方正黑体_GBK"/>
          <w:sz w:val="32"/>
        </w:rPr>
        <w:t>四、其他需要说明的事项</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（一）财政拨款会议费和培训费情况说明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万元，较上年决算数无增减，</w:t>
      </w:r>
      <w:r>
        <w:rPr>
          <w:rFonts w:ascii="方正仿宋_GBK" w:eastAsia="方正仿宋_GBK"/>
          <w:sz w:val="32"/>
          <w:szCs w:val="32"/>
        </w:rPr>
        <w:t>主要原因是上年和本年均未发生会议费支出</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18.04</w:t>
      </w:r>
      <w:r>
        <w:rPr>
          <w:rFonts w:ascii="方正仿宋_GBK" w:hAnsi="方正仿宋_GBK" w:eastAsia="方正仿宋_GBK" w:cs="方正仿宋_GBK"/>
          <w:sz w:val="32"/>
          <w:szCs w:val="32"/>
          <w:shd w:val="clear" w:color="auto" w:fill="FFFFFF"/>
        </w:rPr>
        <w:t>万元，与2023年度相比，减少3.32万元，下降15.54%，主要原因是学校压缩公用经费支出，减少了师资队伍的培训</w:t>
      </w:r>
      <w:r>
        <w:rPr>
          <w:rFonts w:hint="default" w:ascii="方正仿宋_GBK" w:hAnsi="方正仿宋_GBK" w:eastAsia="方正仿宋_GBK" w:cs="方正仿宋_GBK"/>
          <w:sz w:val="32"/>
          <w:szCs w:val="32"/>
        </w:rPr>
        <w:t>。</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（二）机关运行经费情况说明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2024年度本单位机关运行经费支出</w:t>
      </w:r>
      <w:r>
        <w:rPr>
          <w:rFonts w:ascii="方正仿宋_GBK" w:hAnsi="方正仿宋_GBK" w:eastAsia="方正仿宋_GBK" w:cs="方正仿宋_GBK"/>
          <w:sz w:val="32"/>
          <w:szCs w:val="32"/>
        </w:rPr>
        <w:t>0.0</w:t>
      </w:r>
      <w:r>
        <w:rPr>
          <w:rFonts w:ascii="方正仿宋_GBK" w:hAnsi="方正仿宋_GBK" w:eastAsia="方正仿宋_GBK" w:cs="方正仿宋_GBK"/>
          <w:sz w:val="32"/>
          <w:szCs w:val="32"/>
          <w:shd w:val="clear" w:color="auto" w:fill="FFFFFF"/>
        </w:rPr>
        <w:t>0万元，机关运行经费较上年支出数无增减，主要原因是按照部门决算列报口</w:t>
      </w:r>
      <w:r>
        <w:rPr>
          <w:rFonts w:ascii="方正仿宋_GBK" w:eastAsia="方正仿宋_GBK"/>
          <w:bCs/>
          <w:sz w:val="32"/>
          <w:szCs w:val="32"/>
        </w:rPr>
        <w:t>径，我单位不在机关运行经费统计范围之内。</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（三）国有资产占用情况说明</w:t>
      </w:r>
    </w:p>
    <w:p>
      <w:pPr>
        <w:pStyle w:val="11"/>
        <w:autoSpaceDE w:val="0"/>
        <w:spacing w:line="600" w:lineRule="exact"/>
        <w:ind w:firstLine="64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截至202</w:t>
      </w:r>
      <w:r>
        <w:rPr>
          <w:rFonts w:hint="eastAsia"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年12月31日，本单位共有车辆</w:t>
      </w:r>
      <w:r>
        <w:rPr>
          <w:rFonts w:hint="eastAsia"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hint="eastAsia"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1"/>
        <w:autoSpaceDE w:val="0"/>
        <w:spacing w:line="60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（四）政府采购支出情况说明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年度本单位政府采购支出总额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hint="default"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 xml:space="preserve"> </w:t>
      </w:r>
      <w:r>
        <w:rPr>
          <w:rFonts w:hint="default" w:ascii="方正仿宋_GBK" w:hAnsi="方正仿宋_GBK"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年度我单位未发生政府采购事项，无相关经费支出。</w:t>
      </w:r>
    </w:p>
    <w:p>
      <w:pPr>
        <w:spacing w:line="600" w:lineRule="exact"/>
        <w:ind w:firstLine="640" w:firstLineChars="200"/>
        <w:rPr>
          <w:rFonts w:hint="default" w:ascii="Times New Roman" w:hAnsi="Times New Roman" w:eastAsia="方正黑体_GBK"/>
          <w:sz w:val="32"/>
        </w:rPr>
      </w:pPr>
      <w:r>
        <w:rPr>
          <w:rFonts w:ascii="Times New Roman" w:hAnsi="Times New Roman" w:eastAsia="方正黑体_GBK"/>
          <w:sz w:val="32"/>
        </w:rPr>
        <w:t>五、2024年度预算绩效管理情况说明</w:t>
      </w:r>
    </w:p>
    <w:p>
      <w:pPr>
        <w:pStyle w:val="11"/>
        <w:autoSpaceDE w:val="0"/>
        <w:spacing w:line="60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（一）单位自评情况</w:t>
      </w:r>
    </w:p>
    <w:p>
      <w:pPr>
        <w:pStyle w:val="11"/>
        <w:autoSpaceDE w:val="0"/>
        <w:spacing w:line="600" w:lineRule="exact"/>
        <w:ind w:firstLine="640"/>
        <w:rPr>
          <w:rFonts w:ascii="方正楷体_GBK" w:hAnsi="楷体" w:eastAsia="方正楷体_GBK" w:cs="楷体"/>
          <w:b/>
          <w:bCs/>
          <w:sz w:val="32"/>
          <w:szCs w:val="32"/>
          <w:shd w:val="clear" w:color="auto" w:fill="FFFFFF"/>
          <w:lang w:bidi="ar"/>
        </w:rPr>
      </w:pPr>
      <w:r>
        <w:rPr>
          <w:rFonts w:hint="eastAsia" w:ascii="方正仿宋_GBK" w:hAnsi="方正仿宋_GBK" w:eastAsia="方正仿宋_GBK" w:cs="方正仿宋_GBK"/>
          <w:sz w:val="32"/>
          <w:szCs w:val="32"/>
          <w:shd w:val="clear" w:color="auto" w:fill="FFFFFF"/>
        </w:rPr>
        <w:t>根据预算绩效管理要求，我单位对14个二级项目开展了绩效自评，涉及财政拨款项目支出资金471.14万元。</w:t>
      </w:r>
    </w:p>
    <w:p>
      <w:pPr>
        <w:pStyle w:val="11"/>
        <w:widowControl w:val="0"/>
        <w:autoSpaceDE w:val="0"/>
        <w:spacing w:line="600" w:lineRule="atLeast"/>
        <w:ind w:firstLine="640"/>
        <w:rPr>
          <w:rFonts w:ascii="方正楷体_GBK" w:hAnsi="楷体" w:eastAsia="方正楷体_GBK" w:cs="楷体"/>
          <w:b/>
          <w:bCs/>
          <w:sz w:val="32"/>
          <w:szCs w:val="32"/>
          <w:shd w:val="clear" w:color="auto" w:fill="FFFFFF"/>
          <w:lang w:bidi="ar"/>
        </w:rPr>
      </w:pPr>
    </w:p>
    <w:p>
      <w:pPr>
        <w:pStyle w:val="12"/>
        <w:keepNext w:val="0"/>
        <w:keepLines w:val="0"/>
        <w:pageBreakBefore w:val="0"/>
        <w:widowControl/>
        <w:kinsoku/>
        <w:wordWrap/>
        <w:overflowPunct/>
        <w:topLinePunct w:val="0"/>
        <w:autoSpaceDE w:val="0"/>
        <w:autoSpaceDN/>
        <w:bidi w:val="0"/>
        <w:adjustRightInd/>
        <w:snapToGrid/>
        <w:spacing w:before="0" w:beforeAutospacing="0" w:line="600" w:lineRule="exact"/>
        <w:ind w:firstLine="640" w:firstLineChars="200"/>
        <w:textAlignment w:val="auto"/>
        <w:rPr>
          <w:rFonts w:ascii="方正仿宋_GBK" w:eastAsia="方正仿宋_GBK"/>
          <w:bCs/>
          <w:color w:val="000000"/>
          <w:sz w:val="32"/>
          <w:szCs w:val="32"/>
        </w:rPr>
        <w:sectPr>
          <w:pgSz w:w="11915" w:h="16840"/>
          <w:pgMar w:top="1440" w:right="1800" w:bottom="1440" w:left="1800" w:header="851" w:footer="992" w:gutter="0"/>
          <w:pgNumType w:fmt="numberInDash"/>
          <w:cols w:space="720" w:num="1"/>
          <w:docGrid w:type="lines" w:linePitch="312" w:charSpace="0"/>
        </w:sectPr>
      </w:pPr>
    </w:p>
    <w:p>
      <w:pPr>
        <w:rPr>
          <w:rFonts w:hint="default"/>
        </w:rPr>
      </w:pPr>
      <w:r>
        <w:drawing>
          <wp:inline distT="0" distB="0" distL="114300" distR="114300">
            <wp:extent cx="5657215" cy="4724400"/>
            <wp:effectExtent l="0" t="0" r="635"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7"/>
                    <a:stretch>
                      <a:fillRect/>
                    </a:stretch>
                  </pic:blipFill>
                  <pic:spPr>
                    <a:xfrm>
                      <a:off x="0" y="0"/>
                      <a:ext cx="5657215" cy="4724400"/>
                    </a:xfrm>
                    <a:prstGeom prst="rect">
                      <a:avLst/>
                    </a:prstGeom>
                    <a:noFill/>
                    <a:ln>
                      <a:noFill/>
                    </a:ln>
                  </pic:spPr>
                </pic:pic>
              </a:graphicData>
            </a:graphic>
          </wp:inline>
        </w:drawing>
      </w:r>
      <w:r>
        <w:drawing>
          <wp:inline distT="0" distB="0" distL="114300" distR="114300">
            <wp:extent cx="5329555" cy="4827905"/>
            <wp:effectExtent l="0" t="0" r="4445" b="127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8"/>
                    <a:stretch>
                      <a:fillRect/>
                    </a:stretch>
                  </pic:blipFill>
                  <pic:spPr>
                    <a:xfrm>
                      <a:off x="0" y="0"/>
                      <a:ext cx="5329555" cy="4827905"/>
                    </a:xfrm>
                    <a:prstGeom prst="rect">
                      <a:avLst/>
                    </a:prstGeom>
                    <a:noFill/>
                    <a:ln>
                      <a:noFill/>
                    </a:ln>
                  </pic:spPr>
                </pic:pic>
              </a:graphicData>
            </a:graphic>
          </wp:inline>
        </w:drawing>
      </w:r>
      <w:r>
        <w:t xml:space="preserve"> </w:t>
      </w:r>
    </w:p>
    <w:p>
      <w:pPr>
        <w:rPr>
          <w:rFonts w:hint="default" w:ascii="楷体" w:hAnsi="楷体" w:eastAsia="楷体" w:cs="宋体"/>
          <w:b/>
          <w:bCs/>
          <w:color w:val="000000"/>
          <w:sz w:val="32"/>
          <w:szCs w:val="32"/>
          <w:shd w:val="clear" w:color="auto" w:fill="FFFFFF"/>
        </w:rPr>
        <w:sectPr>
          <w:pgSz w:w="11915" w:h="16840"/>
          <w:pgMar w:top="1440" w:right="1800" w:bottom="1440" w:left="1800" w:header="851" w:footer="992" w:gutter="0"/>
          <w:pgNumType w:fmt="numberInDash"/>
          <w:cols w:space="720" w:num="1"/>
          <w:docGrid w:type="lines" w:linePitch="312" w:charSpace="0"/>
        </w:sectPr>
      </w:pPr>
    </w:p>
    <w:p>
      <w:pPr>
        <w:pStyle w:val="11"/>
        <w:ind w:firstLine="643"/>
        <w:rPr>
          <w:rFonts w:ascii="方正楷体_GBK" w:hAnsi="楷体" w:eastAsia="方正楷体_GBK" w:cs="楷体"/>
          <w:b/>
          <w:bCs/>
          <w:color w:val="000000"/>
          <w:sz w:val="32"/>
          <w:szCs w:val="32"/>
          <w:shd w:val="clear" w:color="auto" w:fill="FFFFFF"/>
        </w:rPr>
      </w:pPr>
      <w:r>
        <w:rPr>
          <w:rFonts w:hint="eastAsia" w:ascii="方正楷体_GBK" w:hAnsi="楷体" w:eastAsia="方正楷体_GBK" w:cs="楷体"/>
          <w:b/>
          <w:bCs/>
          <w:color w:val="000000"/>
          <w:sz w:val="32"/>
          <w:szCs w:val="32"/>
          <w:shd w:val="clear" w:color="auto" w:fill="FFFFFF"/>
        </w:rPr>
        <w:t>（二）单位绩效评价情况</w:t>
      </w:r>
    </w:p>
    <w:p>
      <w:pPr>
        <w:pStyle w:val="11"/>
        <w:ind w:firstLine="640"/>
        <w:rPr>
          <w:rFonts w:ascii="方正仿宋_GBK" w:eastAsia="方正仿宋_GBK"/>
          <w:color w:val="000000"/>
          <w:sz w:val="32"/>
          <w:szCs w:val="32"/>
          <w:shd w:val="clear" w:color="auto" w:fill="FFFFFF"/>
        </w:rPr>
      </w:pPr>
      <w:r>
        <w:rPr>
          <w:rFonts w:hint="eastAsia" w:ascii="方正仿宋_GBK" w:eastAsia="方正仿宋_GBK"/>
          <w:color w:val="000000"/>
          <w:sz w:val="32"/>
          <w:szCs w:val="32"/>
          <w:shd w:val="clear" w:color="auto" w:fill="FFFFFF"/>
        </w:rPr>
        <w:t>我单位未组织开展绩效评价。</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（三）财政绩效评价情况</w:t>
      </w:r>
    </w:p>
    <w:p>
      <w:pPr>
        <w:pStyle w:val="6"/>
        <w:snapToGrid w:val="0"/>
        <w:spacing w:before="0" w:beforeAutospacing="0" w:after="0" w:afterAutospacing="0" w:line="600" w:lineRule="exact"/>
        <w:ind w:firstLine="640" w:firstLineChars="200"/>
        <w:jc w:val="both"/>
        <w:rPr>
          <w:rStyle w:val="10"/>
          <w:rFonts w:hint="default" w:ascii="方正黑体_GBK" w:hAnsi="黑体" w:eastAsia="方正黑体_GBK" w:cs="黑体"/>
          <w:sz w:val="32"/>
          <w:szCs w:val="32"/>
          <w:shd w:val="clear" w:color="auto" w:fill="FFFFFF"/>
        </w:rPr>
      </w:pPr>
      <w:r>
        <w:rPr>
          <w:rFonts w:ascii="方正仿宋_GBK" w:hAnsi="方正仿宋_GBK" w:eastAsia="方正仿宋_GBK" w:cs="方正仿宋_GBK"/>
          <w:sz w:val="32"/>
          <w:szCs w:val="32"/>
          <w:shd w:val="clear" w:color="auto" w:fill="FFFFFF"/>
        </w:rPr>
        <w:t>县财政局未委托第三方对我单位开展绩效评价。</w:t>
      </w:r>
    </w:p>
    <w:p>
      <w:pPr>
        <w:spacing w:line="600" w:lineRule="exact"/>
        <w:ind w:firstLine="640" w:firstLineChars="200"/>
        <w:rPr>
          <w:rFonts w:hint="default" w:ascii="Times New Roman" w:hAnsi="Times New Roman" w:eastAsia="方正黑体_GBK"/>
          <w:sz w:val="32"/>
        </w:rPr>
      </w:pPr>
      <w:r>
        <w:rPr>
          <w:rFonts w:ascii="Times New Roman" w:hAnsi="Times New Roman" w:eastAsia="方正黑体_GBK"/>
          <w:sz w:val="32"/>
        </w:rPr>
        <w:t>六、专业名词解释</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楷体" w:hAnsi="楷体" w:eastAsia="楷体" w:cs="楷体"/>
          <w:sz w:val="32"/>
          <w:szCs w:val="32"/>
          <w:shd w:val="clear" w:color="auto" w:fill="FFFFFF"/>
        </w:rPr>
        <w:t>（十六）对个人和家庭的补助（支出经济分类科目类级）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spacing w:line="600" w:lineRule="exact"/>
        <w:ind w:firstLine="640" w:firstLineChars="200"/>
        <w:rPr>
          <w:rFonts w:hint="default" w:ascii="Times New Roman" w:hAnsi="Times New Roman" w:eastAsia="方正黑体_GBK"/>
          <w:sz w:val="32"/>
        </w:rPr>
      </w:pPr>
      <w:r>
        <w:rPr>
          <w:rFonts w:ascii="Times New Roman" w:hAnsi="Times New Roman" w:eastAsia="方正黑体_GBK"/>
          <w:sz w:val="32"/>
        </w:rPr>
        <w:t>七、决算公开联系方式及信息反馈渠道</w:t>
      </w:r>
    </w:p>
    <w:p>
      <w:pPr>
        <w:pStyle w:val="12"/>
        <w:spacing w:before="0" w:beforeAutospacing="0" w:after="0" w:afterAutospacing="0"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本单位决算公开信息反馈和联系方式：</w:t>
      </w:r>
    </w:p>
    <w:p>
      <w:pPr>
        <w:pStyle w:val="11"/>
        <w:autoSpaceDE w:val="0"/>
        <w:spacing w:line="600" w:lineRule="exact"/>
        <w:ind w:firstLine="640"/>
        <w:jc w:val="both"/>
        <w:rPr>
          <w:rStyle w:val="10"/>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ascii="方正仿宋_GBK" w:hAnsi="方正仿宋_GBK" w:eastAsia="方正仿宋_GBK" w:cs="方正仿宋_GBK"/>
          <w:sz w:val="32"/>
          <w:szCs w:val="32"/>
          <w:shd w:val="clear" w:color="auto" w:fill="FFFFFF"/>
        </w:rPr>
        <w:t>张老师：</w:t>
      </w:r>
      <w:r>
        <w:rPr>
          <w:rFonts w:ascii="方正仿宋_GBK" w:eastAsia="方正仿宋_GBK"/>
          <w:sz w:val="32"/>
          <w:szCs w:val="32"/>
        </w:rPr>
        <w:t xml:space="preserve"> 023-74532727</w:t>
      </w:r>
    </w:p>
    <w:tbl>
      <w:tblPr>
        <w:tblStyle w:val="7"/>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sz w:val="32"/>
                <w:szCs w:val="32"/>
              </w:rPr>
            </w:pPr>
            <w:r>
              <w:rPr>
                <w:rFonts w:cs="宋体"/>
                <w:b/>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01</w:t>
            </w:r>
            <w:r>
              <w:rPr>
                <w:rFonts w:cs="宋体"/>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pPr>
              <w:spacing w:line="280" w:lineRule="exact"/>
              <w:rPr>
                <w:rFonts w:hint="default" w:ascii="Arial" w:hAnsi="Arial" w:cs="Arial"/>
                <w:sz w:val="22"/>
                <w:szCs w:val="22"/>
              </w:rPr>
            </w:pPr>
            <w:r>
              <w:rPr>
                <w:rFonts w:cs="宋体"/>
                <w:sz w:val="20"/>
                <w:szCs w:val="20"/>
              </w:rPr>
              <w:t>单位：</w:t>
            </w:r>
            <w:r>
              <w:rPr>
                <w:sz w:val="20"/>
              </w:rPr>
              <w:t>垫江第八中学校</w:t>
            </w: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5,917.25</w:t>
            </w: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1,687.25</w:t>
            </w: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161.09</w:t>
            </w: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4,833.37</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20.00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355.06</w:t>
            </w: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1,045.67</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226.89</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1,687.25</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265.39</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sz w:val="20"/>
                <w:szCs w:val="20"/>
              </w:rPr>
            </w:pPr>
            <w:r>
              <w:rPr>
                <w:rFonts w:cs="宋体"/>
                <w:b/>
                <w:bCs/>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8,120.65</w:t>
            </w: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sz w:val="20"/>
                <w:szCs w:val="20"/>
              </w:rPr>
            </w:pPr>
            <w:r>
              <w:rPr>
                <w:rFonts w:cs="宋体"/>
                <w:b/>
                <w:bCs/>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8,078.59</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15.50</w:t>
            </w: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57.55</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8,136.14</w:t>
            </w:r>
            <w:r>
              <w:rPr>
                <w:rFonts w:ascii="Times New Roman" w:hAnsi="Times New Roman"/>
                <w:sz w:val="20"/>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8,136.14</w:t>
            </w:r>
            <w:r>
              <w:rPr>
                <w:rFonts w:ascii="Times New Roman" w:hAnsi="Times New Roman"/>
                <w:sz w:val="20"/>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261" w:type="dxa"/>
        <w:tblInd w:w="0" w:type="dxa"/>
        <w:tblLayout w:type="fixed"/>
        <w:tblCellMar>
          <w:top w:w="0" w:type="dxa"/>
          <w:left w:w="0" w:type="dxa"/>
          <w:bottom w:w="0" w:type="dxa"/>
          <w:right w:w="0" w:type="dxa"/>
        </w:tblCellMar>
      </w:tblPr>
      <w:tblGrid>
        <w:gridCol w:w="1429"/>
        <w:gridCol w:w="2918"/>
        <w:gridCol w:w="1581"/>
        <w:gridCol w:w="1448"/>
        <w:gridCol w:w="1256"/>
        <w:gridCol w:w="1436"/>
        <w:gridCol w:w="1460"/>
        <w:gridCol w:w="1293"/>
        <w:gridCol w:w="1349"/>
        <w:gridCol w:w="1091"/>
      </w:tblGrid>
      <w:tr>
        <w:tblPrEx>
          <w:tblLayout w:type="fixed"/>
          <w:tblCellMar>
            <w:top w:w="0" w:type="dxa"/>
            <w:left w:w="0" w:type="dxa"/>
            <w:bottom w:w="0" w:type="dxa"/>
            <w:right w:w="0" w:type="dxa"/>
          </w:tblCellMar>
        </w:tblPrEx>
        <w:trPr>
          <w:trHeight w:val="641" w:hRule="atLeast"/>
        </w:trPr>
        <w:tc>
          <w:tcPr>
            <w:tcW w:w="15261"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sz w:val="32"/>
                <w:szCs w:val="32"/>
              </w:rPr>
            </w:pPr>
            <w:r>
              <w:rPr>
                <w:rFonts w:cs="宋体"/>
                <w:b/>
                <w:sz w:val="32"/>
                <w:szCs w:val="32"/>
              </w:rPr>
              <w:t>收入决算表</w:t>
            </w:r>
          </w:p>
        </w:tc>
      </w:tr>
      <w:tr>
        <w:tblPrEx>
          <w:tblLayout w:type="fixed"/>
          <w:tblCellMar>
            <w:top w:w="0" w:type="dxa"/>
            <w:left w:w="0" w:type="dxa"/>
            <w:bottom w:w="0" w:type="dxa"/>
            <w:right w:w="0" w:type="dxa"/>
          </w:tblCellMar>
        </w:tblPrEx>
        <w:trPr>
          <w:trHeight w:val="328" w:hRule="atLeast"/>
        </w:trPr>
        <w:tc>
          <w:tcPr>
            <w:tcW w:w="5928"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sz w:val="20"/>
                <w:szCs w:val="20"/>
              </w:rPr>
            </w:pPr>
            <w:r>
              <w:rPr>
                <w:rFonts w:cs="宋体"/>
                <w:sz w:val="20"/>
                <w:szCs w:val="20"/>
              </w:rPr>
              <w:t>单位：</w:t>
            </w:r>
            <w:r>
              <w:rPr>
                <w:sz w:val="20"/>
              </w:rPr>
              <w:t>垫江第八中学校</w:t>
            </w:r>
          </w:p>
        </w:tc>
        <w:tc>
          <w:tcPr>
            <w:tcW w:w="1448"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436"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460"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293"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349"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09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02</w:t>
            </w:r>
            <w:r>
              <w:rPr>
                <w:rFonts w:cs="宋体"/>
                <w:sz w:val="20"/>
                <w:szCs w:val="20"/>
              </w:rPr>
              <w:t>表</w:t>
            </w:r>
          </w:p>
        </w:tc>
      </w:tr>
      <w:tr>
        <w:tblPrEx>
          <w:tblLayout w:type="fixed"/>
          <w:tblCellMar>
            <w:top w:w="0" w:type="dxa"/>
            <w:left w:w="0" w:type="dxa"/>
            <w:bottom w:w="0" w:type="dxa"/>
            <w:right w:w="0" w:type="dxa"/>
          </w:tblCellMar>
        </w:tblPrEx>
        <w:trPr>
          <w:trHeight w:val="328" w:hRule="atLeast"/>
        </w:trPr>
        <w:tc>
          <w:tcPr>
            <w:tcW w:w="5928"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448"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436"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460"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293"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349"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09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431" w:hRule="atLeast"/>
        </w:trPr>
        <w:tc>
          <w:tcPr>
            <w:tcW w:w="4347"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sz w:val="20"/>
                <w:szCs w:val="20"/>
              </w:rPr>
            </w:pPr>
            <w:r>
              <w:rPr>
                <w:rFonts w:cs="宋体"/>
                <w:b/>
                <w:sz w:val="20"/>
                <w:szCs w:val="20"/>
              </w:rPr>
              <w:t>项目</w:t>
            </w:r>
          </w:p>
        </w:tc>
        <w:tc>
          <w:tcPr>
            <w:tcW w:w="15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本年收入合计</w:t>
            </w:r>
          </w:p>
        </w:tc>
        <w:tc>
          <w:tcPr>
            <w:tcW w:w="14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财政拨款收入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上级补助收入</w:t>
            </w:r>
          </w:p>
        </w:tc>
        <w:tc>
          <w:tcPr>
            <w:tcW w:w="289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sz w:val="20"/>
                <w:szCs w:val="20"/>
              </w:rPr>
            </w:pPr>
            <w:r>
              <w:rPr>
                <w:rFonts w:cs="宋体"/>
                <w:b/>
                <w:sz w:val="20"/>
                <w:szCs w:val="20"/>
              </w:rPr>
              <w:t>事业收入</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经营收入</w:t>
            </w:r>
          </w:p>
        </w:tc>
        <w:tc>
          <w:tcPr>
            <w:tcW w:w="13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附属单位上缴收入</w:t>
            </w:r>
          </w:p>
        </w:tc>
        <w:tc>
          <w:tcPr>
            <w:tcW w:w="109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其他收入</w:t>
            </w:r>
          </w:p>
        </w:tc>
      </w:tr>
      <w:tr>
        <w:tblPrEx>
          <w:tblLayout w:type="fixed"/>
          <w:tblCellMar>
            <w:top w:w="0" w:type="dxa"/>
            <w:left w:w="0" w:type="dxa"/>
            <w:bottom w:w="0" w:type="dxa"/>
            <w:right w:w="0" w:type="dxa"/>
          </w:tblCellMar>
        </w:tblPrEx>
        <w:trPr>
          <w:trHeight w:val="334" w:hRule="atLeast"/>
        </w:trPr>
        <w:tc>
          <w:tcPr>
            <w:tcW w:w="1429"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功能分类科目编码</w:t>
            </w:r>
          </w:p>
        </w:tc>
        <w:tc>
          <w:tcPr>
            <w:tcW w:w="2918"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项目（按“项”级功能分类科目）</w:t>
            </w: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小计</w:t>
            </w:r>
          </w:p>
        </w:tc>
        <w:tc>
          <w:tcPr>
            <w:tcW w:w="14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其中：教育收费</w:t>
            </w: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34" w:hRule="atLeast"/>
        </w:trPr>
        <w:tc>
          <w:tcPr>
            <w:tcW w:w="142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sz w:val="20"/>
                <w:szCs w:val="20"/>
              </w:rPr>
            </w:pPr>
          </w:p>
        </w:tc>
        <w:tc>
          <w:tcPr>
            <w:tcW w:w="2918"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34" w:hRule="atLeast"/>
        </w:trPr>
        <w:tc>
          <w:tcPr>
            <w:tcW w:w="142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sz w:val="20"/>
                <w:szCs w:val="20"/>
              </w:rPr>
            </w:pPr>
          </w:p>
        </w:tc>
        <w:tc>
          <w:tcPr>
            <w:tcW w:w="2918"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34" w:hRule="atLeast"/>
        </w:trPr>
        <w:tc>
          <w:tcPr>
            <w:tcW w:w="142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sz w:val="20"/>
                <w:szCs w:val="20"/>
              </w:rPr>
            </w:pPr>
          </w:p>
        </w:tc>
        <w:tc>
          <w:tcPr>
            <w:tcW w:w="2918"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38" w:hRule="atLeast"/>
        </w:trPr>
        <w:tc>
          <w:tcPr>
            <w:tcW w:w="434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15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8,120.65</w:t>
            </w:r>
            <w:r>
              <w:rPr>
                <w:rFonts w:ascii="Times New Roman" w:hAnsi="Times New Roman"/>
                <w:b/>
                <w:sz w:val="20"/>
              </w:rPr>
              <w:t xml:space="preserve"> </w:t>
            </w:r>
          </w:p>
        </w:tc>
        <w:tc>
          <w:tcPr>
            <w:tcW w:w="14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7,604.50</w:t>
            </w:r>
            <w:r>
              <w:rPr>
                <w:rFonts w:ascii="Times New Roman" w:hAnsi="Times New Roman"/>
                <w:b/>
                <w:sz w:val="20"/>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4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161.09</w:t>
            </w:r>
            <w:r>
              <w:rPr>
                <w:rFonts w:ascii="Times New Roman" w:hAnsi="Times New Roman"/>
                <w:b/>
                <w:sz w:val="20"/>
              </w:rPr>
              <w:t xml:space="preserve"> </w:t>
            </w:r>
          </w:p>
        </w:tc>
        <w:tc>
          <w:tcPr>
            <w:tcW w:w="14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161.09</w:t>
            </w:r>
            <w:r>
              <w:rPr>
                <w:rFonts w:ascii="Times New Roman" w:hAnsi="Times New Roman"/>
                <w:b/>
                <w:sz w:val="20"/>
              </w:rPr>
              <w:t xml:space="preserve"> </w:t>
            </w:r>
          </w:p>
        </w:tc>
        <w:tc>
          <w:tcPr>
            <w:tcW w:w="12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3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0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355.06</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教育支出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4,875.43</w:t>
            </w:r>
            <w:r>
              <w:rPr>
                <w:rFonts w:ascii="Times New Roman" w:hAnsi="Times New Roman"/>
                <w:b/>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4,359.28</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161.09</w:t>
            </w:r>
            <w:r>
              <w:rPr>
                <w:rFonts w:ascii="Times New Roman" w:hAnsi="Times New Roman"/>
                <w:b/>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161.09</w:t>
            </w:r>
            <w:r>
              <w:rPr>
                <w:rFonts w:ascii="Times New Roman" w:hAnsi="Times New Roman"/>
                <w:b/>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355.06</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20502</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普通教育</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4,865.11</w:t>
            </w:r>
            <w:r>
              <w:rPr>
                <w:rFonts w:ascii="Times New Roman" w:hAnsi="Times New Roman"/>
                <w:b/>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4,348.97</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161.09</w:t>
            </w:r>
            <w:r>
              <w:rPr>
                <w:rFonts w:ascii="Times New Roman" w:hAnsi="Times New Roman"/>
                <w:b/>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161.09</w:t>
            </w:r>
            <w:r>
              <w:rPr>
                <w:rFonts w:ascii="Times New Roman" w:hAnsi="Times New Roman"/>
                <w:b/>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355.06</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2050203</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初中教育</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3,722.18</w:t>
            </w:r>
            <w:r>
              <w:rPr>
                <w:rFonts w:ascii="Times New Roman" w:hAnsi="Times New Roman"/>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3,367.12</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355.06</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2050204</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高中教育</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1,142.94</w:t>
            </w:r>
            <w:r>
              <w:rPr>
                <w:rFonts w:ascii="Times New Roman" w:hAnsi="Times New Roman"/>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981.85</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161.09</w:t>
            </w:r>
            <w:r>
              <w:rPr>
                <w:rFonts w:ascii="Times New Roman" w:hAnsi="Times New Roman"/>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161.09</w:t>
            </w:r>
            <w:r>
              <w:rPr>
                <w:rFonts w:ascii="Times New Roman" w:hAnsi="Times New Roman"/>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20508</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进修及培训</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10.32</w:t>
            </w:r>
            <w:r>
              <w:rPr>
                <w:rFonts w:ascii="Times New Roman" w:hAnsi="Times New Roman"/>
                <w:b/>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10.32</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2050803</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培训支出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10.32</w:t>
            </w:r>
            <w:r>
              <w:rPr>
                <w:rFonts w:ascii="Times New Roman" w:hAnsi="Times New Roman"/>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10.32</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206</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科学技术支出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20.00</w:t>
            </w:r>
            <w:r>
              <w:rPr>
                <w:rFonts w:ascii="Times New Roman" w:hAnsi="Times New Roman"/>
                <w:b/>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20.00</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20607</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科学技术普及</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20.00</w:t>
            </w:r>
            <w:r>
              <w:rPr>
                <w:rFonts w:ascii="Times New Roman" w:hAnsi="Times New Roman"/>
                <w:b/>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20.00</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2060702</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科普活动</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20.00</w:t>
            </w:r>
            <w:r>
              <w:rPr>
                <w:rFonts w:ascii="Times New Roman" w:hAnsi="Times New Roman"/>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20.00</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社会保障和就业支出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1,045.67</w:t>
            </w:r>
            <w:r>
              <w:rPr>
                <w:rFonts w:ascii="Times New Roman" w:hAnsi="Times New Roman"/>
                <w:b/>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1,045.67</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20805</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行政事业单位养老支出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1,036.24</w:t>
            </w:r>
            <w:r>
              <w:rPr>
                <w:rFonts w:ascii="Times New Roman" w:hAnsi="Times New Roman"/>
                <w:b/>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1,036.24</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2080505</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机关事业单位基本养老保险缴费支出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542.14</w:t>
            </w:r>
            <w:r>
              <w:rPr>
                <w:rFonts w:ascii="Times New Roman" w:hAnsi="Times New Roman"/>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542.14</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2080506</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机关事业单位职业年金缴费支出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271.33</w:t>
            </w:r>
            <w:r>
              <w:rPr>
                <w:rFonts w:ascii="Times New Roman" w:hAnsi="Times New Roman"/>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271.33</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2080599</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其他行政事业单位养老支出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222.76</w:t>
            </w:r>
            <w:r>
              <w:rPr>
                <w:rFonts w:ascii="Times New Roman" w:hAnsi="Times New Roman"/>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222.76</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20808</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抚恤</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9.44</w:t>
            </w:r>
            <w:r>
              <w:rPr>
                <w:rFonts w:ascii="Times New Roman" w:hAnsi="Times New Roman"/>
                <w:b/>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9.44</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2080801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死亡抚恤</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9.44</w:t>
            </w:r>
            <w:r>
              <w:rPr>
                <w:rFonts w:ascii="Times New Roman" w:hAnsi="Times New Roman"/>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9.44</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210</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卫生健康支出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226.89</w:t>
            </w:r>
            <w:r>
              <w:rPr>
                <w:rFonts w:ascii="Times New Roman" w:hAnsi="Times New Roman"/>
                <w:b/>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226.89</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21011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行政事业单位医疗</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226.89</w:t>
            </w:r>
            <w:r>
              <w:rPr>
                <w:rFonts w:ascii="Times New Roman" w:hAnsi="Times New Roman"/>
                <w:b/>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226.89</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2101102</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事业单位医疗</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226.89</w:t>
            </w:r>
            <w:r>
              <w:rPr>
                <w:rFonts w:ascii="Times New Roman" w:hAnsi="Times New Roman"/>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226.89</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212</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城乡社区支出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1,687.25</w:t>
            </w:r>
            <w:r>
              <w:rPr>
                <w:rFonts w:ascii="Times New Roman" w:hAnsi="Times New Roman"/>
                <w:b/>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1,687.25</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21208</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国有土地使用权出让收入安排的支出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1,687.25</w:t>
            </w:r>
            <w:r>
              <w:rPr>
                <w:rFonts w:ascii="Times New Roman" w:hAnsi="Times New Roman"/>
                <w:b/>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1,687.25</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2120899</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其他国有土地使用权出让收入安排的支出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1,687.25</w:t>
            </w:r>
            <w:r>
              <w:rPr>
                <w:rFonts w:ascii="Times New Roman" w:hAnsi="Times New Roman"/>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1,687.25</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住房保障支出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265.39</w:t>
            </w:r>
            <w:r>
              <w:rPr>
                <w:rFonts w:ascii="Times New Roman" w:hAnsi="Times New Roman"/>
                <w:b/>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265.39</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22102</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住房改革支出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265.39</w:t>
            </w:r>
            <w:r>
              <w:rPr>
                <w:rFonts w:ascii="Times New Roman" w:hAnsi="Times New Roman"/>
                <w:b/>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265.39</w:t>
            </w:r>
            <w:r>
              <w:rPr>
                <w:rFonts w:ascii="Times New Roman" w:hAnsi="Times New Roman"/>
                <w:b/>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2210201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住房公积金</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265.39</w:t>
            </w:r>
            <w:r>
              <w:rPr>
                <w:rFonts w:ascii="Times New Roman" w:hAnsi="Times New Roman"/>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265.39</w:t>
            </w:r>
            <w:r>
              <w:rPr>
                <w:rFonts w:ascii="Times New Roman" w:hAnsi="Times New Roman"/>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7"/>
        <w:tblW w:w="15322" w:type="dxa"/>
        <w:tblInd w:w="0" w:type="dxa"/>
        <w:tblLayout w:type="fixed"/>
        <w:tblCellMar>
          <w:top w:w="0" w:type="dxa"/>
          <w:left w:w="0" w:type="dxa"/>
          <w:bottom w:w="0" w:type="dxa"/>
          <w:right w:w="0" w:type="dxa"/>
        </w:tblCellMar>
      </w:tblPr>
      <w:tblGrid>
        <w:gridCol w:w="1289"/>
        <w:gridCol w:w="3604"/>
        <w:gridCol w:w="1839"/>
        <w:gridCol w:w="1762"/>
        <w:gridCol w:w="1621"/>
        <w:gridCol w:w="1557"/>
        <w:gridCol w:w="1692"/>
        <w:gridCol w:w="1958"/>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sz w:val="32"/>
                <w:szCs w:val="32"/>
              </w:rPr>
            </w:pPr>
            <w:r>
              <w:rPr>
                <w:rFonts w:cs="宋体"/>
                <w:b/>
                <w:sz w:val="32"/>
                <w:szCs w:val="32"/>
              </w:rPr>
              <w:t>支出决算表</w:t>
            </w:r>
          </w:p>
        </w:tc>
      </w:tr>
      <w:tr>
        <w:tblPrEx>
          <w:tblLayout w:type="fixed"/>
          <w:tblCellMar>
            <w:top w:w="0" w:type="dxa"/>
            <w:left w:w="0" w:type="dxa"/>
            <w:bottom w:w="0" w:type="dxa"/>
            <w:right w:w="0" w:type="dxa"/>
          </w:tblCellMar>
        </w:tblPrEx>
        <w:trPr>
          <w:trHeight w:val="342" w:hRule="atLeast"/>
        </w:trPr>
        <w:tc>
          <w:tcPr>
            <w:tcW w:w="673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sz w:val="20"/>
                <w:szCs w:val="20"/>
              </w:rPr>
            </w:pPr>
            <w:r>
              <w:rPr>
                <w:rFonts w:cs="宋体"/>
                <w:sz w:val="20"/>
                <w:szCs w:val="20"/>
              </w:rPr>
              <w:t>单位：</w:t>
            </w:r>
            <w:r>
              <w:rPr>
                <w:sz w:val="20"/>
              </w:rPr>
              <w:t xml:space="preserve">垫江第八中学校 </w:t>
            </w:r>
          </w:p>
        </w:tc>
        <w:tc>
          <w:tcPr>
            <w:tcW w:w="1762"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62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958"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03</w:t>
            </w:r>
            <w:r>
              <w:rPr>
                <w:rFonts w:cs="宋体"/>
                <w:sz w:val="20"/>
                <w:szCs w:val="20"/>
              </w:rPr>
              <w:t>表</w:t>
            </w:r>
          </w:p>
        </w:tc>
      </w:tr>
      <w:tr>
        <w:tblPrEx>
          <w:tblLayout w:type="fixed"/>
          <w:tblCellMar>
            <w:top w:w="0" w:type="dxa"/>
            <w:left w:w="0" w:type="dxa"/>
            <w:bottom w:w="0" w:type="dxa"/>
            <w:right w:w="0" w:type="dxa"/>
          </w:tblCellMar>
        </w:tblPrEx>
        <w:trPr>
          <w:trHeight w:val="342" w:hRule="atLeast"/>
        </w:trPr>
        <w:tc>
          <w:tcPr>
            <w:tcW w:w="673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62"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62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958"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362" w:hRule="atLeast"/>
        </w:trPr>
        <w:tc>
          <w:tcPr>
            <w:tcW w:w="489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sz w:val="20"/>
                <w:szCs w:val="20"/>
              </w:rPr>
            </w:pPr>
            <w:r>
              <w:rPr>
                <w:rFonts w:cs="宋体"/>
                <w:b/>
                <w:sz w:val="20"/>
                <w:szCs w:val="20"/>
              </w:rPr>
              <w:t>项目</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本年支出合计</w:t>
            </w:r>
          </w:p>
        </w:tc>
        <w:tc>
          <w:tcPr>
            <w:tcW w:w="176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基本支出</w:t>
            </w:r>
          </w:p>
        </w:tc>
        <w:tc>
          <w:tcPr>
            <w:tcW w:w="16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上缴上级支出</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经营支出</w:t>
            </w:r>
          </w:p>
        </w:tc>
        <w:tc>
          <w:tcPr>
            <w:tcW w:w="19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289"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功能分类科目编码</w:t>
            </w:r>
          </w:p>
        </w:tc>
        <w:tc>
          <w:tcPr>
            <w:tcW w:w="3604"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项目（按“项”级功能分类科目）</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38" w:hRule="atLeast"/>
        </w:trPr>
        <w:tc>
          <w:tcPr>
            <w:tcW w:w="128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sz w:val="20"/>
                <w:szCs w:val="20"/>
              </w:rPr>
            </w:pPr>
          </w:p>
        </w:tc>
        <w:tc>
          <w:tcPr>
            <w:tcW w:w="3604"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38" w:hRule="atLeast"/>
        </w:trPr>
        <w:tc>
          <w:tcPr>
            <w:tcW w:w="128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sz w:val="20"/>
                <w:szCs w:val="20"/>
              </w:rPr>
            </w:pPr>
          </w:p>
        </w:tc>
        <w:tc>
          <w:tcPr>
            <w:tcW w:w="3604"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38" w:hRule="atLeast"/>
        </w:trPr>
        <w:tc>
          <w:tcPr>
            <w:tcW w:w="128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sz w:val="20"/>
                <w:szCs w:val="20"/>
              </w:rPr>
            </w:pPr>
          </w:p>
        </w:tc>
        <w:tc>
          <w:tcPr>
            <w:tcW w:w="3604"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62" w:hRule="atLeast"/>
        </w:trPr>
        <w:tc>
          <w:tcPr>
            <w:tcW w:w="489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8,078.59</w:t>
            </w:r>
            <w:r>
              <w:rPr>
                <w:rFonts w:ascii="Times New Roman" w:hAnsi="Times New Roman"/>
                <w:b/>
                <w:sz w:val="20"/>
              </w:rPr>
              <w:t xml:space="preserve"> </w:t>
            </w:r>
          </w:p>
        </w:tc>
        <w:tc>
          <w:tcPr>
            <w:tcW w:w="17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5,920.13</w:t>
            </w:r>
            <w:r>
              <w:rPr>
                <w:rFonts w:ascii="Times New Roman" w:hAnsi="Times New Roman"/>
                <w:b/>
                <w:sz w:val="20"/>
              </w:rPr>
              <w:t xml:space="preserve"> </w:t>
            </w:r>
          </w:p>
        </w:tc>
        <w:tc>
          <w:tcPr>
            <w:tcW w:w="16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2,158.46</w:t>
            </w:r>
            <w:r>
              <w:rPr>
                <w:rFonts w:ascii="Times New Roman" w:hAnsi="Times New Roman"/>
                <w:b/>
                <w:sz w:val="20"/>
              </w:rPr>
              <w:t xml:space="preserve"> </w:t>
            </w:r>
          </w:p>
        </w:tc>
        <w:tc>
          <w:tcPr>
            <w:tcW w:w="15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教育支出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4,833.37</w:t>
            </w:r>
            <w:r>
              <w:rPr>
                <w:rFonts w:ascii="Times New Roman" w:hAnsi="Times New Roman"/>
                <w:b/>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4,382.88</w:t>
            </w:r>
            <w:r>
              <w:rPr>
                <w:rFonts w:ascii="Times New Roman" w:hAnsi="Times New Roman"/>
                <w:b/>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450.49</w:t>
            </w:r>
            <w:r>
              <w:rPr>
                <w:rFonts w:ascii="Times New Roman" w:hAnsi="Times New Roman"/>
                <w:b/>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20502</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普通教育</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4,823.06</w:t>
            </w:r>
            <w:r>
              <w:rPr>
                <w:rFonts w:ascii="Times New Roman" w:hAnsi="Times New Roman"/>
                <w:b/>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4,372.57</w:t>
            </w:r>
            <w:r>
              <w:rPr>
                <w:rFonts w:ascii="Times New Roman" w:hAnsi="Times New Roman"/>
                <w:b/>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450.49</w:t>
            </w:r>
            <w:r>
              <w:rPr>
                <w:rFonts w:ascii="Times New Roman" w:hAnsi="Times New Roman"/>
                <w:b/>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2050203</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初中教育</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3,664.62</w:t>
            </w:r>
            <w:r>
              <w:rPr>
                <w:rFonts w:ascii="Times New Roman" w:hAnsi="Times New Roman"/>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3,281.45</w:t>
            </w:r>
            <w:r>
              <w:rPr>
                <w:rFonts w:ascii="Times New Roman" w:hAnsi="Times New Roman"/>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383.18</w:t>
            </w:r>
            <w:r>
              <w:rPr>
                <w:rFonts w:ascii="Times New Roman" w:hAnsi="Times New Roman"/>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2050204</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高中教育</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1,158.43</w:t>
            </w:r>
            <w:r>
              <w:rPr>
                <w:rFonts w:ascii="Times New Roman" w:hAnsi="Times New Roman"/>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1,091.12</w:t>
            </w:r>
            <w:r>
              <w:rPr>
                <w:rFonts w:ascii="Times New Roman" w:hAnsi="Times New Roman"/>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67.32</w:t>
            </w:r>
            <w:r>
              <w:rPr>
                <w:rFonts w:ascii="Times New Roman" w:hAnsi="Times New Roman"/>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20508</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进修及培训</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10.32</w:t>
            </w:r>
            <w:r>
              <w:rPr>
                <w:rFonts w:ascii="Times New Roman" w:hAnsi="Times New Roman"/>
                <w:b/>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10.32</w:t>
            </w:r>
            <w:r>
              <w:rPr>
                <w:rFonts w:ascii="Times New Roman" w:hAnsi="Times New Roman"/>
                <w:b/>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2050803</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培训支出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10.32</w:t>
            </w:r>
            <w:r>
              <w:rPr>
                <w:rFonts w:ascii="Times New Roman" w:hAnsi="Times New Roman"/>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10.32</w:t>
            </w:r>
            <w:r>
              <w:rPr>
                <w:rFonts w:ascii="Times New Roman" w:hAnsi="Times New Roman"/>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206</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科学技术支出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20.00</w:t>
            </w:r>
            <w:r>
              <w:rPr>
                <w:rFonts w:ascii="Times New Roman" w:hAnsi="Times New Roman"/>
                <w:b/>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20.00</w:t>
            </w:r>
            <w:r>
              <w:rPr>
                <w:rFonts w:ascii="Times New Roman" w:hAnsi="Times New Roman"/>
                <w:b/>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20607</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科学技术普及</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20.00</w:t>
            </w:r>
            <w:r>
              <w:rPr>
                <w:rFonts w:ascii="Times New Roman" w:hAnsi="Times New Roman"/>
                <w:b/>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20.00</w:t>
            </w:r>
            <w:r>
              <w:rPr>
                <w:rFonts w:ascii="Times New Roman" w:hAnsi="Times New Roman"/>
                <w:b/>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2060702</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科普活动</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20.00</w:t>
            </w:r>
            <w:r>
              <w:rPr>
                <w:rFonts w:ascii="Times New Roman" w:hAnsi="Times New Roman"/>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20.00</w:t>
            </w:r>
            <w:r>
              <w:rPr>
                <w:rFonts w:ascii="Times New Roman" w:hAnsi="Times New Roman"/>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社会保障和就业支出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1,045.67</w:t>
            </w:r>
            <w:r>
              <w:rPr>
                <w:rFonts w:ascii="Times New Roman" w:hAnsi="Times New Roman"/>
                <w:b/>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1,044.96</w:t>
            </w:r>
            <w:r>
              <w:rPr>
                <w:rFonts w:ascii="Times New Roman" w:hAnsi="Times New Roman"/>
                <w:b/>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0.71</w:t>
            </w:r>
            <w:r>
              <w:rPr>
                <w:rFonts w:ascii="Times New Roman" w:hAnsi="Times New Roman"/>
                <w:b/>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20805</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行政事业单位养老支出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1,036.24</w:t>
            </w:r>
            <w:r>
              <w:rPr>
                <w:rFonts w:ascii="Times New Roman" w:hAnsi="Times New Roman"/>
                <w:b/>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1,035.53</w:t>
            </w:r>
            <w:r>
              <w:rPr>
                <w:rFonts w:ascii="Times New Roman" w:hAnsi="Times New Roman"/>
                <w:b/>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0.71</w:t>
            </w:r>
            <w:r>
              <w:rPr>
                <w:rFonts w:ascii="Times New Roman" w:hAnsi="Times New Roman"/>
                <w:b/>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2080505</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机关事业单位基本养老保险缴费支出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542.14</w:t>
            </w:r>
            <w:r>
              <w:rPr>
                <w:rFonts w:ascii="Times New Roman" w:hAnsi="Times New Roman"/>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542.14</w:t>
            </w:r>
            <w:r>
              <w:rPr>
                <w:rFonts w:ascii="Times New Roman" w:hAnsi="Times New Roman"/>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2080506</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机关事业单位职业年金缴费支出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271.33</w:t>
            </w:r>
            <w:r>
              <w:rPr>
                <w:rFonts w:ascii="Times New Roman" w:hAnsi="Times New Roman"/>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271.33</w:t>
            </w:r>
            <w:r>
              <w:rPr>
                <w:rFonts w:ascii="Times New Roman" w:hAnsi="Times New Roman"/>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2080599</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其他行政事业单位养老支出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222.76</w:t>
            </w:r>
            <w:r>
              <w:rPr>
                <w:rFonts w:ascii="Times New Roman" w:hAnsi="Times New Roman"/>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222.05</w:t>
            </w:r>
            <w:r>
              <w:rPr>
                <w:rFonts w:ascii="Times New Roman" w:hAnsi="Times New Roman"/>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0.71</w:t>
            </w:r>
            <w:r>
              <w:rPr>
                <w:rFonts w:ascii="Times New Roman" w:hAnsi="Times New Roman"/>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20808</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抚恤</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9.44</w:t>
            </w:r>
            <w:r>
              <w:rPr>
                <w:rFonts w:ascii="Times New Roman" w:hAnsi="Times New Roman"/>
                <w:b/>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9.44</w:t>
            </w:r>
            <w:r>
              <w:rPr>
                <w:rFonts w:ascii="Times New Roman" w:hAnsi="Times New Roman"/>
                <w:b/>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2080801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死亡抚恤</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9.44</w:t>
            </w:r>
            <w:r>
              <w:rPr>
                <w:rFonts w:ascii="Times New Roman" w:hAnsi="Times New Roman"/>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9.44</w:t>
            </w:r>
            <w:r>
              <w:rPr>
                <w:rFonts w:ascii="Times New Roman" w:hAnsi="Times New Roman"/>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210</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卫生健康支出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226.89</w:t>
            </w:r>
            <w:r>
              <w:rPr>
                <w:rFonts w:ascii="Times New Roman" w:hAnsi="Times New Roman"/>
                <w:b/>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226.89</w:t>
            </w:r>
            <w:r>
              <w:rPr>
                <w:rFonts w:ascii="Times New Roman" w:hAnsi="Times New Roman"/>
                <w:b/>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21011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行政事业单位医疗</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226.89</w:t>
            </w:r>
            <w:r>
              <w:rPr>
                <w:rFonts w:ascii="Times New Roman" w:hAnsi="Times New Roman"/>
                <w:b/>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226.89</w:t>
            </w:r>
            <w:r>
              <w:rPr>
                <w:rFonts w:ascii="Times New Roman" w:hAnsi="Times New Roman"/>
                <w:b/>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2101102</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事业单位医疗</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226.89</w:t>
            </w:r>
            <w:r>
              <w:rPr>
                <w:rFonts w:ascii="Times New Roman" w:hAnsi="Times New Roman"/>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226.89</w:t>
            </w:r>
            <w:r>
              <w:rPr>
                <w:rFonts w:ascii="Times New Roman" w:hAnsi="Times New Roman"/>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212</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城乡社区支出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1,687.25</w:t>
            </w:r>
            <w:r>
              <w:rPr>
                <w:rFonts w:ascii="Times New Roman" w:hAnsi="Times New Roman"/>
                <w:b/>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1,687.25</w:t>
            </w:r>
            <w:r>
              <w:rPr>
                <w:rFonts w:ascii="Times New Roman" w:hAnsi="Times New Roman"/>
                <w:b/>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21208</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国有土地使用权出让收入安排的支出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1,687.25</w:t>
            </w:r>
            <w:r>
              <w:rPr>
                <w:rFonts w:ascii="Times New Roman" w:hAnsi="Times New Roman"/>
                <w:b/>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1,687.25</w:t>
            </w:r>
            <w:r>
              <w:rPr>
                <w:rFonts w:ascii="Times New Roman" w:hAnsi="Times New Roman"/>
                <w:b/>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2120899</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其他国有土地使用权出让收入安排的支出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1,687.25</w:t>
            </w:r>
            <w:r>
              <w:rPr>
                <w:rFonts w:ascii="Times New Roman" w:hAnsi="Times New Roman"/>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1,687.25</w:t>
            </w:r>
            <w:r>
              <w:rPr>
                <w:rFonts w:ascii="Times New Roman" w:hAnsi="Times New Roman"/>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住房保障支出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265.39</w:t>
            </w:r>
            <w:r>
              <w:rPr>
                <w:rFonts w:ascii="Times New Roman" w:hAnsi="Times New Roman"/>
                <w:b/>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265.39</w:t>
            </w:r>
            <w:r>
              <w:rPr>
                <w:rFonts w:ascii="Times New Roman" w:hAnsi="Times New Roman"/>
                <w:b/>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22102</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住房改革支出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265.39</w:t>
            </w:r>
            <w:r>
              <w:rPr>
                <w:rFonts w:ascii="Times New Roman" w:hAnsi="Times New Roman"/>
                <w:b/>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265.39</w:t>
            </w:r>
            <w:r>
              <w:rPr>
                <w:rFonts w:ascii="Times New Roman" w:hAnsi="Times New Roman"/>
                <w:b/>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2210201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住房公积金</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265.39</w:t>
            </w:r>
            <w:r>
              <w:rPr>
                <w:rFonts w:ascii="Times New Roman" w:hAnsi="Times New Roman"/>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265.39</w:t>
            </w:r>
            <w:r>
              <w:rPr>
                <w:rFonts w:ascii="Times New Roman" w:hAnsi="Times New Roman"/>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7"/>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sz w:val="32"/>
                <w:szCs w:val="32"/>
              </w:rPr>
            </w:pPr>
            <w:r>
              <w:rPr>
                <w:rFonts w:cs="宋体"/>
                <w:b/>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sz w:val="18"/>
                <w:szCs w:val="18"/>
              </w:rPr>
            </w:pPr>
            <w:r>
              <w:rPr>
                <w:rFonts w:cs="宋体"/>
                <w:sz w:val="20"/>
                <w:szCs w:val="20"/>
              </w:rPr>
              <w:t>单位：</w:t>
            </w:r>
            <w:r>
              <w:rPr>
                <w:sz w:val="20"/>
              </w:rPr>
              <w:t>垫江第八中学校</w:t>
            </w: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04</w:t>
            </w:r>
            <w:r>
              <w:rPr>
                <w:rFonts w:cs="宋体"/>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5,917.25</w:t>
            </w:r>
            <w:r>
              <w:rPr>
                <w:rFonts w:ascii="Times New Roman" w:hAnsi="Times New Roman"/>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1,687.25</w:t>
            </w:r>
            <w:r>
              <w:rPr>
                <w:rFonts w:ascii="Times New Roman" w:hAnsi="Times New Roman"/>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4,359.28</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4,359.28</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20.00</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20.00</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1,045.67</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1,045.67</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226.89</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226.89</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1,687.25</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1,687.25</w:t>
            </w: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265.39</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265.39</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sz w:val="18"/>
                <w:szCs w:val="18"/>
              </w:rPr>
            </w:pPr>
            <w:r>
              <w:rPr>
                <w:rFonts w:cs="宋体"/>
                <w:b/>
                <w:bCs/>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7,604.50</w:t>
            </w:r>
            <w:r>
              <w:rPr>
                <w:rFonts w:ascii="Times New Roman" w:hAnsi="Times New Roman"/>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sz w:val="18"/>
                <w:szCs w:val="18"/>
              </w:rPr>
            </w:pPr>
            <w:r>
              <w:rPr>
                <w:rFonts w:cs="宋体"/>
                <w:b/>
                <w:bCs/>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7,604.50</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5,917.25</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1,687.25</w:t>
            </w: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7,604.50</w:t>
            </w:r>
            <w:r>
              <w:rPr>
                <w:rFonts w:ascii="Times New Roman" w:hAnsi="Times New Roman"/>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7,604.50</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5,917.25</w:t>
            </w:r>
            <w:r>
              <w:rPr>
                <w:rFonts w:ascii="Times New Roman" w:hAnsi="Times New Roman"/>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1,687.25</w:t>
            </w:r>
            <w:r>
              <w:rPr>
                <w:rFonts w:ascii="Times New Roman" w:hAnsi="Times New Roman"/>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306"/>
        <w:gridCol w:w="4073"/>
        <w:gridCol w:w="3306"/>
        <w:gridCol w:w="3297"/>
        <w:gridCol w:w="3340"/>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sz w:val="32"/>
                <w:szCs w:val="32"/>
              </w:rPr>
            </w:pPr>
            <w:r>
              <w:rPr>
                <w:rFonts w:cs="宋体"/>
                <w:b/>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5"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sz w:val="20"/>
                <w:szCs w:val="20"/>
              </w:rPr>
            </w:pPr>
            <w:r>
              <w:rPr>
                <w:rFonts w:cs="宋体"/>
                <w:sz w:val="20"/>
                <w:szCs w:val="20"/>
              </w:rPr>
              <w:t>单位：</w:t>
            </w:r>
            <w:r>
              <w:rPr>
                <w:sz w:val="20"/>
              </w:rPr>
              <w:t>垫江第八中学校</w:t>
            </w:r>
          </w:p>
        </w:tc>
        <w:tc>
          <w:tcPr>
            <w:tcW w:w="3297"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3340"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05</w:t>
            </w:r>
            <w:r>
              <w:rPr>
                <w:rFonts w:cs="宋体"/>
                <w:sz w:val="20"/>
                <w:szCs w:val="20"/>
              </w:rPr>
              <w:t>表</w:t>
            </w:r>
          </w:p>
        </w:tc>
      </w:tr>
      <w:tr>
        <w:tblPrEx>
          <w:tblLayout w:type="fixed"/>
          <w:tblCellMar>
            <w:top w:w="0" w:type="dxa"/>
            <w:left w:w="0" w:type="dxa"/>
            <w:bottom w:w="0" w:type="dxa"/>
            <w:right w:w="0" w:type="dxa"/>
          </w:tblCellMar>
        </w:tblPrEx>
        <w:trPr>
          <w:trHeight w:val="285" w:hRule="atLeast"/>
        </w:trPr>
        <w:tc>
          <w:tcPr>
            <w:tcW w:w="8685"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3297"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3340"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312" w:hRule="exact"/>
        </w:trPr>
        <w:tc>
          <w:tcPr>
            <w:tcW w:w="53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w:t>
            </w:r>
          </w:p>
        </w:tc>
        <w:tc>
          <w:tcPr>
            <w:tcW w:w="9943"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本年支出</w:t>
            </w:r>
          </w:p>
        </w:tc>
      </w:tr>
      <w:tr>
        <w:tblPrEx>
          <w:tblLayout w:type="fixed"/>
          <w:tblCellMar>
            <w:top w:w="0" w:type="dxa"/>
            <w:left w:w="0" w:type="dxa"/>
            <w:bottom w:w="0" w:type="dxa"/>
            <w:right w:w="0" w:type="dxa"/>
          </w:tblCellMar>
        </w:tblPrEx>
        <w:trPr>
          <w:trHeight w:val="312" w:hRule="exact"/>
        </w:trPr>
        <w:tc>
          <w:tcPr>
            <w:tcW w:w="130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基本支出</w:t>
            </w:r>
          </w:p>
        </w:tc>
        <w:tc>
          <w:tcPr>
            <w:tcW w:w="33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项目支出</w:t>
            </w:r>
          </w:p>
        </w:tc>
      </w:tr>
      <w:tr>
        <w:tblPrEx>
          <w:tblLayout w:type="fixed"/>
          <w:tblCellMar>
            <w:top w:w="0" w:type="dxa"/>
            <w:left w:w="0" w:type="dxa"/>
            <w:bottom w:w="0" w:type="dxa"/>
            <w:right w:w="0" w:type="dxa"/>
          </w:tblCellMar>
        </w:tblPrEx>
        <w:trPr>
          <w:trHeight w:val="312" w:hRule="exact"/>
        </w:trPr>
        <w:tc>
          <w:tcPr>
            <w:tcW w:w="130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3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12" w:hRule="exact"/>
        </w:trPr>
        <w:tc>
          <w:tcPr>
            <w:tcW w:w="130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3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12" w:hRule="exact"/>
        </w:trPr>
        <w:tc>
          <w:tcPr>
            <w:tcW w:w="5379"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5,917.25</w:t>
            </w:r>
            <w:r>
              <w:rPr>
                <w:rFonts w:ascii="Times New Roman" w:hAnsi="Times New Roman"/>
                <w:b/>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5,446.11</w:t>
            </w:r>
            <w:r>
              <w:rPr>
                <w:rFonts w:ascii="Times New Roman" w:hAnsi="Times New Roman"/>
                <w:b/>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471.14</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12" w:hRule="exac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教育支出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4,359.28</w:t>
            </w:r>
            <w:r>
              <w:rPr>
                <w:rFonts w:ascii="Times New Roman" w:hAnsi="Times New Roman"/>
                <w:b/>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3,908.86</w:t>
            </w:r>
            <w:r>
              <w:rPr>
                <w:rFonts w:ascii="Times New Roman" w:hAnsi="Times New Roman"/>
                <w:b/>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450.43</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12" w:hRule="exac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普通教育</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4,348.97</w:t>
            </w:r>
            <w:r>
              <w:rPr>
                <w:rFonts w:ascii="Times New Roman" w:hAnsi="Times New Roman"/>
                <w:b/>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3,898.54</w:t>
            </w:r>
            <w:r>
              <w:rPr>
                <w:rFonts w:ascii="Times New Roman" w:hAnsi="Times New Roman"/>
                <w:b/>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450.43</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12" w:hRule="exac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2050203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初中教育</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3,367.12</w:t>
            </w:r>
            <w:r>
              <w:rPr>
                <w:rFonts w:ascii="Times New Roman" w:hAnsi="Times New Roman"/>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2,983.94</w:t>
            </w:r>
            <w:r>
              <w:rPr>
                <w:rFonts w:ascii="Times New Roman" w:hAnsi="Times New Roman"/>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383.18</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12" w:hRule="exac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2050204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高中教育</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981.85</w:t>
            </w:r>
            <w:r>
              <w:rPr>
                <w:rFonts w:ascii="Times New Roman" w:hAnsi="Times New Roman"/>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914.60</w:t>
            </w:r>
            <w:r>
              <w:rPr>
                <w:rFonts w:ascii="Times New Roman" w:hAnsi="Times New Roman"/>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67.25</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12" w:hRule="exac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进修及培训</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10.32</w:t>
            </w:r>
            <w:r>
              <w:rPr>
                <w:rFonts w:ascii="Times New Roman" w:hAnsi="Times New Roman"/>
                <w:b/>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10.32</w:t>
            </w:r>
            <w:r>
              <w:rPr>
                <w:rFonts w:ascii="Times New Roman" w:hAnsi="Times New Roman"/>
                <w:b/>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12" w:hRule="exac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2050803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培训支出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10.32</w:t>
            </w:r>
            <w:r>
              <w:rPr>
                <w:rFonts w:ascii="Times New Roman" w:hAnsi="Times New Roman"/>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10.32</w:t>
            </w:r>
            <w:r>
              <w:rPr>
                <w:rFonts w:ascii="Times New Roman" w:hAnsi="Times New Roman"/>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12" w:hRule="exac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科学技术支出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20.00</w:t>
            </w:r>
            <w:r>
              <w:rPr>
                <w:rFonts w:ascii="Times New Roman" w:hAnsi="Times New Roman"/>
                <w:b/>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20.00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12" w:hRule="exac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20607</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科学技术普及</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20.00</w:t>
            </w:r>
            <w:r>
              <w:rPr>
                <w:rFonts w:ascii="Times New Roman" w:hAnsi="Times New Roman"/>
                <w:b/>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20.00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12" w:hRule="exac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2060702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科普活动</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20.00</w:t>
            </w:r>
            <w:r>
              <w:rPr>
                <w:rFonts w:ascii="Times New Roman" w:hAnsi="Times New Roman"/>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20.00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12" w:hRule="exac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1,045.67</w:t>
            </w:r>
            <w:r>
              <w:rPr>
                <w:rFonts w:ascii="Times New Roman" w:hAnsi="Times New Roman"/>
                <w:b/>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1,044.96</w:t>
            </w:r>
            <w:r>
              <w:rPr>
                <w:rFonts w:ascii="Times New Roman" w:hAnsi="Times New Roman"/>
                <w:b/>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0.71</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12" w:hRule="exac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1,036.24</w:t>
            </w:r>
            <w:r>
              <w:rPr>
                <w:rFonts w:ascii="Times New Roman" w:hAnsi="Times New Roman"/>
                <w:b/>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1,035.53</w:t>
            </w:r>
            <w:r>
              <w:rPr>
                <w:rFonts w:ascii="Times New Roman" w:hAnsi="Times New Roman"/>
                <w:b/>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0.71</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12" w:hRule="exac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542.14</w:t>
            </w:r>
            <w:r>
              <w:rPr>
                <w:rFonts w:ascii="Times New Roman" w:hAnsi="Times New Roman"/>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542.14</w:t>
            </w:r>
            <w:r>
              <w:rPr>
                <w:rFonts w:ascii="Times New Roman" w:hAnsi="Times New Roman"/>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12" w:hRule="exac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271.33</w:t>
            </w:r>
            <w:r>
              <w:rPr>
                <w:rFonts w:ascii="Times New Roman" w:hAnsi="Times New Roman"/>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271.33</w:t>
            </w:r>
            <w:r>
              <w:rPr>
                <w:rFonts w:ascii="Times New Roman" w:hAnsi="Times New Roman"/>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12" w:hRule="exac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其他行政事业单位养老支出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222.76</w:t>
            </w:r>
            <w:r>
              <w:rPr>
                <w:rFonts w:ascii="Times New Roman" w:hAnsi="Times New Roman"/>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222.05</w:t>
            </w:r>
            <w:r>
              <w:rPr>
                <w:rFonts w:ascii="Times New Roman" w:hAnsi="Times New Roman"/>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0.71</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12" w:hRule="exac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抚恤</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9.44</w:t>
            </w:r>
            <w:r>
              <w:rPr>
                <w:rFonts w:ascii="Times New Roman" w:hAnsi="Times New Roman"/>
                <w:b/>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9.44</w:t>
            </w:r>
            <w:r>
              <w:rPr>
                <w:rFonts w:ascii="Times New Roman" w:hAnsi="Times New Roman"/>
                <w:b/>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12" w:hRule="exac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2080801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死亡抚恤</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9.44</w:t>
            </w:r>
            <w:r>
              <w:rPr>
                <w:rFonts w:ascii="Times New Roman" w:hAnsi="Times New Roman"/>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9.44</w:t>
            </w:r>
            <w:r>
              <w:rPr>
                <w:rFonts w:ascii="Times New Roman" w:hAnsi="Times New Roman"/>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12" w:hRule="exac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226.89</w:t>
            </w:r>
            <w:r>
              <w:rPr>
                <w:rFonts w:ascii="Times New Roman" w:hAnsi="Times New Roman"/>
                <w:b/>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226.89</w:t>
            </w:r>
            <w:r>
              <w:rPr>
                <w:rFonts w:ascii="Times New Roman" w:hAnsi="Times New Roman"/>
                <w:b/>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12" w:hRule="exac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21011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226.89</w:t>
            </w:r>
            <w:r>
              <w:rPr>
                <w:rFonts w:ascii="Times New Roman" w:hAnsi="Times New Roman"/>
                <w:b/>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226.89</w:t>
            </w:r>
            <w:r>
              <w:rPr>
                <w:rFonts w:ascii="Times New Roman" w:hAnsi="Times New Roman"/>
                <w:b/>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12" w:hRule="exac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2101102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226.89</w:t>
            </w:r>
            <w:r>
              <w:rPr>
                <w:rFonts w:ascii="Times New Roman" w:hAnsi="Times New Roman"/>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226.89</w:t>
            </w:r>
            <w:r>
              <w:rPr>
                <w:rFonts w:ascii="Times New Roman" w:hAnsi="Times New Roman"/>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12" w:hRule="exac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265.39</w:t>
            </w:r>
            <w:r>
              <w:rPr>
                <w:rFonts w:ascii="Times New Roman" w:hAnsi="Times New Roman"/>
                <w:b/>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265.39</w:t>
            </w:r>
            <w:r>
              <w:rPr>
                <w:rFonts w:ascii="Times New Roman" w:hAnsi="Times New Roman"/>
                <w:b/>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12" w:hRule="exac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265.39</w:t>
            </w:r>
            <w:r>
              <w:rPr>
                <w:rFonts w:ascii="Times New Roman" w:hAnsi="Times New Roman"/>
                <w:b/>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265.39</w:t>
            </w:r>
            <w:r>
              <w:rPr>
                <w:rFonts w:ascii="Times New Roman" w:hAnsi="Times New Roman"/>
                <w:b/>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12" w:hRule="exac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2210201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265.39</w:t>
            </w:r>
            <w:r>
              <w:rPr>
                <w:rFonts w:ascii="Times New Roman" w:hAnsi="Times New Roman"/>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265.39</w:t>
            </w:r>
            <w:r>
              <w:rPr>
                <w:rFonts w:ascii="Times New Roman" w:hAnsi="Times New Roman"/>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bl>
    <w:p>
      <w:pPr>
        <w:rPr>
          <w:rFonts w:cs="宋体"/>
          <w:sz w:val="20"/>
          <w:szCs w:val="20"/>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p>
    <w:tbl>
      <w:tblPr>
        <w:tblStyle w:val="7"/>
        <w:tblW w:w="15304" w:type="dxa"/>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sz w:val="32"/>
                <w:szCs w:val="32"/>
              </w:rPr>
            </w:pPr>
            <w:r>
              <w:rPr>
                <w:rFonts w:cs="宋体"/>
                <w:b/>
                <w:sz w:val="32"/>
                <w:szCs w:val="32"/>
              </w:rPr>
              <w:t>一般公共预算财政拨款基本支出决算表</w:t>
            </w:r>
          </w:p>
        </w:tc>
      </w:tr>
      <w:tr>
        <w:tblPrEx>
          <w:tblLayout w:type="fixed"/>
          <w:tblCellMar>
            <w:top w:w="0" w:type="dxa"/>
            <w:left w:w="0" w:type="dxa"/>
            <w:bottom w:w="0" w:type="dxa"/>
            <w:right w:w="0" w:type="dxa"/>
          </w:tblCellMar>
        </w:tblPrEx>
        <w:trPr>
          <w:trHeight w:val="334" w:hRule="atLeast"/>
        </w:trPr>
        <w:tc>
          <w:tcPr>
            <w:tcW w:w="8056" w:type="dxa"/>
            <w:gridSpan w:val="5"/>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sz w:val="18"/>
                <w:szCs w:val="18"/>
              </w:rPr>
            </w:pPr>
            <w:r>
              <w:rPr>
                <w:rFonts w:cs="宋体"/>
                <w:sz w:val="20"/>
                <w:szCs w:val="20"/>
              </w:rPr>
              <w:t>单位：</w:t>
            </w:r>
            <w:r>
              <w:rPr>
                <w:sz w:val="20"/>
              </w:rPr>
              <w:t>垫江第八中学校</w:t>
            </w:r>
          </w:p>
        </w:tc>
        <w:tc>
          <w:tcPr>
            <w:tcW w:w="141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87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346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497"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06</w:t>
            </w:r>
            <w:r>
              <w:rPr>
                <w:rFonts w:cs="宋体"/>
                <w:sz w:val="20"/>
                <w:szCs w:val="20"/>
              </w:rPr>
              <w:t>表</w:t>
            </w:r>
          </w:p>
        </w:tc>
      </w:tr>
      <w:tr>
        <w:tblPrEx>
          <w:tblLayout w:type="fixed"/>
          <w:tblCellMar>
            <w:top w:w="0" w:type="dxa"/>
            <w:left w:w="0" w:type="dxa"/>
            <w:bottom w:w="0" w:type="dxa"/>
            <w:right w:w="0" w:type="dxa"/>
          </w:tblCellMar>
        </w:tblPrEx>
        <w:trPr>
          <w:trHeight w:val="520" w:hRule="atLeast"/>
        </w:trPr>
        <w:tc>
          <w:tcPr>
            <w:tcW w:w="8056" w:type="dxa"/>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41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87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346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497"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90" w:hRule="atLeast"/>
        </w:trPr>
        <w:tc>
          <w:tcPr>
            <w:tcW w:w="515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人员经费</w:t>
            </w:r>
          </w:p>
        </w:tc>
        <w:tc>
          <w:tcPr>
            <w:tcW w:w="10152"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公用经费</w:t>
            </w:r>
          </w:p>
        </w:tc>
      </w:tr>
      <w:tr>
        <w:tblPrEx>
          <w:tblLayout w:type="fixed"/>
          <w:tblCellMar>
            <w:top w:w="0" w:type="dxa"/>
            <w:left w:w="0" w:type="dxa"/>
            <w:bottom w:w="0" w:type="dxa"/>
            <w:right w:w="0" w:type="dxa"/>
          </w:tblCellMar>
        </w:tblPrEx>
        <w:trPr>
          <w:trHeight w:val="312" w:hRule="atLeast"/>
        </w:trPr>
        <w:tc>
          <w:tcPr>
            <w:tcW w:w="80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经济分类科目编码</w:t>
            </w:r>
          </w:p>
        </w:tc>
        <w:tc>
          <w:tcPr>
            <w:tcW w:w="281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经济分类科目（按“款”级功能分类科目）</w:t>
            </w:r>
          </w:p>
        </w:tc>
        <w:tc>
          <w:tcPr>
            <w:tcW w:w="15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金额</w:t>
            </w:r>
          </w:p>
        </w:tc>
        <w:tc>
          <w:tcPr>
            <w:tcW w:w="87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经济分类科目（按“款”级功能分类科目）</w:t>
            </w:r>
          </w:p>
        </w:tc>
        <w:tc>
          <w:tcPr>
            <w:tcW w:w="14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金额</w:t>
            </w:r>
          </w:p>
        </w:tc>
        <w:tc>
          <w:tcPr>
            <w:tcW w:w="87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经济分类科目编码</w:t>
            </w:r>
          </w:p>
        </w:tc>
        <w:tc>
          <w:tcPr>
            <w:tcW w:w="346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经济分类科目（按“款”级功能分类科目）</w:t>
            </w:r>
          </w:p>
        </w:tc>
        <w:tc>
          <w:tcPr>
            <w:tcW w:w="14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金额</w:t>
            </w:r>
          </w:p>
        </w:tc>
      </w:tr>
      <w:tr>
        <w:tblPrEx>
          <w:tblLayout w:type="fixed"/>
          <w:tblCellMar>
            <w:top w:w="0" w:type="dxa"/>
            <w:left w:w="0" w:type="dxa"/>
            <w:bottom w:w="0" w:type="dxa"/>
            <w:right w:w="0" w:type="dxa"/>
          </w:tblCellMar>
        </w:tblPrEx>
        <w:trPr>
          <w:trHeight w:val="312" w:hRule="atLeast"/>
        </w:trPr>
        <w:tc>
          <w:tcPr>
            <w:tcW w:w="80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sz w:val="18"/>
                <w:szCs w:val="18"/>
              </w:rPr>
            </w:pPr>
          </w:p>
        </w:tc>
        <w:tc>
          <w:tcPr>
            <w:tcW w:w="28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sz w:val="18"/>
                <w:szCs w:val="18"/>
              </w:rPr>
            </w:pPr>
          </w:p>
        </w:tc>
        <w:tc>
          <w:tcPr>
            <w:tcW w:w="15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sz w:val="18"/>
                <w:szCs w:val="18"/>
              </w:rPr>
            </w:pPr>
          </w:p>
        </w:tc>
        <w:tc>
          <w:tcPr>
            <w:tcW w:w="87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sz w:val="18"/>
                <w:szCs w:val="18"/>
              </w:rPr>
            </w:pPr>
          </w:p>
        </w:tc>
        <w:tc>
          <w:tcPr>
            <w:tcW w:w="14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sz w:val="18"/>
                <w:szCs w:val="18"/>
              </w:rPr>
            </w:pPr>
          </w:p>
        </w:tc>
        <w:tc>
          <w:tcPr>
            <w:tcW w:w="87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sz w:val="18"/>
                <w:szCs w:val="18"/>
              </w:rPr>
            </w:pPr>
          </w:p>
        </w:tc>
        <w:tc>
          <w:tcPr>
            <w:tcW w:w="346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sz w:val="18"/>
                <w:szCs w:val="18"/>
              </w:rPr>
            </w:pPr>
          </w:p>
        </w:tc>
        <w:tc>
          <w:tcPr>
            <w:tcW w:w="14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301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工资福利支出</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5,131.54</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商品和服务支出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83.08</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310</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资本性支出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30101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基本工资</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1,283.97</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办公费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31001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房屋建筑物购建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30102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津贴补贴</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166.71</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印刷费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31002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办公设备购置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30103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奖金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咨询费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31003</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专用设备购置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30106</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伙食补助费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手续费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31005</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基础设施建设</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30107</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绩效工资</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2,305.72</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水费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31006</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大型修缮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30108</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机关事业单位基本养老保险缴费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542.14</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电费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31007</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信息网络及软件购置更新</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30109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职业年金缴费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271.33</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邮电费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31008</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物资储备</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30110</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职工基本医疗保险缴费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226.89</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取暖费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31009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土地补偿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30111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公务员医疗补助缴费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物业管理费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31010</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安置补助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30112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其他社会保障缴费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7.73</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差旅费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31011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地上附着物和青苗补偿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30113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住房公积金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265.39</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因公出国（境）费用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31012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拆迁补偿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30114</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医疗费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61.66</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维修（护）费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31013</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公务用车购置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30199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其他工资福利支出</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租赁费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31019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其他交通工具购置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303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对个人和家庭的补助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231.49</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会议费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31021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文物和陈列品购置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30301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离休费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培训费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10.32</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31022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无形资产购置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30302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退休费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公务接待费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31099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其他资本性支出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30303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退职（役）费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专用材料费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312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对企业补助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30304</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抚恤金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9.44</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被装购置费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31201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资本金注入</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30305</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生活补助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165.10</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专用燃料费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31203</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政府投资基金股权投资</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30306</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救济费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劳务费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31204</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费用补贴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30307</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医疗费补助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13.80</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委托业务费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31205</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利息补贴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30308</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助学金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工会经费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70.41</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31206</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ind w:firstLine="180" w:firstLineChars="100"/>
              <w:textAlignment w:val="center"/>
              <w:rPr>
                <w:rFonts w:hint="default" w:cs="宋体"/>
                <w:sz w:val="18"/>
                <w:szCs w:val="18"/>
              </w:rPr>
            </w:pPr>
            <w:r>
              <w:rPr>
                <w:rFonts w:cs="宋体"/>
                <w:sz w:val="18"/>
                <w:szCs w:val="18"/>
              </w:rPr>
              <w:t>其他资本性补助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30309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奖励金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43.15</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福利费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2.36</w:t>
            </w: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31299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其他对企业补助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30310</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个人农业生产补贴</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公务用车运行维护费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399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其他支出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30311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代缴社会保险费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其他交通费用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39907</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国家赔偿费用支出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30399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其他对个人和家庭的补助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税金及附加费用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39908</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对民间非营利组织和群众性自治组织补贴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其他商品和服务支出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39909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经常性赠与</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sz w:val="18"/>
                <w:szCs w:val="18"/>
              </w:rPr>
            </w:pPr>
            <w:r>
              <w:rPr>
                <w:rFonts w:cs="宋体"/>
                <w:b/>
                <w:bCs/>
                <w:sz w:val="18"/>
                <w:szCs w:val="18"/>
              </w:rPr>
              <w:t>债务利息及费用支出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39910</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资本性赠与</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国内债务付息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39999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其他支出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国外债务付息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国内债务发行费用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sz w:val="18"/>
                <w:szCs w:val="18"/>
              </w:rPr>
            </w:pPr>
          </w:p>
        </w:tc>
      </w:tr>
      <w:tr>
        <w:tblPrEx>
          <w:tblLayout w:type="fixed"/>
          <w:tblCellMar>
            <w:top w:w="0" w:type="dxa"/>
            <w:left w:w="0" w:type="dxa"/>
            <w:bottom w:w="0" w:type="dxa"/>
            <w:right w:w="0" w:type="dxa"/>
          </w:tblCellMar>
        </w:tblPrEx>
        <w:trPr>
          <w:trHeight w:val="155"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sz w:val="18"/>
                <w:szCs w:val="18"/>
              </w:rPr>
            </w:pPr>
            <w:r>
              <w:rPr>
                <w:rFonts w:cs="宋体"/>
                <w:sz w:val="18"/>
                <w:szCs w:val="18"/>
              </w:rPr>
              <w:t xml:space="preserve">  国外债务发行费用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sz w:val="18"/>
                <w:szCs w:val="18"/>
              </w:rPr>
            </w:pPr>
          </w:p>
        </w:tc>
      </w:tr>
      <w:tr>
        <w:tblPrEx>
          <w:tblLayout w:type="fixed"/>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人员经费合计</w:t>
            </w:r>
          </w:p>
        </w:tc>
        <w:tc>
          <w:tcPr>
            <w:tcW w:w="154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jc w:val="right"/>
              <w:textAlignment w:val="bottom"/>
              <w:rPr>
                <w:rFonts w:hint="default" w:ascii="Times New Roman" w:hAnsi="Times New Roman"/>
                <w:sz w:val="18"/>
                <w:szCs w:val="18"/>
              </w:rPr>
            </w:pPr>
            <w:r>
              <w:rPr>
                <w:rFonts w:hint="default" w:ascii="Times New Roman" w:hAnsi="Times New Roman"/>
                <w:sz w:val="18"/>
                <w:szCs w:val="18"/>
              </w:rPr>
              <w:t>5,363.03</w:t>
            </w:r>
            <w:r>
              <w:rPr>
                <w:rFonts w:ascii="Times New Roman" w:hAnsi="Times New Roman"/>
                <w:sz w:val="18"/>
              </w:rPr>
              <w:t xml:space="preserve"> </w:t>
            </w:r>
          </w:p>
        </w:tc>
        <w:tc>
          <w:tcPr>
            <w:tcW w:w="8655"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sz w:val="18"/>
                <w:szCs w:val="18"/>
              </w:rPr>
            </w:pPr>
            <w:r>
              <w:rPr>
                <w:rFonts w:cs="宋体"/>
                <w:b/>
                <w:sz w:val="18"/>
                <w:szCs w:val="18"/>
              </w:rPr>
              <w:t>公用经费合计</w:t>
            </w:r>
          </w:p>
        </w:tc>
        <w:tc>
          <w:tcPr>
            <w:tcW w:w="14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sz w:val="18"/>
                <w:szCs w:val="18"/>
              </w:rPr>
            </w:pPr>
            <w:r>
              <w:rPr>
                <w:rFonts w:hint="default" w:ascii="Times New Roman" w:hAnsi="Times New Roman"/>
                <w:sz w:val="18"/>
                <w:szCs w:val="18"/>
              </w:rPr>
              <w:t>83.08</w:t>
            </w:r>
            <w:r>
              <w:rPr>
                <w:rFonts w:ascii="Times New Roman" w:hAnsi="Times New Roman"/>
                <w:sz w:val="18"/>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sz w:val="32"/>
                <w:szCs w:val="32"/>
              </w:rPr>
            </w:pPr>
            <w:r>
              <w:rPr>
                <w:rFonts w:cs="宋体"/>
                <w:b/>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sz w:val="20"/>
                <w:szCs w:val="20"/>
              </w:rPr>
            </w:pPr>
            <w:r>
              <w:rPr>
                <w:rFonts w:cs="宋体"/>
                <w:sz w:val="20"/>
                <w:szCs w:val="20"/>
              </w:rPr>
              <w:t>单位：</w:t>
            </w:r>
            <w:r>
              <w:rPr>
                <w:sz w:val="20"/>
              </w:rPr>
              <w:t>垫江第八中学校</w:t>
            </w: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07</w:t>
            </w:r>
            <w:r>
              <w:rPr>
                <w:rFonts w:cs="宋体"/>
                <w:sz w:val="20"/>
                <w:szCs w:val="20"/>
              </w:rPr>
              <w:t>表</w:t>
            </w:r>
          </w:p>
        </w:tc>
      </w:tr>
      <w:tr>
        <w:tblPrEx>
          <w:tblLayout w:type="fixed"/>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年末结转和结余</w:t>
            </w:r>
          </w:p>
        </w:tc>
      </w:tr>
      <w:tr>
        <w:tblPrEx>
          <w:tblLayout w:type="fixed"/>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功能分类科目编码</w:t>
            </w:r>
          </w:p>
        </w:tc>
        <w:tc>
          <w:tcPr>
            <w:tcW w:w="3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1,687.25</w:t>
            </w:r>
            <w:r>
              <w:rPr>
                <w:rFonts w:ascii="Times New Roman" w:hAnsi="Times New Roman"/>
                <w:b/>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1,687.25</w:t>
            </w:r>
            <w:r>
              <w:rPr>
                <w:rFonts w:ascii="Times New Roman" w:hAnsi="Times New Roman"/>
                <w:b/>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1,687.25</w:t>
            </w:r>
            <w:r>
              <w:rPr>
                <w:rFonts w:ascii="Times New Roman" w:hAnsi="Times New Roman"/>
                <w:b/>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sz w:val="20"/>
                <w:szCs w:val="20"/>
              </w:rPr>
            </w:pPr>
            <w:r>
              <w:rPr>
                <w:rFonts w:cs="宋体"/>
                <w:b/>
                <w:sz w:val="20"/>
                <w:szCs w:val="20"/>
              </w:rPr>
              <w:t>212</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sz w:val="20"/>
                <w:szCs w:val="20"/>
              </w:rPr>
            </w:pPr>
            <w:r>
              <w:rPr>
                <w:rFonts w:cs="宋体"/>
                <w:b/>
                <w:sz w:val="20"/>
                <w:szCs w:val="20"/>
              </w:rPr>
              <w:t>城乡社区支出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1,687.25</w:t>
            </w:r>
            <w:r>
              <w:rPr>
                <w:rFonts w:ascii="Times New Roman" w:hAnsi="Times New Roman"/>
                <w:b/>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1,687.25</w:t>
            </w:r>
            <w:r>
              <w:rPr>
                <w:rFonts w:ascii="Times New Roman" w:hAnsi="Times New Roman"/>
                <w:b/>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1,687.25</w:t>
            </w:r>
            <w:r>
              <w:rPr>
                <w:rFonts w:ascii="Times New Roman" w:hAnsi="Times New Roman"/>
                <w:b/>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sz w:val="20"/>
                <w:szCs w:val="20"/>
              </w:rPr>
            </w:pPr>
            <w:r>
              <w:rPr>
                <w:rFonts w:cs="宋体"/>
                <w:b/>
                <w:sz w:val="20"/>
                <w:szCs w:val="20"/>
              </w:rPr>
              <w:t>21208</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sz w:val="20"/>
                <w:szCs w:val="20"/>
              </w:rPr>
            </w:pPr>
            <w:r>
              <w:rPr>
                <w:rFonts w:cs="宋体"/>
                <w:b/>
                <w:sz w:val="20"/>
                <w:szCs w:val="20"/>
              </w:rPr>
              <w:t>国有土地使用权出让收入安排的支出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1,687.25</w:t>
            </w:r>
            <w:r>
              <w:rPr>
                <w:rFonts w:ascii="Times New Roman" w:hAnsi="Times New Roman"/>
                <w:b/>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1,687.25</w:t>
            </w:r>
            <w:r>
              <w:rPr>
                <w:rFonts w:ascii="Times New Roman" w:hAnsi="Times New Roman"/>
                <w:b/>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1,687.25</w:t>
            </w:r>
            <w:r>
              <w:rPr>
                <w:rFonts w:ascii="Times New Roman" w:hAnsi="Times New Roman"/>
                <w:b/>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sz w:val="20"/>
                <w:szCs w:val="20"/>
              </w:rPr>
            </w:pPr>
            <w:r>
              <w:rPr>
                <w:rFonts w:cs="宋体"/>
                <w:sz w:val="20"/>
                <w:szCs w:val="20"/>
              </w:rPr>
              <w:t>2120899</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sz w:val="20"/>
                <w:szCs w:val="20"/>
              </w:rPr>
            </w:pPr>
            <w:r>
              <w:rPr>
                <w:rFonts w:cs="宋体"/>
                <w:sz w:val="20"/>
                <w:szCs w:val="20"/>
              </w:rPr>
              <w:t>其他国有土地使用权出让收入安排的支出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1,687.25</w:t>
            </w:r>
            <w:r>
              <w:rPr>
                <w:rFonts w:ascii="Times New Roman" w:hAnsi="Times New Roman"/>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1,687.25</w:t>
            </w:r>
            <w:r>
              <w:rPr>
                <w:rFonts w:ascii="Times New Roman" w:hAnsi="Times New Roman"/>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1,687.25</w:t>
            </w:r>
            <w:r>
              <w:rPr>
                <w:rFonts w:ascii="Times New Roman" w:hAnsi="Times New Roman"/>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bl>
    <w:p>
      <w:pPr>
        <w:rPr>
          <w:rFonts w:hint="default" w:cs="宋体"/>
          <w:sz w:val="21"/>
          <w:szCs w:val="21"/>
        </w:rPr>
      </w:pPr>
      <w:r>
        <w:rPr>
          <w:rFonts w:cs="宋体"/>
          <w:sz w:val="20"/>
          <w:szCs w:val="20"/>
        </w:rPr>
        <w:t>备注：1.本表反映单位本年度政府性基金预算财政拨款收入支出及结转和结余情况。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sz w:val="32"/>
                <w:szCs w:val="32"/>
              </w:rPr>
            </w:pPr>
            <w:r>
              <w:rPr>
                <w:rFonts w:cs="宋体"/>
                <w:b/>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sz w:val="20"/>
                <w:szCs w:val="20"/>
              </w:rPr>
            </w:pPr>
            <w:r>
              <w:rPr>
                <w:rFonts w:cs="宋体"/>
                <w:sz w:val="20"/>
                <w:szCs w:val="20"/>
              </w:rPr>
              <w:t>单位：</w:t>
            </w:r>
            <w:r>
              <w:rPr>
                <w:sz w:val="20"/>
              </w:rPr>
              <w:t>垫江第八中学校</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08</w:t>
            </w:r>
            <w:r>
              <w:rPr>
                <w:rFonts w:cs="宋体"/>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sz w:val="20"/>
                <w:szCs w:val="20"/>
              </w:rPr>
            </w:pPr>
            <w:r>
              <w:rPr>
                <w:rFonts w:cs="宋体"/>
                <w:b/>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sz w:val="20"/>
                <w:szCs w:val="20"/>
              </w:rPr>
            </w:pPr>
            <w:r>
              <w:rPr>
                <w:rFonts w:cs="宋体"/>
                <w:b/>
                <w:sz w:val="20"/>
                <w:szCs w:val="20"/>
              </w:rPr>
              <w:t>本年支出</w:t>
            </w:r>
          </w:p>
        </w:tc>
      </w:tr>
      <w:tr>
        <w:tblPrEx>
          <w:tblLayout w:type="fixed"/>
          <w:tblCellMar>
            <w:top w:w="0" w:type="dxa"/>
            <w:left w:w="0" w:type="dxa"/>
            <w:bottom w:w="0" w:type="dxa"/>
            <w:right w:w="0" w:type="dxa"/>
          </w:tblCellMar>
        </w:tblPrEx>
        <w:trPr>
          <w:trHeight w:val="339" w:hRule="atLeast"/>
        </w:trPr>
        <w:tc>
          <w:tcPr>
            <w:tcW w:w="129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功能分类科目编码</w:t>
            </w:r>
          </w:p>
        </w:tc>
        <w:tc>
          <w:tcPr>
            <w:tcW w:w="36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项目支出</w:t>
            </w: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26"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488" w:hRule="atLeast"/>
        </w:trPr>
        <w:tc>
          <w:tcPr>
            <w:tcW w:w="12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p>
        </w:tc>
        <w:tc>
          <w:tcPr>
            <w:tcW w:w="36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14130" w:type="dxa"/>
        <w:tblInd w:w="0" w:type="dxa"/>
        <w:tblLayout w:type="fixed"/>
        <w:tblCellMar>
          <w:top w:w="0" w:type="dxa"/>
          <w:left w:w="170" w:type="dxa"/>
          <w:bottom w:w="0" w:type="dxa"/>
          <w:right w:w="170" w:type="dxa"/>
        </w:tblCellMar>
      </w:tblPr>
      <w:tblGrid>
        <w:gridCol w:w="3176"/>
        <w:gridCol w:w="2416"/>
        <w:gridCol w:w="2374"/>
        <w:gridCol w:w="3671"/>
        <w:gridCol w:w="2493"/>
      </w:tblGrid>
      <w:tr>
        <w:tblPrEx>
          <w:tblLayout w:type="fixed"/>
          <w:tblCellMar>
            <w:top w:w="0" w:type="dxa"/>
            <w:left w:w="170" w:type="dxa"/>
            <w:bottom w:w="0" w:type="dxa"/>
            <w:right w:w="170" w:type="dxa"/>
          </w:tblCellMar>
        </w:tblPrEx>
        <w:trPr>
          <w:trHeight w:val="343" w:hRule="atLeast"/>
        </w:trPr>
        <w:tc>
          <w:tcPr>
            <w:tcW w:w="14130"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kern w:val="2"/>
                <w:sz w:val="32"/>
                <w:szCs w:val="32"/>
              </w:rPr>
            </w:pPr>
            <w:r>
              <w:rPr>
                <w:rFonts w:cs="宋体"/>
                <w:b/>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76" w:type="dxa"/>
            <w:shd w:val="clear" w:color="auto" w:fill="auto"/>
            <w:noWrap/>
            <w:tcMar>
              <w:top w:w="15" w:type="dxa"/>
              <w:left w:w="15" w:type="dxa"/>
              <w:right w:w="15" w:type="dxa"/>
            </w:tcMar>
            <w:vAlign w:val="bottom"/>
          </w:tcPr>
          <w:p>
            <w:pPr>
              <w:spacing w:line="280" w:lineRule="exact"/>
              <w:rPr>
                <w:rFonts w:hint="default" w:cs="宋体"/>
                <w:kern w:val="2"/>
                <w:sz w:val="20"/>
                <w:szCs w:val="20"/>
              </w:rPr>
            </w:pPr>
          </w:p>
        </w:tc>
        <w:tc>
          <w:tcPr>
            <w:tcW w:w="2416" w:type="dxa"/>
            <w:shd w:val="clear" w:color="auto" w:fill="auto"/>
            <w:noWrap/>
            <w:tcMar>
              <w:top w:w="15" w:type="dxa"/>
              <w:left w:w="15" w:type="dxa"/>
              <w:right w:w="15" w:type="dxa"/>
            </w:tcMar>
            <w:vAlign w:val="bottom"/>
          </w:tcPr>
          <w:p>
            <w:pPr>
              <w:spacing w:line="280" w:lineRule="exact"/>
              <w:jc w:val="center"/>
              <w:rPr>
                <w:rFonts w:hint="default" w:cs="宋体"/>
                <w:kern w:val="2"/>
                <w:sz w:val="20"/>
                <w:szCs w:val="20"/>
              </w:rPr>
            </w:pPr>
          </w:p>
        </w:tc>
        <w:tc>
          <w:tcPr>
            <w:tcW w:w="2374" w:type="dxa"/>
            <w:shd w:val="clear" w:color="auto" w:fill="auto"/>
            <w:noWrap/>
            <w:tcMar>
              <w:top w:w="15" w:type="dxa"/>
              <w:left w:w="15" w:type="dxa"/>
              <w:right w:w="15" w:type="dxa"/>
            </w:tcMar>
            <w:vAlign w:val="bottom"/>
          </w:tcPr>
          <w:p>
            <w:pPr>
              <w:spacing w:line="280" w:lineRule="exact"/>
              <w:jc w:val="right"/>
              <w:rPr>
                <w:rFonts w:hint="default" w:cs="宋体"/>
                <w:kern w:val="2"/>
                <w:sz w:val="20"/>
                <w:szCs w:val="20"/>
              </w:rPr>
            </w:pPr>
          </w:p>
        </w:tc>
        <w:tc>
          <w:tcPr>
            <w:tcW w:w="3671" w:type="dxa"/>
            <w:shd w:val="clear" w:color="auto" w:fill="auto"/>
            <w:noWrap/>
            <w:tcMar>
              <w:top w:w="15" w:type="dxa"/>
              <w:left w:w="15" w:type="dxa"/>
              <w:right w:w="15" w:type="dxa"/>
            </w:tcMar>
            <w:vAlign w:val="bottom"/>
          </w:tcPr>
          <w:p>
            <w:pPr>
              <w:spacing w:line="280" w:lineRule="exact"/>
              <w:rPr>
                <w:rFonts w:hint="default" w:cs="宋体"/>
                <w:kern w:val="2"/>
                <w:sz w:val="20"/>
                <w:szCs w:val="20"/>
              </w:rPr>
            </w:pPr>
          </w:p>
        </w:tc>
        <w:tc>
          <w:tcPr>
            <w:tcW w:w="2493" w:type="dxa"/>
            <w:shd w:val="clear" w:color="auto" w:fill="auto"/>
            <w:noWrap/>
            <w:tcMar>
              <w:top w:w="15" w:type="dxa"/>
              <w:left w:w="15" w:type="dxa"/>
              <w:right w:w="15" w:type="dxa"/>
            </w:tcMar>
            <w:vAlign w:val="bottom"/>
          </w:tcPr>
          <w:p>
            <w:pPr>
              <w:spacing w:line="280" w:lineRule="exact"/>
              <w:jc w:val="right"/>
              <w:textAlignment w:val="bottom"/>
              <w:rPr>
                <w:rFonts w:hint="default" w:cs="宋体"/>
                <w:kern w:val="2"/>
                <w:sz w:val="20"/>
                <w:szCs w:val="20"/>
              </w:rPr>
            </w:pPr>
            <w:r>
              <w:rPr>
                <w:rFonts w:cs="宋体"/>
                <w:kern w:val="2"/>
                <w:sz w:val="20"/>
                <w:szCs w:val="20"/>
              </w:rPr>
              <w:t>公开</w:t>
            </w:r>
            <w:r>
              <w:rPr>
                <w:rFonts w:hint="default" w:ascii="Times New Roman" w:hAnsi="Times New Roman"/>
                <w:kern w:val="2"/>
                <w:sz w:val="20"/>
                <w:szCs w:val="20"/>
              </w:rPr>
              <w:t>09</w:t>
            </w:r>
            <w:r>
              <w:rPr>
                <w:rFonts w:cs="宋体"/>
                <w:kern w:val="2"/>
                <w:sz w:val="20"/>
                <w:szCs w:val="20"/>
              </w:rPr>
              <w:t>表</w:t>
            </w:r>
          </w:p>
        </w:tc>
      </w:tr>
      <w:tr>
        <w:tblPrEx>
          <w:tblLayout w:type="fixed"/>
          <w:tblCellMar>
            <w:top w:w="0" w:type="dxa"/>
            <w:left w:w="170" w:type="dxa"/>
            <w:bottom w:w="0" w:type="dxa"/>
            <w:right w:w="170" w:type="dxa"/>
          </w:tblCellMar>
        </w:tblPrEx>
        <w:trPr>
          <w:trHeight w:val="244" w:hRule="atLeast"/>
        </w:trPr>
        <w:tc>
          <w:tcPr>
            <w:tcW w:w="5592"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kern w:val="2"/>
                <w:sz w:val="20"/>
                <w:szCs w:val="20"/>
              </w:rPr>
            </w:pPr>
            <w:r>
              <w:rPr>
                <w:rFonts w:cs="宋体"/>
                <w:kern w:val="2"/>
                <w:sz w:val="20"/>
                <w:szCs w:val="20"/>
              </w:rPr>
              <w:t>单位：</w:t>
            </w:r>
            <w:r>
              <w:rPr>
                <w:sz w:val="20"/>
              </w:rPr>
              <w:t>垫江第八中学校</w:t>
            </w:r>
          </w:p>
        </w:tc>
        <w:tc>
          <w:tcPr>
            <w:tcW w:w="2374"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kern w:val="2"/>
                <w:sz w:val="20"/>
                <w:szCs w:val="20"/>
              </w:rPr>
            </w:pPr>
          </w:p>
        </w:tc>
        <w:tc>
          <w:tcPr>
            <w:tcW w:w="3671"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kern w:val="2"/>
                <w:sz w:val="20"/>
                <w:szCs w:val="20"/>
              </w:rPr>
            </w:pPr>
          </w:p>
        </w:tc>
        <w:tc>
          <w:tcPr>
            <w:tcW w:w="2493"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kern w:val="2"/>
                <w:sz w:val="20"/>
                <w:szCs w:val="20"/>
              </w:rPr>
            </w:pPr>
            <w:r>
              <w:rPr>
                <w:rFonts w:cs="宋体"/>
                <w:kern w:val="2"/>
                <w:sz w:val="20"/>
                <w:szCs w:val="20"/>
              </w:rPr>
              <w:t>单位：万元</w:t>
            </w:r>
          </w:p>
        </w:tc>
      </w:tr>
      <w:tr>
        <w:tblPrEx>
          <w:tblLayout w:type="fixed"/>
          <w:tblCellMar>
            <w:top w:w="0" w:type="dxa"/>
            <w:left w:w="170" w:type="dxa"/>
            <w:bottom w:w="0" w:type="dxa"/>
            <w:right w:w="170" w:type="dxa"/>
          </w:tblCellMar>
        </w:tblPrEx>
        <w:trPr>
          <w:trHeight w:val="28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kern w:val="2"/>
                <w:sz w:val="16"/>
                <w:szCs w:val="16"/>
              </w:rPr>
            </w:pPr>
            <w:r>
              <w:rPr>
                <w:rFonts w:cs="宋体"/>
                <w:b/>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kern w:val="2"/>
                <w:sz w:val="16"/>
                <w:szCs w:val="16"/>
              </w:rPr>
            </w:pPr>
            <w:r>
              <w:rPr>
                <w:rFonts w:cs="宋体"/>
                <w:b/>
                <w:kern w:val="2"/>
                <w:sz w:val="16"/>
                <w:szCs w:val="16"/>
              </w:rPr>
              <w:t>预算数</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kern w:val="2"/>
                <w:sz w:val="16"/>
                <w:szCs w:val="16"/>
              </w:rPr>
            </w:pPr>
            <w:r>
              <w:rPr>
                <w:rFonts w:cs="宋体"/>
                <w:b/>
                <w:kern w:val="2"/>
                <w:sz w:val="16"/>
                <w:szCs w:val="16"/>
              </w:rPr>
              <w:t>决算数</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kern w:val="2"/>
                <w:sz w:val="16"/>
                <w:szCs w:val="16"/>
              </w:rPr>
            </w:pPr>
            <w:r>
              <w:rPr>
                <w:rFonts w:cs="宋体"/>
                <w:b/>
                <w:kern w:val="2"/>
                <w:sz w:val="16"/>
                <w:szCs w:val="16"/>
              </w:rPr>
              <w:t>项  目</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kern w:val="2"/>
                <w:sz w:val="16"/>
                <w:szCs w:val="16"/>
              </w:rPr>
            </w:pPr>
            <w:r>
              <w:rPr>
                <w:rFonts w:cs="宋体"/>
                <w:b/>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kern w:val="2"/>
                <w:sz w:val="16"/>
                <w:szCs w:val="16"/>
              </w:rPr>
            </w:pPr>
            <w:r>
              <w:rPr>
                <w:rFonts w:cs="宋体"/>
                <w:b/>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kern w:val="2"/>
                <w:sz w:val="16"/>
                <w:szCs w:val="16"/>
              </w:rPr>
            </w:pPr>
            <w:r>
              <w:rPr>
                <w:rFonts w:cs="宋体"/>
                <w:b/>
                <w:kern w:val="2"/>
                <w:sz w:val="16"/>
                <w:szCs w:val="16"/>
              </w:rPr>
              <w:t>五、机关运行经费</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hint="default" w:ascii="Times New Roman" w:hAnsi="Times New Roman"/>
                <w:kern w:val="2"/>
                <w:sz w:val="18"/>
                <w:szCs w:val="18"/>
              </w:rPr>
              <w:t>5.55</w:t>
            </w:r>
            <w:r>
              <w:rPr>
                <w:rFonts w:ascii="Times New Roman" w:hAnsi="Times New Roman"/>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hint="default" w:ascii="Times New Roman" w:hAnsi="Times New Roman"/>
                <w:kern w:val="2"/>
                <w:sz w:val="18"/>
                <w:szCs w:val="18"/>
              </w:rPr>
              <w:t>5.55</w:t>
            </w: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（一）行政单位</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（二）参照公务员法管理事业单位</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hint="default" w:ascii="Times New Roman" w:hAnsi="Times New Roman"/>
                <w:kern w:val="2"/>
                <w:sz w:val="18"/>
                <w:szCs w:val="18"/>
              </w:rPr>
              <w:t>5.55</w:t>
            </w:r>
            <w:r>
              <w:rPr>
                <w:rFonts w:ascii="Times New Roman" w:hAnsi="Times New Roman"/>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hint="default" w:ascii="Times New Roman" w:hAnsi="Times New Roman"/>
                <w:kern w:val="2"/>
                <w:sz w:val="18"/>
                <w:szCs w:val="18"/>
              </w:rPr>
              <w:t>5.55</w:t>
            </w: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六、资产信息</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sz w:val="18"/>
                <w:szCs w:val="18"/>
              </w:rPr>
            </w:pPr>
            <w:r>
              <w:rPr>
                <w:rFonts w:hint="default" w:ascii="Times New Roman" w:hAnsi="Times New Roman"/>
                <w:sz w:val="18"/>
                <w:szCs w:val="18"/>
              </w:rPr>
              <w:t>—</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（一）车辆数合计（辆）</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hint="default" w:ascii="Times New Roman" w:hAnsi="Times New Roman"/>
                <w:sz w:val="18"/>
                <w:szCs w:val="18"/>
              </w:rPr>
              <w:t>1</w:t>
            </w: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hint="default" w:ascii="Times New Roman" w:hAnsi="Times New Roman"/>
                <w:kern w:val="2"/>
                <w:sz w:val="18"/>
                <w:szCs w:val="18"/>
              </w:rPr>
              <w:t>5.55</w:t>
            </w:r>
            <w:r>
              <w:rPr>
                <w:rFonts w:ascii="Times New Roman" w:hAnsi="Times New Roman"/>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hint="default" w:ascii="Times New Roman" w:hAnsi="Times New Roman"/>
                <w:kern w:val="2"/>
                <w:sz w:val="18"/>
                <w:szCs w:val="18"/>
              </w:rPr>
              <w:t>5.55</w:t>
            </w: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1．副部（省）级及以上领导用车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2．主要领导干部用车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3．机要通信用车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4．应急保障用车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hint="default" w:ascii="Times New Roman" w:hAnsi="Times New Roman"/>
                <w:sz w:val="18"/>
                <w:szCs w:val="18"/>
              </w:rPr>
              <w:t>1</w:t>
            </w: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5．执法执勤用车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6．特种专业技术用车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7．离退休干部用车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8．其他用车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（二）单价100万元（含）以上设备（不含车辆）</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hint="default" w:ascii="Times New Roman" w:hAnsi="Times New Roman"/>
                <w:kern w:val="2"/>
                <w:sz w:val="18"/>
                <w:szCs w:val="18"/>
              </w:rPr>
              <w:t>1</w:t>
            </w: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七、政府采购支出信息</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sz w:val="18"/>
                <w:szCs w:val="18"/>
              </w:rPr>
            </w:pPr>
            <w:r>
              <w:rPr>
                <w:rFonts w:hint="default" w:ascii="Times New Roman" w:hAnsi="Times New Roman"/>
                <w:sz w:val="18"/>
                <w:szCs w:val="18"/>
              </w:rPr>
              <w:t>—</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（一）政府采购支出合计</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1．政府采购货物支出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2．政府采购工程支出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3．政府采购服务支出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（二）政府采购授予中小企业合同金额</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其中：授予小微企业合同金额</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86"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kern w:val="2"/>
                <w:sz w:val="16"/>
                <w:szCs w:val="16"/>
              </w:rPr>
            </w:pPr>
            <w:r>
              <w:rPr>
                <w:rFonts w:cs="宋体"/>
                <w:b/>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kern w:val="2"/>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kern w:val="2"/>
                <w:sz w:val="16"/>
                <w:szCs w:val="16"/>
              </w:rPr>
            </w:pPr>
          </w:p>
        </w:tc>
      </w:tr>
      <w:tr>
        <w:tblPrEx>
          <w:tblLayout w:type="fixed"/>
          <w:tblCellMar>
            <w:top w:w="0" w:type="dxa"/>
            <w:left w:w="170" w:type="dxa"/>
            <w:bottom w:w="0" w:type="dxa"/>
            <w:right w:w="170" w:type="dxa"/>
          </w:tblCellMar>
        </w:tblPrEx>
        <w:trPr>
          <w:trHeight w:val="389"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kern w:val="2"/>
                <w:sz w:val="16"/>
                <w:szCs w:val="16"/>
              </w:rPr>
            </w:pPr>
            <w:r>
              <w:rPr>
                <w:rFonts w:cs="宋体"/>
                <w:b/>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hint="default" w:ascii="Times New Roman" w:hAnsi="Times New Roman"/>
                <w:kern w:val="2"/>
                <w:sz w:val="18"/>
                <w:szCs w:val="18"/>
              </w:rPr>
              <w:t>18.04</w:t>
            </w: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kern w:val="2"/>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kern w:val="2"/>
                <w:sz w:val="16"/>
                <w:szCs w:val="16"/>
              </w:rPr>
            </w:pPr>
          </w:p>
        </w:tc>
      </w:tr>
      <w:tr>
        <w:tblPrEx>
          <w:tblLayout w:type="fixed"/>
          <w:tblCellMar>
            <w:top w:w="0" w:type="dxa"/>
            <w:left w:w="170" w:type="dxa"/>
            <w:bottom w:w="0" w:type="dxa"/>
            <w:right w:w="170" w:type="dxa"/>
          </w:tblCellMar>
        </w:tblPrEx>
        <w:trPr>
          <w:trHeight w:val="389"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sz w:val="16"/>
                <w:szCs w:val="16"/>
              </w:rPr>
            </w:pPr>
            <w:r>
              <w:rPr>
                <w:rFonts w:cs="宋体"/>
                <w:b/>
                <w:bCs/>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sz w:val="18"/>
                <w:szCs w:val="18"/>
              </w:rPr>
            </w:pPr>
            <w:r>
              <w:rPr>
                <w:rFonts w:hint="default" w:ascii="Times New Roman" w:hAnsi="Times New Roman"/>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hint="default" w:ascii="Times New Roman" w:hAnsi="Times New Roman"/>
                <w:sz w:val="18"/>
                <w:szCs w:val="18"/>
              </w:rPr>
              <w:t>12.66</w:t>
            </w:r>
            <w:r>
              <w:rPr>
                <w:rFonts w:ascii="Times New Roman" w:hAnsi="Times New Roman"/>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sz w:val="16"/>
                <w:szCs w:val="16"/>
              </w:rPr>
            </w:pPr>
          </w:p>
        </w:tc>
      </w:tr>
    </w:tbl>
    <w:p>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Arial Unicode MS"/>
    <w:panose1 w:val="02000000000000000000"/>
    <w:charset w:val="86"/>
    <w:family w:val="script"/>
    <w:pitch w:val="default"/>
    <w:sig w:usb0="00000000" w:usb1="00000000" w:usb2="00000000" w:usb3="00000000" w:csb0="00000000" w:csb1="00000000"/>
  </w:font>
  <w:font w:name="方正黑体_GBK">
    <w:altName w:val="Arial Unicode MS"/>
    <w:panose1 w:val="02010600010101010101"/>
    <w:charset w:val="86"/>
    <w:family w:val="script"/>
    <w:pitch w:val="default"/>
    <w:sig w:usb0="00000000" w:usb1="00000000" w:usb2="00000000" w:usb3="00000000" w:csb0="00000000" w:csb1="00000000"/>
  </w:font>
  <w:font w:name="方正楷体_GBK">
    <w:altName w:val="Arial Unicode MS"/>
    <w:panose1 w:val="02000000000000000000"/>
    <w:charset w:val="86"/>
    <w:family w:val="script"/>
    <w:pitch w:val="default"/>
    <w:sig w:usb0="00000000" w:usb1="00000000" w:usb2="00000000" w:usb3="00000000" w:csb0="00000000" w:csb1="00000000"/>
  </w:font>
  <w:font w:name="方正仿宋_GBK">
    <w:altName w:val="Arial Unicode MS"/>
    <w:panose1 w:val="02000000000000000000"/>
    <w:charset w:val="86"/>
    <w:family w:val="script"/>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0.5pt" joinstyle="miter"/>
          <v:imagedata o:title=""/>
          <o:lock v:ext="edit"/>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- 5 -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w:pict>
        <v:shape id="_x0000_s4098" o:spid="_x0000_s4098" o:spt="202" type="#_x0000_t202" style="position:absolute;left:0pt;margin-top:0pt;height:144pt;width:144pt;mso-position-horizontal:center;mso-position-horizontal-relative:margin;mso-wrap-style:none;z-index:251661312;mso-width-relative:page;mso-height-relative:page;" filled="f" stroked="f" coordsize="21600,21600" o:allowoverlap="f">
          <v:path/>
          <v:fill on="f" focussize="0,0"/>
          <v:stroke on="f" weight="0.5pt" joinstyle="miter"/>
          <v:imagedata o:title=""/>
          <o:lock v:ext="edit"/>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11 -</w:t>
                </w:r>
                <w:r>
                  <w:fldChar w:fldCharType="end"/>
                </w:r>
                <w:r>
                  <w:t xml:space="preserve"> </w:t>
                </w:r>
              </w:p>
            </w:txbxContent>
          </v:textbox>
        </v:shape>
      </w:pict>
    </w:r>
    <w:r>
      <w:rPr>
        <w:rFonts w:hint="default"/>
      </w:rPr>
      <w:pict>
        <v:shape id="_x0000_s4099" o:spid="_x0000_s4099"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v:path/>
          <v:fill on="f" focussize="0,0"/>
          <v:stroke on="f" weight="0.5pt" joinstyle="miter"/>
          <v:imagedata o:title=""/>
          <o:lock v:ext="edit"/>
          <v:textbox inset="0mm,0mm,0mm,0mm">
            <w:txbxContent>
              <w:p>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20"/>
  <w:drawingGridVerticalSpacing w:val="163"/>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172A27"/>
    <w:rsid w:val="000239C6"/>
    <w:rsid w:val="00044E13"/>
    <w:rsid w:val="001D3BB7"/>
    <w:rsid w:val="00217591"/>
    <w:rsid w:val="002764A5"/>
    <w:rsid w:val="002B254B"/>
    <w:rsid w:val="0034050A"/>
    <w:rsid w:val="0044504F"/>
    <w:rsid w:val="00466C9B"/>
    <w:rsid w:val="00486CFC"/>
    <w:rsid w:val="00491DDD"/>
    <w:rsid w:val="00550ABE"/>
    <w:rsid w:val="00623A85"/>
    <w:rsid w:val="00696357"/>
    <w:rsid w:val="00770383"/>
    <w:rsid w:val="007819D4"/>
    <w:rsid w:val="007B419D"/>
    <w:rsid w:val="007B7C4B"/>
    <w:rsid w:val="007D3D39"/>
    <w:rsid w:val="00984C6A"/>
    <w:rsid w:val="00994AF7"/>
    <w:rsid w:val="009B67B8"/>
    <w:rsid w:val="009C14C9"/>
    <w:rsid w:val="009D2B67"/>
    <w:rsid w:val="009E1452"/>
    <w:rsid w:val="00A13922"/>
    <w:rsid w:val="00A566F9"/>
    <w:rsid w:val="00AF2751"/>
    <w:rsid w:val="00B03CCD"/>
    <w:rsid w:val="00BE2B89"/>
    <w:rsid w:val="00BF0D89"/>
    <w:rsid w:val="00C10E9E"/>
    <w:rsid w:val="00C20C3E"/>
    <w:rsid w:val="00C5163E"/>
    <w:rsid w:val="00CE2C59"/>
    <w:rsid w:val="00CF2ACF"/>
    <w:rsid w:val="00D03AAF"/>
    <w:rsid w:val="00DD0539"/>
    <w:rsid w:val="00E07662"/>
    <w:rsid w:val="00E368E9"/>
    <w:rsid w:val="00ED0D2F"/>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2C0773"/>
    <w:rsid w:val="21556F04"/>
    <w:rsid w:val="22403BD3"/>
    <w:rsid w:val="22AD3177"/>
    <w:rsid w:val="235417B6"/>
    <w:rsid w:val="24B92327"/>
    <w:rsid w:val="24C14514"/>
    <w:rsid w:val="252D4D73"/>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0BE67FD"/>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31261E"/>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504B6EAA"/>
    <w:rsid w:val="50F06B6E"/>
    <w:rsid w:val="51D21804"/>
    <w:rsid w:val="52234D33"/>
    <w:rsid w:val="522F6E0C"/>
    <w:rsid w:val="52463BA1"/>
    <w:rsid w:val="52F163D4"/>
    <w:rsid w:val="531A2DB4"/>
    <w:rsid w:val="53C0244D"/>
    <w:rsid w:val="53DD4D4E"/>
    <w:rsid w:val="53E578CE"/>
    <w:rsid w:val="541330F0"/>
    <w:rsid w:val="54272666"/>
    <w:rsid w:val="543B029D"/>
    <w:rsid w:val="547D5A21"/>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EFC4D46"/>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CB6334F"/>
    <w:rsid w:val="6D903FF5"/>
    <w:rsid w:val="6DA955B8"/>
    <w:rsid w:val="6DE346AB"/>
    <w:rsid w:val="6DE5391A"/>
    <w:rsid w:val="6EFD1324"/>
    <w:rsid w:val="6F5A53AC"/>
    <w:rsid w:val="6FAC003D"/>
    <w:rsid w:val="6FD926BF"/>
    <w:rsid w:val="6FE55E12"/>
    <w:rsid w:val="6FFB2E76"/>
    <w:rsid w:val="708F6F7F"/>
    <w:rsid w:val="70D94BD3"/>
    <w:rsid w:val="713555DF"/>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basedOn w:val="9"/>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emf"/><Relationship Id="rId7" Type="http://schemas.openxmlformats.org/officeDocument/2006/relationships/image" Target="media/image1.emf"/><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7"/>
    <customShpInfo spid="_x0000_s4098"/>
    <customShpInfo spid="_x0000_s4099"/>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385C045-0BE1-49A4-8EA6-E3984E9F8D75}">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24</Pages>
  <Words>8774</Words>
  <Characters>12301</Characters>
  <Lines>110</Lines>
  <Paragraphs>31</Paragraphs>
  <TotalTime>1</TotalTime>
  <ScaleCrop>false</ScaleCrop>
  <LinksUpToDate>false</LinksUpToDate>
  <CharactersWithSpaces>13484</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2025-09-22T07:41:36Z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BB46EABDBB2749749395447164B066B3_12</vt:lpwstr>
  </property>
  <property fmtid="{D5CDD505-2E9C-101B-9397-08002B2CF9AE}" pid="4" name="KSOTemplateDocerSaveRecord">
    <vt:lpwstr>eyJoZGlkIjoiNjM0Zjk5YTc4NjQ1NmYyOGViZjRkNWIzZWJhYTE3YWEiLCJ1c2VySWQiOiIzODk0NTM2OTAifQ==</vt:lpwstr>
  </property>
</Properties>
</file>