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600" w:lineRule="exact"/>
        <w:ind w:firstLine="2640" w:firstLineChars="600"/>
        <w:rPr>
          <w:rFonts w:ascii="Times New Roman" w:hAnsi="Times New Roman" w:eastAsia="方正小标宋_GBK"/>
          <w:sz w:val="44"/>
          <w:szCs w:val="44"/>
        </w:rPr>
      </w:pPr>
      <w:r>
        <w:rPr>
          <w:rFonts w:ascii="Times New Roman" w:hAnsi="Times New Roman" w:eastAsia="方正小标宋_GBK"/>
          <w:sz w:val="44"/>
          <w:szCs w:val="44"/>
        </w:rPr>
        <w:t>垫江县长龙小学校</w:t>
      </w: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202</w:t>
      </w:r>
      <w:r>
        <w:rPr>
          <w:rFonts w:hint="eastAsia" w:ascii="Times New Roman" w:hAnsi="Times New Roman" w:eastAsia="方正小标宋_GBK"/>
          <w:sz w:val="44"/>
          <w:szCs w:val="44"/>
        </w:rPr>
        <w:t>6</w:t>
      </w:r>
      <w:r>
        <w:rPr>
          <w:rFonts w:ascii="Times New Roman" w:hAnsi="Times New Roman" w:eastAsia="方正小标宋_GBK"/>
          <w:sz w:val="44"/>
          <w:szCs w:val="44"/>
        </w:rPr>
        <w:t>年单位预算情况说明</w:t>
      </w:r>
    </w:p>
    <w:p>
      <w:pPr>
        <w:spacing w:line="600" w:lineRule="exact"/>
        <w:ind w:firstLine="880" w:firstLineChars="200"/>
        <w:jc w:val="center"/>
        <w:rPr>
          <w:rFonts w:ascii="Times New Roman" w:hAnsi="Times New Roman" w:eastAsia="华文中宋"/>
          <w:sz w:val="44"/>
          <w:szCs w:val="44"/>
        </w:rPr>
      </w:pP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一、单位基本情况</w:t>
      </w:r>
    </w:p>
    <w:p>
      <w:pPr>
        <w:spacing w:line="600" w:lineRule="exact"/>
        <w:ind w:firstLine="643" w:firstLineChars="200"/>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（一）职能职责</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1．负责辖区适龄儿童义务教育工作；负责辖区学前儿童教育与保育工作。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受县教育行政部门委托，负责所在乡镇各学校（不含直属学校），做好党的教育方针及教育法规贯彻落实，做好所在乡镇的义务教育，全面推进素质教育。制定并实施本乡镇教育发展规划；负责学校教育教学、教育科研、师资队伍、学校经费收支与校产管理与指导；负责教育统计；负责学校卫生、安全、稳定工作；负责落实其他工作。协助所在乡镇人民政府做好适龄青少年依法接受义务教育的工作。</w:t>
      </w:r>
    </w:p>
    <w:p>
      <w:pPr>
        <w:pStyle w:val="12"/>
        <w:tabs>
          <w:tab w:val="center" w:pos="4153"/>
          <w:tab w:val="left" w:pos="7275"/>
        </w:tabs>
        <w:spacing w:line="600" w:lineRule="exact"/>
        <w:ind w:left="640" w:firstLine="0" w:firstLineChars="0"/>
        <w:jc w:val="left"/>
        <w:rPr>
          <w:rFonts w:ascii="方正楷体_GBK" w:hAnsi="方正楷体_GBK" w:eastAsia="方正楷体_GBK" w:cs="方正楷体_GBK"/>
          <w:b/>
          <w:bCs/>
          <w:sz w:val="32"/>
        </w:rPr>
      </w:pPr>
      <w:r>
        <w:rPr>
          <w:rFonts w:hint="eastAsia" w:ascii="方正楷体_GBK" w:hAnsi="方正楷体_GBK" w:eastAsia="方正楷体_GBK" w:cs="方正楷体_GBK"/>
          <w:b/>
          <w:bCs/>
          <w:sz w:val="32"/>
        </w:rPr>
        <w:t>（二）单位构成</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学校单位领导职数3名(校长1名、副校长2名)，内设机构领导职数4名，内设机构有德育处、教务处、教科处、后勤处。</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二、单位收支总体情况</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（一）收入预算：202</w:t>
      </w:r>
      <w:r>
        <w:rPr>
          <w:rFonts w:hint="eastAsia" w:ascii="Times New Roman" w:hAnsi="Times New Roman" w:eastAsia="方正仿宋_GBK"/>
          <w:sz w:val="32"/>
        </w:rPr>
        <w:t>6</w:t>
      </w:r>
      <w:r>
        <w:rPr>
          <w:rFonts w:ascii="Times New Roman" w:hAnsi="Times New Roman" w:eastAsia="方正仿宋_GBK"/>
          <w:sz w:val="32"/>
        </w:rPr>
        <w:t>年年初预算数1365.44万元，其中：一般公共预算拨款1294.62万元，政府性基金预算拨款0万元，</w:t>
      </w:r>
      <w:r>
        <w:rPr>
          <w:rFonts w:hint="eastAsia" w:ascii="Times New Roman" w:hAnsi="Times New Roman" w:eastAsia="方正仿宋_GBK"/>
          <w:sz w:val="32"/>
        </w:rPr>
        <w:t>财政专户管理资金</w:t>
      </w:r>
      <w:r>
        <w:rPr>
          <w:rFonts w:ascii="Times New Roman" w:hAnsi="Times New Roman" w:eastAsia="方正仿宋_GBK"/>
          <w:sz w:val="32"/>
        </w:rPr>
        <w:t>预算收入22.5</w:t>
      </w:r>
      <w:r>
        <w:rPr>
          <w:rFonts w:hint="eastAsia" w:ascii="Times New Roman" w:hAnsi="Times New Roman" w:eastAsia="方正仿宋_GBK"/>
          <w:sz w:val="32"/>
        </w:rPr>
        <w:t>0</w:t>
      </w:r>
      <w:r>
        <w:rPr>
          <w:rFonts w:ascii="Times New Roman" w:hAnsi="Times New Roman" w:eastAsia="方正仿宋_GBK"/>
          <w:sz w:val="32"/>
        </w:rPr>
        <w:t>万元，事业收入0万元，其他收入40</w:t>
      </w:r>
      <w:r>
        <w:rPr>
          <w:rFonts w:hint="eastAsia" w:ascii="Times New Roman" w:hAnsi="Times New Roman" w:eastAsia="方正仿宋_GBK"/>
          <w:sz w:val="32"/>
        </w:rPr>
        <w:t>.00</w:t>
      </w:r>
      <w:r>
        <w:rPr>
          <w:rFonts w:ascii="Times New Roman" w:hAnsi="Times New Roman" w:eastAsia="方正仿宋_GBK"/>
          <w:sz w:val="32"/>
        </w:rPr>
        <w:t>万元</w:t>
      </w:r>
      <w:r>
        <w:rPr>
          <w:rFonts w:hint="eastAsia" w:ascii="Times New Roman" w:hAnsi="Times New Roman" w:eastAsia="方正仿宋_GBK"/>
          <w:sz w:val="32"/>
        </w:rPr>
        <w:t>，上年结转结余资金8.32万元</w:t>
      </w:r>
      <w:r>
        <w:rPr>
          <w:rFonts w:ascii="Times New Roman" w:hAnsi="Times New Roman" w:eastAsia="方正仿宋_GBK"/>
          <w:sz w:val="32"/>
        </w:rPr>
        <w:t>；收入较去年减少了21.5</w:t>
      </w:r>
      <w:r>
        <w:rPr>
          <w:rFonts w:hint="eastAsia" w:ascii="Times New Roman" w:hAnsi="Times New Roman" w:eastAsia="方正仿宋_GBK"/>
          <w:sz w:val="32"/>
        </w:rPr>
        <w:t>0</w:t>
      </w:r>
      <w:r>
        <w:rPr>
          <w:rFonts w:ascii="Times New Roman" w:hAnsi="Times New Roman" w:eastAsia="方正仿宋_GBK"/>
          <w:sz w:val="32"/>
        </w:rPr>
        <w:t>万元，主要是一般公共预算财政拨款减少了8.52万元，上年结转结余资金等单位资金减少了12.98万元。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（二）支出预算：202</w:t>
      </w:r>
      <w:r>
        <w:rPr>
          <w:rFonts w:hint="eastAsia" w:ascii="Times New Roman" w:hAnsi="Times New Roman" w:eastAsia="方正仿宋_GBK"/>
          <w:sz w:val="32"/>
        </w:rPr>
        <w:t>6</w:t>
      </w:r>
      <w:r>
        <w:rPr>
          <w:rFonts w:ascii="Times New Roman" w:hAnsi="Times New Roman" w:eastAsia="方正仿宋_GBK"/>
          <w:sz w:val="32"/>
        </w:rPr>
        <w:t>年年初预算数1365.44万元，其中：一般公共服务支出</w:t>
      </w:r>
      <w:r>
        <w:rPr>
          <w:rFonts w:hint="eastAsia" w:ascii="Times New Roman" w:hAnsi="Times New Roman" w:eastAsia="方正仿宋_GBK"/>
          <w:sz w:val="32"/>
        </w:rPr>
        <w:t>0</w:t>
      </w:r>
      <w:r>
        <w:rPr>
          <w:rFonts w:ascii="Times New Roman" w:hAnsi="Times New Roman" w:eastAsia="方正仿宋_GBK"/>
          <w:sz w:val="32"/>
        </w:rPr>
        <w:t>万元，教育支出915.16万元，社会保障和就业支出345.32万元，卫生健康支出46.28万元，住房保障支出58.68万元</w:t>
      </w:r>
      <w:r>
        <w:rPr>
          <w:rFonts w:hint="eastAsia" w:ascii="Times New Roman" w:hAnsi="Times New Roman" w:eastAsia="方正仿宋_GBK"/>
          <w:sz w:val="32"/>
        </w:rPr>
        <w:t>，其他支出0万元</w:t>
      </w:r>
      <w:r>
        <w:rPr>
          <w:rFonts w:ascii="Times New Roman" w:hAnsi="Times New Roman" w:eastAsia="方正仿宋_GBK"/>
          <w:sz w:val="32"/>
        </w:rPr>
        <w:t>；支出较去年减少了21.5</w:t>
      </w:r>
      <w:r>
        <w:rPr>
          <w:rFonts w:hint="eastAsia" w:ascii="Times New Roman" w:hAnsi="Times New Roman" w:eastAsia="方正仿宋_GBK"/>
          <w:sz w:val="32"/>
        </w:rPr>
        <w:t>0</w:t>
      </w:r>
      <w:r>
        <w:rPr>
          <w:rFonts w:ascii="Times New Roman" w:hAnsi="Times New Roman" w:eastAsia="方正仿宋_GBK"/>
          <w:sz w:val="32"/>
        </w:rPr>
        <w:t>万元，主要是基本支出增加了0.40万元，项目支出减少了21.9</w:t>
      </w:r>
      <w:r>
        <w:rPr>
          <w:rFonts w:hint="eastAsia" w:ascii="Times New Roman" w:hAnsi="Times New Roman" w:eastAsia="方正仿宋_GBK"/>
          <w:sz w:val="32"/>
        </w:rPr>
        <w:t>0</w:t>
      </w:r>
      <w:r>
        <w:rPr>
          <w:rFonts w:ascii="Times New Roman" w:hAnsi="Times New Roman" w:eastAsia="方正仿宋_GBK"/>
          <w:sz w:val="32"/>
        </w:rPr>
        <w:t>万元。</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三、单位预算情况说明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年一般公共预算财政拨款收入1294.62万元，一般公共预算财政拨款支出1294.62万元，比202</w:t>
      </w:r>
      <w:r>
        <w:rPr>
          <w:rFonts w:hint="eastAsia" w:ascii="Times New Roman" w:hAnsi="Times New Roman" w:eastAsia="方正仿宋_GBK"/>
          <w:sz w:val="32"/>
        </w:rPr>
        <w:t>5</w:t>
      </w:r>
      <w:r>
        <w:rPr>
          <w:rFonts w:ascii="Times New Roman" w:hAnsi="Times New Roman" w:eastAsia="方正仿宋_GBK"/>
          <w:sz w:val="32"/>
        </w:rPr>
        <w:t>年减少了8.52万元。其中：基本支出1207.09万元，比202</w:t>
      </w:r>
      <w:r>
        <w:rPr>
          <w:rFonts w:hint="eastAsia" w:ascii="Times New Roman" w:hAnsi="Times New Roman" w:eastAsia="方正仿宋_GBK"/>
          <w:sz w:val="32"/>
        </w:rPr>
        <w:t>5</w:t>
      </w:r>
      <w:r>
        <w:rPr>
          <w:rFonts w:ascii="Times New Roman" w:hAnsi="Times New Roman" w:eastAsia="方正仿宋_GBK"/>
          <w:sz w:val="32"/>
        </w:rPr>
        <w:t>年增加了13.3</w:t>
      </w:r>
      <w:r>
        <w:rPr>
          <w:rFonts w:hint="eastAsia" w:ascii="Times New Roman" w:hAnsi="Times New Roman" w:eastAsia="方正仿宋_GBK"/>
          <w:sz w:val="32"/>
        </w:rPr>
        <w:t>8</w:t>
      </w:r>
      <w:r>
        <w:rPr>
          <w:rFonts w:ascii="Times New Roman" w:hAnsi="Times New Roman" w:eastAsia="方正仿宋_GBK"/>
          <w:sz w:val="32"/>
        </w:rPr>
        <w:t>万元，主要原因是教职工正常晋升、职级变化等人员经费增加，主要用于保障在职人员工资福利及社会保险缴费、离休人员离休费、退休人员补助等，保障</w:t>
      </w:r>
      <w:r>
        <w:rPr>
          <w:rFonts w:hint="eastAsia" w:ascii="Times New Roman" w:hAnsi="Times New Roman" w:eastAsia="方正仿宋_GBK"/>
          <w:sz w:val="32"/>
        </w:rPr>
        <w:t>工会经费、福利费用和培训费用的</w:t>
      </w:r>
      <w:r>
        <w:rPr>
          <w:rFonts w:ascii="Times New Roman" w:hAnsi="Times New Roman" w:eastAsia="方正仿宋_GBK"/>
          <w:sz w:val="32"/>
        </w:rPr>
        <w:t>支出；项目支出87.53万元，比202</w:t>
      </w:r>
      <w:r>
        <w:rPr>
          <w:rFonts w:hint="eastAsia" w:ascii="Times New Roman" w:hAnsi="Times New Roman" w:eastAsia="方正仿宋_GBK"/>
          <w:sz w:val="32"/>
        </w:rPr>
        <w:t>5</w:t>
      </w:r>
      <w:r>
        <w:rPr>
          <w:rFonts w:ascii="Times New Roman" w:hAnsi="Times New Roman" w:eastAsia="方正仿宋_GBK"/>
          <w:sz w:val="32"/>
        </w:rPr>
        <w:t>年减少了21.9</w:t>
      </w:r>
      <w:r>
        <w:rPr>
          <w:rFonts w:hint="eastAsia" w:ascii="Times New Roman" w:hAnsi="Times New Roman" w:eastAsia="方正仿宋_GBK"/>
          <w:sz w:val="32"/>
        </w:rPr>
        <w:t>0</w:t>
      </w:r>
      <w:r>
        <w:rPr>
          <w:rFonts w:ascii="Times New Roman" w:hAnsi="Times New Roman" w:eastAsia="方正仿宋_GBK"/>
          <w:sz w:val="32"/>
        </w:rPr>
        <w:t>万元，主要原因是校舍维修维护经费减少，主要用于</w:t>
      </w:r>
      <w:r>
        <w:rPr>
          <w:rFonts w:hint="eastAsia" w:ascii="Times New Roman" w:hAnsi="Times New Roman" w:eastAsia="方正仿宋_GBK"/>
          <w:sz w:val="32"/>
        </w:rPr>
        <w:t>学校正常运行所需的各种商品服务费的支出和教学、办公设备采购，校舍维修，改扩建等</w:t>
      </w:r>
      <w:r>
        <w:rPr>
          <w:rFonts w:ascii="Times New Roman" w:hAnsi="Times New Roman" w:eastAsia="方正仿宋_GBK"/>
          <w:sz w:val="32"/>
        </w:rPr>
        <w:t>重点工作。</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年政府性基金预算收入0万元，政府性基金预算支出0万元，与2025年持平，2026年我单位无使用政府性基金预算拨款安排的支出</w:t>
      </w:r>
      <w:r>
        <w:rPr>
          <w:rFonts w:hint="eastAsia" w:ascii="Times New Roman" w:hAnsi="Times New Roman" w:eastAsia="方正仿宋_GBK"/>
          <w:sz w:val="32"/>
        </w:rPr>
        <w:t>。</w:t>
      </w:r>
    </w:p>
    <w:p>
      <w:pPr>
        <w:spacing w:line="600" w:lineRule="exact"/>
        <w:ind w:firstLine="640" w:firstLineChars="200"/>
        <w:rPr>
          <w:rFonts w:ascii="Times New Roman" w:hAnsi="Times New Roman" w:eastAsia="方正仿宋_GBK"/>
          <w:sz w:val="32"/>
        </w:rPr>
      </w:pPr>
      <w:r>
        <w:rPr>
          <w:rFonts w:ascii="Times New Roman" w:hAnsi="Times New Roman" w:eastAsia="方正黑体_GBK"/>
          <w:sz w:val="32"/>
        </w:rPr>
        <w:t>四、“三公”经费情况说明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202</w:t>
      </w:r>
      <w:r>
        <w:rPr>
          <w:rFonts w:hint="eastAsia" w:ascii="Times New Roman" w:hAnsi="Times New Roman" w:eastAsia="方正仿宋_GBK"/>
          <w:sz w:val="32"/>
        </w:rPr>
        <w:t>6</w:t>
      </w:r>
      <w:r>
        <w:rPr>
          <w:rFonts w:ascii="Times New Roman" w:hAnsi="Times New Roman" w:eastAsia="方正仿宋_GBK"/>
          <w:sz w:val="32"/>
        </w:rPr>
        <w:t>年“三公”经费预算</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。其中：因公出国（境）费用</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；公务接待费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；公务用车运行维护费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；公务用车购置费</w:t>
      </w:r>
      <w:r>
        <w:rPr>
          <w:rFonts w:hint="eastAsia" w:ascii="Times New Roman" w:hAnsi="Times New Roman" w:eastAsia="方正仿宋_GBK"/>
          <w:sz w:val="32"/>
        </w:rPr>
        <w:t>0</w:t>
      </w:r>
      <w:r>
        <w:rPr>
          <w:rFonts w:ascii="Times New Roman" w:hAnsi="Times New Roman" w:eastAsia="方正仿宋_GBK"/>
          <w:sz w:val="32"/>
        </w:rPr>
        <w:t>万元，</w:t>
      </w:r>
      <w:r>
        <w:rPr>
          <w:rFonts w:hint="eastAsia" w:ascii="Times New Roman" w:hAnsi="Times New Roman" w:eastAsia="方正仿宋_GBK"/>
          <w:sz w:val="32"/>
        </w:rPr>
        <w:t>与</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w:t>
      </w:r>
      <w:r>
        <w:rPr>
          <w:rFonts w:hint="eastAsia" w:ascii="Times New Roman" w:hAnsi="Times New Roman" w:eastAsia="方正仿宋_GBK"/>
          <w:sz w:val="32"/>
        </w:rPr>
        <w:t>持平</w:t>
      </w:r>
      <w:r>
        <w:rPr>
          <w:rFonts w:ascii="Times New Roman" w:hAnsi="Times New Roman" w:eastAsia="方正仿宋_GBK"/>
          <w:sz w:val="32"/>
        </w:rPr>
        <w:t>；主要原因是</w:t>
      </w:r>
      <w:r>
        <w:rPr>
          <w:rFonts w:hint="eastAsia" w:ascii="Times New Roman" w:hAnsi="Times New Roman" w:eastAsia="方正仿宋_GBK"/>
          <w:sz w:val="32"/>
        </w:rPr>
        <w:t>我单位无</w:t>
      </w:r>
      <w:r>
        <w:rPr>
          <w:rFonts w:ascii="Times New Roman" w:hAnsi="Times New Roman" w:eastAsia="方正黑体_GBK"/>
          <w:sz w:val="32"/>
        </w:rPr>
        <w:t>“</w:t>
      </w:r>
      <w:r>
        <w:rPr>
          <w:rFonts w:ascii="Times New Roman" w:hAnsi="Times New Roman" w:eastAsia="方正仿宋_GBK"/>
          <w:sz w:val="32"/>
        </w:rPr>
        <w:t>三公”经费</w:t>
      </w:r>
      <w:r>
        <w:rPr>
          <w:rFonts w:hint="eastAsia" w:ascii="Times New Roman" w:hAnsi="Times New Roman" w:eastAsia="方正仿宋_GBK"/>
          <w:sz w:val="32"/>
        </w:rPr>
        <w:t>的预算收支。</w:t>
      </w:r>
    </w:p>
    <w:p>
      <w:pPr>
        <w:spacing w:line="600" w:lineRule="exact"/>
        <w:ind w:firstLine="640" w:firstLineChars="200"/>
        <w:rPr>
          <w:rFonts w:ascii="Times New Roman" w:hAnsi="Times New Roman" w:eastAsia="方正黑体_GBK"/>
          <w:sz w:val="32"/>
        </w:rPr>
      </w:pPr>
      <w:r>
        <w:rPr>
          <w:rFonts w:ascii="Times New Roman" w:hAnsi="Times New Roman" w:eastAsia="方正黑体_GBK"/>
          <w:sz w:val="32"/>
        </w:rPr>
        <w:t>五、其他重要事项的情况说明</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（一）我单位不在机关运行经费统计范围之内。</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（二）政府采购情况。</w:t>
      </w:r>
      <w:r>
        <w:rPr>
          <w:rFonts w:hint="eastAsia" w:ascii="Times New Roman" w:hAnsi="Times New Roman" w:eastAsia="方正仿宋_GBK"/>
          <w:sz w:val="32"/>
        </w:rPr>
        <w:t>我</w:t>
      </w:r>
      <w:r>
        <w:rPr>
          <w:rFonts w:ascii="Times New Roman" w:hAnsi="Times New Roman" w:eastAsia="方正仿宋_GBK"/>
          <w:sz w:val="32"/>
        </w:rPr>
        <w:t>单位政府采购预算总额2.98万元：政府采购货物预算2.98万元、政府采购工程预算0万元、政府采购服务预算0万元；其中一般公共预算拨款政府采购2.98万元：政府采购货物预算2.98万元、政府采购工程预算0万元、政府采购服务预算0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（三）绩效目标设置情况。202</w:t>
      </w:r>
      <w:r>
        <w:rPr>
          <w:rFonts w:hint="eastAsia" w:ascii="Times New Roman" w:hAnsi="Times New Roman" w:eastAsia="方正仿宋_GBK"/>
          <w:sz w:val="32"/>
        </w:rPr>
        <w:t>6</w:t>
      </w:r>
      <w:r>
        <w:rPr>
          <w:rFonts w:ascii="Times New Roman" w:hAnsi="Times New Roman" w:eastAsia="方正仿宋_GBK"/>
          <w:sz w:val="32"/>
        </w:rPr>
        <w:t>年项目支出均实行了绩效目标管理，涉及一般公共预算当年财政拨款87.53万元。</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（四）国有资产占有使用情况。</w:t>
      </w:r>
      <w:r>
        <w:rPr>
          <w:rFonts w:hint="default" w:ascii="Times New Roman" w:hAnsi="Times New Roman" w:eastAsia="方正仿宋_GBK" w:cs="Times New Roman"/>
          <w:sz w:val="32"/>
        </w:rPr>
        <w:t>截</w:t>
      </w:r>
      <w:r>
        <w:rPr>
          <w:rFonts w:hint="eastAsia" w:ascii="Times New Roman" w:hAnsi="Times New Roman" w:eastAsia="方正仿宋_GBK" w:cs="Times New Roman"/>
          <w:sz w:val="32"/>
          <w:lang w:eastAsia="zh-CN"/>
        </w:rPr>
        <w:t>至</w:t>
      </w:r>
      <w:r>
        <w:rPr>
          <w:rFonts w:ascii="Times New Roman" w:hAnsi="Times New Roman" w:eastAsia="方正仿宋_GBK"/>
          <w:sz w:val="32"/>
        </w:rPr>
        <w:t>202</w:t>
      </w:r>
      <w:r>
        <w:rPr>
          <w:rFonts w:hint="eastAsia" w:ascii="Times New Roman" w:hAnsi="Times New Roman" w:eastAsia="方正仿宋_GBK"/>
          <w:sz w:val="32"/>
        </w:rPr>
        <w:t>5</w:t>
      </w:r>
      <w:r>
        <w:rPr>
          <w:rFonts w:ascii="Times New Roman" w:hAnsi="Times New Roman" w:eastAsia="方正仿宋_GBK"/>
          <w:sz w:val="32"/>
        </w:rPr>
        <w:t>年12月，</w:t>
      </w:r>
      <w:r>
        <w:rPr>
          <w:rFonts w:hint="eastAsia" w:ascii="Times New Roman" w:hAnsi="Times New Roman" w:eastAsia="方正仿宋_GBK"/>
          <w:sz w:val="32"/>
        </w:rPr>
        <w:t>我</w:t>
      </w:r>
      <w:r>
        <w:rPr>
          <w:rFonts w:ascii="Times New Roman" w:hAnsi="Times New Roman" w:eastAsia="方正仿宋_GBK"/>
          <w:sz w:val="32"/>
        </w:rPr>
        <w:t>单位共有车辆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辆。202</w:t>
      </w:r>
      <w:r>
        <w:rPr>
          <w:rFonts w:hint="eastAsia" w:ascii="Times New Roman" w:hAnsi="Times New Roman" w:eastAsia="方正仿宋_GBK"/>
          <w:sz w:val="32"/>
        </w:rPr>
        <w:t>6</w:t>
      </w:r>
      <w:r>
        <w:rPr>
          <w:rFonts w:ascii="Times New Roman" w:hAnsi="Times New Roman" w:eastAsia="方正仿宋_GBK"/>
          <w:sz w:val="32"/>
        </w:rPr>
        <w:t>年一般公共预算安排购置车辆</w:t>
      </w:r>
      <w:r>
        <w:rPr>
          <w:rFonts w:hint="eastAsia" w:ascii="Times New Roman" w:hAnsi="Times New Roman" w:eastAsia="方正仿宋_GBK"/>
          <w:sz w:val="32"/>
        </w:rPr>
        <w:t>0</w:t>
      </w:r>
      <w:r>
        <w:rPr>
          <w:rFonts w:ascii="Times New Roman" w:hAnsi="Times New Roman" w:eastAsia="方正仿宋_GBK"/>
          <w:sz w:val="32"/>
        </w:rPr>
        <w:t>辆，其中一般公务用车</w:t>
      </w:r>
      <w:r>
        <w:rPr>
          <w:rFonts w:hint="eastAsia" w:ascii="Times New Roman" w:hAnsi="Times New Roman" w:eastAsia="方正仿宋_GBK"/>
          <w:sz w:val="32"/>
        </w:rPr>
        <w:t>0</w:t>
      </w:r>
      <w:r>
        <w:rPr>
          <w:rFonts w:ascii="Times New Roman" w:hAnsi="Times New Roman" w:eastAsia="方正仿宋_GBK"/>
          <w:sz w:val="32"/>
        </w:rPr>
        <w:t>辆、执勤执法用车</w:t>
      </w:r>
      <w:r>
        <w:rPr>
          <w:rFonts w:hint="eastAsia" w:ascii="Times New Roman" w:hAnsi="Times New Roman" w:eastAsia="方正仿宋_GBK"/>
          <w:sz w:val="32"/>
        </w:rPr>
        <w:t>0</w:t>
      </w:r>
      <w:r>
        <w:rPr>
          <w:rFonts w:ascii="Times New Roman" w:hAnsi="Times New Roman" w:eastAsia="方正仿宋_GBK"/>
          <w:sz w:val="32"/>
        </w:rPr>
        <w:t>辆。</w:t>
      </w:r>
    </w:p>
    <w:p>
      <w:pPr>
        <w:spacing w:line="600" w:lineRule="exact"/>
        <w:ind w:firstLine="640" w:firstLineChars="200"/>
        <w:rPr>
          <w:rFonts w:ascii="Times New Roman" w:hAnsi="Times New Roman" w:eastAsia="方正仿宋_GBK"/>
          <w:sz w:val="32"/>
        </w:rPr>
      </w:pPr>
      <w:r>
        <w:rPr>
          <w:rFonts w:hint="eastAsia" w:ascii="方正仿宋_GBK" w:hAnsi="方正仿宋_GBK" w:eastAsia="方正仿宋_GBK" w:cs="方正仿宋_GBK"/>
          <w:sz w:val="32"/>
        </w:rPr>
        <w:t>（五）委托业务费使用情况。</w:t>
      </w:r>
      <w:r>
        <w:rPr>
          <w:rFonts w:ascii="Times New Roman" w:hAnsi="Times New Roman" w:eastAsia="方正仿宋_GBK"/>
          <w:sz w:val="32"/>
        </w:rPr>
        <w:t>2026</w:t>
      </w:r>
      <w:r>
        <w:rPr>
          <w:rFonts w:hint="eastAsia" w:ascii="方正仿宋_GBK" w:hAnsi="方正仿宋_GBK" w:eastAsia="方正仿宋_GBK" w:cs="方正仿宋_GBK"/>
          <w:sz w:val="32"/>
        </w:rPr>
        <w:t>年财政拨款委托业务费支出0万元，主要是</w:t>
      </w:r>
      <w:r>
        <w:rPr>
          <w:rFonts w:ascii="Times New Roman" w:hAnsi="Times New Roman" w:eastAsia="方正仿宋_GBK"/>
          <w:sz w:val="32"/>
        </w:rPr>
        <w:t>2026</w:t>
      </w:r>
      <w:r>
        <w:rPr>
          <w:rFonts w:hint="eastAsia" w:ascii="方正仿宋_GBK" w:hAnsi="方正仿宋_GBK" w:eastAsia="方正仿宋_GBK" w:cs="方正仿宋_GBK"/>
          <w:sz w:val="32"/>
        </w:rPr>
        <w:t>年未安排委托业务相关的预算支出。</w:t>
      </w:r>
    </w:p>
    <w:p>
      <w:pPr>
        <w:pStyle w:val="11"/>
        <w:tabs>
          <w:tab w:val="center" w:pos="4153"/>
          <w:tab w:val="left" w:pos="7275"/>
        </w:tabs>
        <w:spacing w:line="600" w:lineRule="exact"/>
        <w:ind w:firstLine="640"/>
        <w:jc w:val="left"/>
        <w:rPr>
          <w:rFonts w:ascii="Times New Roman" w:hAnsi="Times New Roman" w:eastAsia="方正黑体_GBK"/>
          <w:sz w:val="32"/>
        </w:rPr>
      </w:pPr>
      <w:r>
        <w:rPr>
          <w:rFonts w:ascii="Times New Roman" w:hAnsi="Times New Roman" w:eastAsia="方正黑体_GBK"/>
          <w:sz w:val="32"/>
        </w:rPr>
        <w:t>六、专业性名词解释</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（一）财政拨款收入：指本年度从本级财政部门取得的财政拨款，包括一般公共预算财政拨款和政府性基金预算财政拨款。</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（二）其他收入：指单位取得的除“财政拨款收入”、“事业收入”、“经营收入”等以外的收入。</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（三）基本支出：指为保障机构正常运转、完成日常工作任务而发生的人员经费和公用经费。</w:t>
      </w:r>
    </w:p>
    <w:p>
      <w:pPr>
        <w:pStyle w:val="11"/>
        <w:tabs>
          <w:tab w:val="center" w:pos="4153"/>
          <w:tab w:val="left" w:pos="7275"/>
        </w:tabs>
        <w:spacing w:line="600" w:lineRule="exact"/>
        <w:ind w:firstLine="640"/>
        <w:jc w:val="left"/>
        <w:rPr>
          <w:rFonts w:ascii="Times New Roman" w:hAnsi="Times New Roman" w:eastAsia="方正仿宋_GBK"/>
          <w:sz w:val="32"/>
          <w:szCs w:val="32"/>
        </w:rPr>
      </w:pPr>
      <w:r>
        <w:rPr>
          <w:rFonts w:ascii="Times New Roman" w:hAnsi="Times New Roman" w:eastAsia="方正仿宋_GBK"/>
          <w:sz w:val="32"/>
          <w:szCs w:val="32"/>
        </w:rPr>
        <w:t>（四）项目支出：指在基本支出之外为完成特定行政任务和事业发展目标所发生的支出。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spacing w:line="600" w:lineRule="exact"/>
        <w:ind w:firstLine="640" w:firstLineChars="200"/>
        <w:rPr>
          <w:rFonts w:ascii="Times New Roman" w:hAnsi="Times New Roman" w:eastAsia="方正仿宋_GBK"/>
          <w:sz w:val="32"/>
        </w:rPr>
      </w:pPr>
      <w:r>
        <w:rPr>
          <w:rFonts w:ascii="Times New Roman" w:hAnsi="Times New Roman" w:eastAsia="方正仿宋_GBK"/>
          <w:sz w:val="32"/>
        </w:rPr>
        <w:t>单位预算公开联系人：张老师   联系方式：023-74510069</w:t>
      </w: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pPr>
    </w:p>
    <w:p>
      <w:pPr>
        <w:spacing w:line="360" w:lineRule="auto"/>
        <w:ind w:firstLine="640" w:firstLineChars="200"/>
        <w:rPr>
          <w:rFonts w:ascii="Times New Roman" w:hAnsi="Times New Roman" w:eastAsia="方正仿宋_GBK"/>
          <w:color w:val="000000"/>
          <w:kern w:val="0"/>
          <w:sz w:val="32"/>
          <w:szCs w:val="32"/>
        </w:rPr>
        <w:sectPr>
          <w:pgSz w:w="11906" w:h="16838"/>
          <w:pgMar w:top="1984" w:right="1446" w:bottom="1644" w:left="1446" w:header="851" w:footer="992" w:gutter="0"/>
          <w:cols w:space="720" w:num="1"/>
          <w:docGrid w:type="lines" w:linePitch="312" w:charSpace="0"/>
        </w:sectPr>
      </w:pP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附表：1.垫江县长龙小学校财政拨款收支总表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2.垫江县长龙小学校一般公共预算财政拨款支出预算表</w:t>
      </w:r>
    </w:p>
    <w:p>
      <w:pPr>
        <w:spacing w:line="360" w:lineRule="auto"/>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3.垫江县长龙小学校一般公共预算财政拨款基本支出预算表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4.垫江县长龙小学校一般公共预算“三公”经费支出表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5.垫江县长龙小学校政府性基金预算支出表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6.垫江县长龙小学校收支总表</w:t>
      </w:r>
    </w:p>
    <w:p>
      <w:pPr>
        <w:spacing w:line="360" w:lineRule="auto"/>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7.垫江县长龙小学校收入总表</w:t>
      </w:r>
    </w:p>
    <w:p>
      <w:pPr>
        <w:spacing w:line="600" w:lineRule="exact"/>
        <w:ind w:firstLine="640" w:firstLineChars="2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 xml:space="preserve">      8.垫江县长龙小学校支出总表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9.垫江县长龙小学校政府采购预算明细表</w:t>
      </w:r>
    </w:p>
    <w:p>
      <w:pPr>
        <w:spacing w:line="600" w:lineRule="exact"/>
        <w:ind w:firstLine="1600" w:firstLineChars="500"/>
        <w:rPr>
          <w:rFonts w:ascii="Times New Roman" w:hAnsi="Times New Roman" w:eastAsia="方正仿宋_GBK"/>
          <w:color w:val="000000"/>
          <w:kern w:val="0"/>
          <w:sz w:val="32"/>
          <w:szCs w:val="32"/>
        </w:rPr>
      </w:pPr>
      <w:r>
        <w:rPr>
          <w:rFonts w:ascii="Times New Roman" w:hAnsi="Times New Roman" w:eastAsia="方正仿宋_GBK"/>
          <w:color w:val="000000"/>
          <w:kern w:val="0"/>
          <w:sz w:val="32"/>
          <w:szCs w:val="32"/>
        </w:rPr>
        <w:t>10.垫江县长龙小学校202</w:t>
      </w:r>
      <w:r>
        <w:rPr>
          <w:rFonts w:hint="eastAsia" w:ascii="Times New Roman" w:hAnsi="Times New Roman" w:eastAsia="方正仿宋_GBK"/>
          <w:color w:val="000000"/>
          <w:kern w:val="0"/>
          <w:sz w:val="32"/>
          <w:szCs w:val="32"/>
        </w:rPr>
        <w:t>6</w:t>
      </w:r>
      <w:r>
        <w:rPr>
          <w:rFonts w:ascii="Times New Roman" w:hAnsi="Times New Roman" w:eastAsia="方正仿宋_GBK"/>
          <w:color w:val="000000"/>
          <w:kern w:val="0"/>
          <w:sz w:val="32"/>
          <w:szCs w:val="32"/>
        </w:rPr>
        <w:t>年项目绩效目标表</w:t>
      </w: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ind w:firstLine="1600" w:firstLineChars="500"/>
        <w:rPr>
          <w:rFonts w:ascii="Times New Roman" w:hAnsi="Times New Roman" w:eastAsia="方正仿宋_GBK"/>
          <w:color w:val="000000"/>
          <w:kern w:val="0"/>
          <w:sz w:val="32"/>
          <w:szCs w:val="32"/>
        </w:rPr>
      </w:pPr>
    </w:p>
    <w:p>
      <w:pPr>
        <w:spacing w:line="600" w:lineRule="exact"/>
        <w:rPr>
          <w:rFonts w:ascii="Times New Roman" w:hAnsi="Times New Roman" w:eastAsia="方正仿宋_GBK"/>
          <w:color w:val="000000"/>
          <w:kern w:val="0"/>
          <w:sz w:val="32"/>
          <w:szCs w:val="32"/>
        </w:rPr>
        <w:sectPr>
          <w:pgSz w:w="16838" w:h="11906" w:orient="landscape"/>
          <w:pgMar w:top="1446" w:right="1984" w:bottom="1446" w:left="1644" w:header="851" w:footer="992" w:gutter="0"/>
          <w:cols w:space="720" w:num="1"/>
          <w:docGrid w:type="lines" w:linePitch="321" w:charSpace="0"/>
        </w:sectPr>
      </w:pPr>
    </w:p>
    <w:p>
      <w:pPr>
        <w:spacing w:line="600" w:lineRule="exact"/>
        <w:jc w:val="center"/>
        <w:rPr>
          <w:rFonts w:ascii="Times New Roman" w:hAnsi="Times New Roman" w:eastAsia="方正仿宋_GBK"/>
          <w:color w:val="000000"/>
          <w:kern w:val="0"/>
          <w:sz w:val="32"/>
          <w:szCs w:val="32"/>
        </w:rPr>
      </w:pPr>
      <w:r>
        <w:drawing>
          <wp:anchor distT="0" distB="0" distL="114300" distR="114300" simplePos="0" relativeHeight="251659264" behindDoc="0" locked="0" layoutInCell="1" allowOverlap="1">
            <wp:simplePos x="0" y="0"/>
            <wp:positionH relativeFrom="column">
              <wp:posOffset>8890</wp:posOffset>
            </wp:positionH>
            <wp:positionV relativeFrom="paragraph">
              <wp:posOffset>277495</wp:posOffset>
            </wp:positionV>
            <wp:extent cx="8386445" cy="4490720"/>
            <wp:effectExtent l="0" t="0" r="14605" b="50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386445" cy="4490720"/>
                    </a:xfrm>
                    <a:prstGeom prst="rect">
                      <a:avLst/>
                    </a:prstGeom>
                    <a:noFill/>
                    <a:ln>
                      <a:noFill/>
                    </a:ln>
                  </pic:spPr>
                </pic:pic>
              </a:graphicData>
            </a:graphic>
          </wp:anchor>
        </w:drawing>
      </w:r>
    </w:p>
    <w:p>
      <w:pPr>
        <w:spacing w:line="600" w:lineRule="exact"/>
        <w:ind w:firstLine="1600" w:firstLineChars="500"/>
        <w:jc w:val="center"/>
        <w:rPr>
          <w:rFonts w:ascii="Times New Roman" w:hAnsi="Times New Roman" w:eastAsia="方正仿宋_GBK"/>
          <w:color w:val="000000"/>
          <w:kern w:val="0"/>
          <w:sz w:val="32"/>
          <w:szCs w:val="32"/>
        </w:rPr>
      </w:pPr>
    </w:p>
    <w:p>
      <w:pPr>
        <w:spacing w:line="600" w:lineRule="exact"/>
        <w:jc w:val="center"/>
        <w:rPr>
          <w:rFonts w:ascii="Times New Roman" w:hAnsi="Times New Roman" w:eastAsia="方正仿宋_GBK"/>
          <w:color w:val="000000"/>
          <w:kern w:val="0"/>
          <w:sz w:val="32"/>
          <w:szCs w:val="32"/>
        </w:rPr>
        <w:sectPr>
          <w:type w:val="continuous"/>
          <w:pgSz w:w="16838" w:h="11906" w:orient="landscape"/>
          <w:pgMar w:top="1446" w:right="1984" w:bottom="1446" w:left="1644" w:header="851" w:footer="992" w:gutter="0"/>
          <w:cols w:space="720" w:num="1"/>
          <w:docGrid w:type="lines" w:linePitch="321" w:charSpace="0"/>
        </w:sectPr>
      </w:pPr>
    </w:p>
    <w:p>
      <w:pPr>
        <w:jc w:val="center"/>
      </w:pPr>
      <w:r>
        <w:drawing>
          <wp:inline distT="0" distB="0" distL="114300" distR="114300">
            <wp:extent cx="5718175" cy="4899025"/>
            <wp:effectExtent l="0" t="0" r="15875" b="158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718175" cy="4899025"/>
                    </a:xfrm>
                    <a:prstGeom prst="rect">
                      <a:avLst/>
                    </a:prstGeom>
                    <a:noFill/>
                    <a:ln>
                      <a:noFill/>
                    </a:ln>
                  </pic:spPr>
                </pic:pic>
              </a:graphicData>
            </a:graphic>
          </wp:inline>
        </w:drawing>
      </w:r>
      <w:r>
        <w:br w:type="page"/>
      </w:r>
    </w:p>
    <w:p>
      <w:pPr>
        <w:jc w:val="center"/>
      </w:pPr>
      <w:r>
        <w:drawing>
          <wp:inline distT="0" distB="0" distL="114300" distR="114300">
            <wp:extent cx="5723255" cy="5006340"/>
            <wp:effectExtent l="0" t="0" r="1079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723255" cy="5006340"/>
                    </a:xfrm>
                    <a:prstGeom prst="rect">
                      <a:avLst/>
                    </a:prstGeom>
                    <a:noFill/>
                    <a:ln>
                      <a:noFill/>
                    </a:ln>
                  </pic:spPr>
                </pic:pic>
              </a:graphicData>
            </a:graphic>
          </wp:inline>
        </w:drawing>
      </w:r>
    </w:p>
    <w:p>
      <w:pPr>
        <w:jc w:val="center"/>
      </w:pPr>
    </w:p>
    <w:p>
      <w:pPr>
        <w:jc w:val="center"/>
        <w:sectPr>
          <w:type w:val="continuous"/>
          <w:pgSz w:w="11906" w:h="16838"/>
          <w:pgMar w:top="1984" w:right="1446" w:bottom="1644" w:left="1446" w:header="851" w:footer="992" w:gutter="0"/>
          <w:cols w:space="0" w:num="1"/>
          <w:docGrid w:type="lines" w:linePitch="321" w:charSpace="0"/>
        </w:sectPr>
      </w:pPr>
      <w:r>
        <w:br w:type="page"/>
      </w:r>
    </w:p>
    <w:p>
      <w:pPr>
        <w:jc w:val="center"/>
      </w:pPr>
      <w:r>
        <w:drawing>
          <wp:inline distT="0" distB="0" distL="114300" distR="114300">
            <wp:extent cx="8386445" cy="2370455"/>
            <wp:effectExtent l="0" t="0" r="14605" b="1079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386445" cy="2370455"/>
                    </a:xfrm>
                    <a:prstGeom prst="rect">
                      <a:avLst/>
                    </a:prstGeom>
                    <a:noFill/>
                    <a:ln>
                      <a:noFill/>
                    </a:ln>
                  </pic:spPr>
                </pic:pic>
              </a:graphicData>
            </a:graphic>
          </wp:inline>
        </w:drawing>
      </w:r>
      <w:r>
        <w:br w:type="page"/>
      </w:r>
    </w:p>
    <w:p>
      <w:pPr>
        <w:jc w:val="center"/>
      </w:pPr>
    </w:p>
    <w:p>
      <w:pPr>
        <w:jc w:val="center"/>
      </w:pPr>
      <w:r>
        <w:drawing>
          <wp:inline distT="0" distB="0" distL="114300" distR="114300">
            <wp:extent cx="7124700" cy="296227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7124700" cy="2962275"/>
                    </a:xfrm>
                    <a:prstGeom prst="rect">
                      <a:avLst/>
                    </a:prstGeom>
                    <a:noFill/>
                    <a:ln>
                      <a:noFill/>
                    </a:ln>
                  </pic:spPr>
                </pic:pic>
              </a:graphicData>
            </a:graphic>
          </wp:inline>
        </w:drawing>
      </w: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jc w:val="center"/>
        <w:sectPr>
          <w:type w:val="continuous"/>
          <w:pgSz w:w="11906" w:h="16838"/>
          <w:pgMar w:top="1984" w:right="1446" w:bottom="1644" w:left="1446" w:header="851" w:footer="992" w:gutter="0"/>
          <w:cols w:space="0" w:num="1"/>
          <w:docGrid w:type="lines" w:linePitch="321" w:charSpace="0"/>
        </w:sectPr>
      </w:pPr>
      <w:r>
        <w:drawing>
          <wp:inline distT="0" distB="0" distL="114300" distR="114300">
            <wp:extent cx="5718175" cy="4605655"/>
            <wp:effectExtent l="0" t="0" r="15875" b="44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9"/>
                    <a:stretch>
                      <a:fillRect/>
                    </a:stretch>
                  </pic:blipFill>
                  <pic:spPr>
                    <a:xfrm>
                      <a:off x="0" y="0"/>
                      <a:ext cx="5718175" cy="4605655"/>
                    </a:xfrm>
                    <a:prstGeom prst="rect">
                      <a:avLst/>
                    </a:prstGeom>
                    <a:noFill/>
                    <a:ln>
                      <a:noFill/>
                    </a:ln>
                  </pic:spPr>
                </pic:pic>
              </a:graphicData>
            </a:graphic>
          </wp:inline>
        </w:drawing>
      </w:r>
    </w:p>
    <w:p>
      <w:pPr>
        <w:jc w:val="center"/>
      </w:pPr>
      <w:r>
        <w:drawing>
          <wp:inline distT="0" distB="0" distL="114300" distR="114300">
            <wp:extent cx="8383270" cy="4308475"/>
            <wp:effectExtent l="0" t="0" r="1778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0"/>
                    <a:stretch>
                      <a:fillRect/>
                    </a:stretch>
                  </pic:blipFill>
                  <pic:spPr>
                    <a:xfrm>
                      <a:off x="0" y="0"/>
                      <a:ext cx="8383270" cy="4308475"/>
                    </a:xfrm>
                    <a:prstGeom prst="rect">
                      <a:avLst/>
                    </a:prstGeom>
                    <a:noFill/>
                    <a:ln>
                      <a:noFill/>
                    </a:ln>
                  </pic:spPr>
                </pic:pic>
              </a:graphicData>
            </a:graphic>
          </wp:inline>
        </w:drawing>
      </w:r>
      <w:r>
        <w:br w:type="page"/>
      </w:r>
    </w:p>
    <w:p>
      <w:pPr>
        <w:jc w:val="center"/>
      </w:pPr>
      <w:r>
        <w:drawing>
          <wp:inline distT="0" distB="0" distL="114300" distR="114300">
            <wp:extent cx="8388350" cy="5121910"/>
            <wp:effectExtent l="0" t="0" r="12700" b="254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a:stretch>
                      <a:fillRect/>
                    </a:stretch>
                  </pic:blipFill>
                  <pic:spPr>
                    <a:xfrm>
                      <a:off x="0" y="0"/>
                      <a:ext cx="8388350" cy="5121910"/>
                    </a:xfrm>
                    <a:prstGeom prst="rect">
                      <a:avLst/>
                    </a:prstGeom>
                    <a:noFill/>
                    <a:ln>
                      <a:noFill/>
                    </a:ln>
                  </pic:spPr>
                </pic:pic>
              </a:graphicData>
            </a:graphic>
          </wp:inline>
        </w:drawing>
      </w:r>
      <w:r>
        <w:br w:type="page"/>
      </w:r>
    </w:p>
    <w:p>
      <w:pPr>
        <w:jc w:val="center"/>
      </w:pPr>
    </w:p>
    <w:p>
      <w:pPr>
        <w:jc w:val="center"/>
      </w:pPr>
      <w:r>
        <w:drawing>
          <wp:inline distT="0" distB="0" distL="114300" distR="114300">
            <wp:extent cx="8385810" cy="2199005"/>
            <wp:effectExtent l="0" t="0" r="15240" b="1079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2"/>
                    <a:stretch>
                      <a:fillRect/>
                    </a:stretch>
                  </pic:blipFill>
                  <pic:spPr>
                    <a:xfrm>
                      <a:off x="0" y="0"/>
                      <a:ext cx="8385810" cy="2199005"/>
                    </a:xfrm>
                    <a:prstGeom prst="rect">
                      <a:avLst/>
                    </a:prstGeom>
                    <a:noFill/>
                    <a:ln>
                      <a:noFill/>
                    </a:ln>
                  </pic:spPr>
                </pic:pic>
              </a:graphicData>
            </a:graphic>
          </wp:inline>
        </w:drawing>
      </w:r>
    </w:p>
    <w:p>
      <w:pPr>
        <w:jc w:val="center"/>
      </w:pPr>
    </w:p>
    <w:p>
      <w:pPr>
        <w:jc w:val="center"/>
        <w:sectPr>
          <w:type w:val="continuous"/>
          <w:pgSz w:w="16838" w:h="11906" w:orient="landscape"/>
          <w:pgMar w:top="1446" w:right="1984" w:bottom="1446" w:left="1644" w:header="851" w:footer="992" w:gutter="0"/>
          <w:cols w:space="0" w:num="1"/>
          <w:docGrid w:type="lines" w:linePitch="321" w:charSpace="0"/>
        </w:sectPr>
      </w:pPr>
      <w:r>
        <w:br w:type="page"/>
      </w:r>
    </w:p>
    <w:p>
      <w:pPr>
        <w:rPr>
          <w:rFonts w:ascii="宋体" w:hAnsi="宋体" w:cs="宋体"/>
          <w:color w:val="000000"/>
          <w:kern w:val="0"/>
          <w:sz w:val="22"/>
          <w:lang w:bidi="ar"/>
        </w:rPr>
      </w:pPr>
      <w:r>
        <w:rPr>
          <w:rFonts w:hint="eastAsia" w:ascii="宋体" w:hAnsi="宋体" w:cs="宋体"/>
          <w:color w:val="000000"/>
          <w:kern w:val="0"/>
          <w:sz w:val="22"/>
          <w:lang w:bidi="ar"/>
        </w:rPr>
        <w:t>表十</w:t>
      </w:r>
    </w:p>
    <w:p>
      <w:pPr>
        <w:jc w:val="center"/>
        <w:rPr>
          <w:rFonts w:ascii="方正小标宋_GBK" w:hAnsi="方正小标宋_GBK" w:eastAsia="方正小标宋_GBK" w:cs="方正小标宋_GBK"/>
          <w:color w:val="000000"/>
          <w:kern w:val="0"/>
          <w:sz w:val="32"/>
          <w:szCs w:val="32"/>
          <w:lang w:bidi="ar"/>
        </w:rPr>
      </w:pPr>
      <w:r>
        <w:rPr>
          <w:rFonts w:hint="eastAsia" w:ascii="方正小标宋_GBK" w:hAnsi="方正小标宋_GBK" w:eastAsia="方正小标宋_GBK" w:cs="方正小标宋_GBK"/>
          <w:color w:val="000000"/>
          <w:kern w:val="0"/>
          <w:sz w:val="32"/>
          <w:szCs w:val="32"/>
          <w:lang w:bidi="ar"/>
        </w:rPr>
        <w:t>垫江县长龙小学校2026年项目绩效目标表</w:t>
      </w:r>
    </w:p>
    <w:tbl>
      <w:tblPr>
        <w:tblStyle w:val="6"/>
        <w:tblW w:w="10100" w:type="dxa"/>
        <w:jc w:val="center"/>
        <w:tblLayout w:type="autofit"/>
        <w:tblCellMar>
          <w:top w:w="0" w:type="dxa"/>
          <w:left w:w="108" w:type="dxa"/>
          <w:bottom w:w="0" w:type="dxa"/>
          <w:right w:w="108" w:type="dxa"/>
        </w:tblCellMar>
      </w:tblPr>
      <w:tblGrid>
        <w:gridCol w:w="1215"/>
        <w:gridCol w:w="1172"/>
        <w:gridCol w:w="1260"/>
        <w:gridCol w:w="1491"/>
        <w:gridCol w:w="1199"/>
        <w:gridCol w:w="1332"/>
        <w:gridCol w:w="1388"/>
        <w:gridCol w:w="1043"/>
      </w:tblGrid>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433" w:hRule="atLeast"/>
          <w:jc w:val="center"/>
        </w:trPr>
        <w:tc>
          <w:tcPr>
            <w:tcW w:w="121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843"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50023126T000005414001-校园安全保障资金（市级重点）</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汤建</w:t>
            </w:r>
            <w:r>
              <w:rPr>
                <w:rFonts w:hint="eastAsia" w:ascii="宋体" w:hAnsi="宋体" w:cs="宋体"/>
                <w:color w:val="000000"/>
                <w:kern w:val="0"/>
                <w:sz w:val="22"/>
                <w:lang w:bidi="ar"/>
              </w:rPr>
              <w:t>023-74510069</w:t>
            </w:r>
          </w:p>
        </w:tc>
      </w:tr>
      <w:tr>
        <w:tblPrEx>
          <w:tblCellMar>
            <w:top w:w="0" w:type="dxa"/>
            <w:left w:w="108" w:type="dxa"/>
            <w:bottom w:w="0" w:type="dxa"/>
            <w:right w:w="108" w:type="dxa"/>
          </w:tblCellMar>
        </w:tblPrEx>
        <w:trPr>
          <w:trHeight w:val="654"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634" w:hRule="atLeast"/>
          <w:jc w:val="center"/>
        </w:trPr>
        <w:tc>
          <w:tcPr>
            <w:tcW w:w="5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2"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65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6.88</w:t>
            </w:r>
          </w:p>
        </w:tc>
      </w:tr>
      <w:tr>
        <w:tblPrEx>
          <w:tblCellMar>
            <w:top w:w="0" w:type="dxa"/>
            <w:left w:w="108" w:type="dxa"/>
            <w:bottom w:w="0" w:type="dxa"/>
            <w:right w:w="108" w:type="dxa"/>
          </w:tblCellMar>
        </w:tblPrEx>
        <w:trPr>
          <w:trHeight w:val="618"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校园安全补助经费:实施安全保障经费，确保安保人员工资待遇等经费，为学校的教育环境安全提供保障，确保校园师生的生命、财产安全。</w:t>
            </w:r>
          </w:p>
        </w:tc>
      </w:tr>
      <w:tr>
        <w:tblPrEx>
          <w:tblCellMar>
            <w:top w:w="0" w:type="dxa"/>
            <w:left w:w="108" w:type="dxa"/>
            <w:bottom w:w="0" w:type="dxa"/>
            <w:right w:w="108" w:type="dxa"/>
          </w:tblCellMar>
        </w:tblPrEx>
        <w:trPr>
          <w:trHeight w:val="321"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480"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项目实施覆盖率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项目实施人数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项目实施受助周期</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学校安全得以保障</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项目实施受助标准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22938</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2" w:hRule="atLeast"/>
          <w:jc w:val="center"/>
        </w:trPr>
        <w:tc>
          <w:tcPr>
            <w:tcW w:w="121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904"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50023126T000005415108-乡村教师岗位生活补助（县级配套重点）</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汤建</w:t>
            </w:r>
            <w:r>
              <w:rPr>
                <w:rFonts w:hint="eastAsia" w:ascii="宋体" w:hAnsi="宋体" w:cs="宋体"/>
                <w:color w:val="000000"/>
                <w:kern w:val="0"/>
                <w:sz w:val="22"/>
                <w:lang w:bidi="ar"/>
              </w:rPr>
              <w:t>023-74510069</w:t>
            </w:r>
          </w:p>
        </w:tc>
      </w:tr>
      <w:tr>
        <w:tblPrEx>
          <w:tblCellMar>
            <w:top w:w="0" w:type="dxa"/>
            <w:left w:w="108" w:type="dxa"/>
            <w:bottom w:w="0" w:type="dxa"/>
            <w:right w:w="108" w:type="dxa"/>
          </w:tblCellMar>
        </w:tblPrEx>
        <w:trPr>
          <w:trHeight w:val="859"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634" w:hRule="atLeast"/>
          <w:jc w:val="center"/>
        </w:trPr>
        <w:tc>
          <w:tcPr>
            <w:tcW w:w="5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2"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1.58</w:t>
            </w:r>
          </w:p>
        </w:tc>
      </w:tr>
      <w:tr>
        <w:tblPrEx>
          <w:tblCellMar>
            <w:top w:w="0" w:type="dxa"/>
            <w:left w:w="108" w:type="dxa"/>
            <w:bottom w:w="0" w:type="dxa"/>
            <w:right w:w="108" w:type="dxa"/>
          </w:tblCellMar>
        </w:tblPrEx>
        <w:trPr>
          <w:trHeight w:val="65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1.58</w:t>
            </w:r>
          </w:p>
        </w:tc>
      </w:tr>
      <w:tr>
        <w:tblPrEx>
          <w:tblCellMar>
            <w:top w:w="0" w:type="dxa"/>
            <w:left w:w="108" w:type="dxa"/>
            <w:bottom w:w="0" w:type="dxa"/>
            <w:right w:w="108" w:type="dxa"/>
          </w:tblCellMar>
        </w:tblPrEx>
        <w:trPr>
          <w:trHeight w:val="618"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after="220"/>
              <w:jc w:val="left"/>
              <w:textAlignment w:val="center"/>
              <w:rPr>
                <w:rFonts w:ascii="宋体" w:hAnsi="宋体" w:cs="宋体"/>
                <w:color w:val="000000"/>
                <w:sz w:val="22"/>
              </w:rPr>
            </w:pPr>
            <w:r>
              <w:rPr>
                <w:rFonts w:ascii="宋体" w:hAnsi="宋体" w:cs="宋体"/>
                <w:color w:val="000000"/>
                <w:kern w:val="0"/>
                <w:sz w:val="22"/>
                <w:lang w:bidi="ar"/>
              </w:rPr>
              <w:t>乡村教师生活补助，保障农村教师的规范津补贴。</w:t>
            </w:r>
          </w:p>
        </w:tc>
      </w:tr>
      <w:tr>
        <w:tblPrEx>
          <w:tblCellMar>
            <w:top w:w="0" w:type="dxa"/>
            <w:left w:w="108" w:type="dxa"/>
            <w:bottom w:w="0" w:type="dxa"/>
            <w:right w:w="108" w:type="dxa"/>
          </w:tblCellMar>
        </w:tblPrEx>
        <w:trPr>
          <w:trHeight w:val="597"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乡村教师受益周期</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乡村教师受益覆盖率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受益乡村教师人数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受益的乡村教师满意度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及时兑现乡村教师的津补贴</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乡村教师补助标准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350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元/人*月</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w:t>
            </w:r>
          </w:p>
        </w:tc>
      </w:tr>
      <w:tr>
        <w:tblPrEx>
          <w:tblCellMar>
            <w:top w:w="0" w:type="dxa"/>
            <w:left w:w="108" w:type="dxa"/>
            <w:bottom w:w="0" w:type="dxa"/>
            <w:right w:w="108" w:type="dxa"/>
          </w:tblCellMar>
        </w:tblPrEx>
        <w:trPr>
          <w:trHeight w:val="606"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2" w:hRule="atLeast"/>
          <w:jc w:val="center"/>
        </w:trPr>
        <w:tc>
          <w:tcPr>
            <w:tcW w:w="121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843"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50023126T000005415292-学前教育幼儿资助（市级重点）</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汤建</w:t>
            </w:r>
            <w:r>
              <w:rPr>
                <w:rFonts w:hint="eastAsia" w:ascii="宋体" w:hAnsi="宋体" w:cs="宋体"/>
                <w:color w:val="000000"/>
                <w:kern w:val="0"/>
                <w:sz w:val="22"/>
                <w:lang w:bidi="ar"/>
              </w:rPr>
              <w:t>023-74510069</w:t>
            </w:r>
          </w:p>
        </w:tc>
      </w:tr>
      <w:tr>
        <w:tblPrEx>
          <w:tblCellMar>
            <w:top w:w="0" w:type="dxa"/>
            <w:left w:w="108" w:type="dxa"/>
            <w:bottom w:w="0" w:type="dxa"/>
            <w:right w:w="108" w:type="dxa"/>
          </w:tblCellMar>
        </w:tblPrEx>
        <w:trPr>
          <w:trHeight w:val="859"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634" w:hRule="atLeast"/>
          <w:jc w:val="center"/>
        </w:trPr>
        <w:tc>
          <w:tcPr>
            <w:tcW w:w="5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2"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3.02</w:t>
            </w:r>
          </w:p>
        </w:tc>
      </w:tr>
      <w:tr>
        <w:tblPrEx>
          <w:tblCellMar>
            <w:top w:w="0" w:type="dxa"/>
            <w:left w:w="108" w:type="dxa"/>
            <w:bottom w:w="0" w:type="dxa"/>
            <w:right w:w="108" w:type="dxa"/>
          </w:tblCellMar>
        </w:tblPrEx>
        <w:trPr>
          <w:trHeight w:val="65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3.02</w:t>
            </w:r>
          </w:p>
        </w:tc>
      </w:tr>
      <w:tr>
        <w:tblPrEx>
          <w:tblCellMar>
            <w:top w:w="0" w:type="dxa"/>
            <w:left w:w="108" w:type="dxa"/>
            <w:bottom w:w="0" w:type="dxa"/>
            <w:right w:w="108" w:type="dxa"/>
          </w:tblCellMar>
        </w:tblPrEx>
        <w:trPr>
          <w:trHeight w:val="618"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保障贫困幼儿正常入园</w:t>
            </w:r>
          </w:p>
        </w:tc>
      </w:tr>
      <w:tr>
        <w:tblPrEx>
          <w:tblCellMar>
            <w:top w:w="0" w:type="dxa"/>
            <w:left w:w="108" w:type="dxa"/>
            <w:bottom w:w="0" w:type="dxa"/>
            <w:right w:w="108" w:type="dxa"/>
          </w:tblCellMar>
        </w:tblPrEx>
        <w:trPr>
          <w:trHeight w:val="779"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24</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贫困幼儿受益补助周期</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贫困幼儿入学率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保障贫困幼儿顺利就读</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贫困幼儿补助标准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2517</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保障贫困幼儿正常入学</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2" w:hRule="atLeast"/>
          <w:jc w:val="center"/>
        </w:trPr>
        <w:tc>
          <w:tcPr>
            <w:tcW w:w="121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904"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50023126T000005415546-学前教育生均公用保障经费（市级重点）</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汤建</w:t>
            </w:r>
            <w:r>
              <w:rPr>
                <w:rFonts w:hint="eastAsia" w:ascii="宋体" w:hAnsi="宋体" w:cs="宋体"/>
                <w:color w:val="000000"/>
                <w:kern w:val="0"/>
                <w:sz w:val="22"/>
                <w:lang w:bidi="ar"/>
              </w:rPr>
              <w:t>023-74510069</w:t>
            </w:r>
          </w:p>
        </w:tc>
      </w:tr>
      <w:tr>
        <w:tblPrEx>
          <w:tblCellMar>
            <w:top w:w="0" w:type="dxa"/>
            <w:left w:w="108" w:type="dxa"/>
            <w:bottom w:w="0" w:type="dxa"/>
            <w:right w:w="108" w:type="dxa"/>
          </w:tblCellMar>
        </w:tblPrEx>
        <w:trPr>
          <w:trHeight w:val="859"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634" w:hRule="atLeast"/>
          <w:jc w:val="center"/>
        </w:trPr>
        <w:tc>
          <w:tcPr>
            <w:tcW w:w="5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2"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5.22</w:t>
            </w:r>
          </w:p>
        </w:tc>
      </w:tr>
      <w:tr>
        <w:tblPrEx>
          <w:tblCellMar>
            <w:top w:w="0" w:type="dxa"/>
            <w:left w:w="108" w:type="dxa"/>
            <w:bottom w:w="0" w:type="dxa"/>
            <w:right w:w="108" w:type="dxa"/>
          </w:tblCellMar>
        </w:tblPrEx>
        <w:trPr>
          <w:trHeight w:val="65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5.22</w:t>
            </w:r>
          </w:p>
        </w:tc>
      </w:tr>
      <w:tr>
        <w:tblPrEx>
          <w:tblCellMar>
            <w:top w:w="0" w:type="dxa"/>
            <w:left w:w="108" w:type="dxa"/>
            <w:bottom w:w="0" w:type="dxa"/>
            <w:right w:w="108" w:type="dxa"/>
          </w:tblCellMar>
        </w:tblPrEx>
        <w:trPr>
          <w:trHeight w:val="618"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rPr>
          <w:trHeight w:val="87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生均公用经费，保障学校正常运转，主要用于开支办公、会议、印刷、教师培训、实验、文体活动、水电、交通差旅、邮电、信息网络、仪器设备及图书资料购置，房屋、建筑物、校园内道路、围墙、大门及运动场地、教室内教师讲台等维修维护，校园美化绿化文化建设，学生健康体检、校方责任保险等。</w:t>
            </w:r>
          </w:p>
        </w:tc>
      </w:tr>
      <w:tr>
        <w:tblPrEx>
          <w:tblCellMar>
            <w:top w:w="0" w:type="dxa"/>
            <w:left w:w="108" w:type="dxa"/>
            <w:bottom w:w="0" w:type="dxa"/>
            <w:right w:w="108" w:type="dxa"/>
          </w:tblCellMar>
        </w:tblPrEx>
        <w:trPr>
          <w:trHeight w:val="547"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118</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学前教育学生入学率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443</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改善学校办公条件</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2" w:hRule="atLeast"/>
          <w:jc w:val="center"/>
        </w:trPr>
        <w:tc>
          <w:tcPr>
            <w:tcW w:w="121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904"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50023126T000005416036-城乡义务教育生均公用保障经费（市级重点）</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汤建</w:t>
            </w:r>
            <w:r>
              <w:rPr>
                <w:rFonts w:hint="eastAsia" w:ascii="宋体" w:hAnsi="宋体" w:cs="宋体"/>
                <w:color w:val="000000"/>
                <w:kern w:val="0"/>
                <w:sz w:val="22"/>
                <w:lang w:bidi="ar"/>
              </w:rPr>
              <w:t>023-74510069</w:t>
            </w:r>
          </w:p>
        </w:tc>
      </w:tr>
      <w:tr>
        <w:tblPrEx>
          <w:tblCellMar>
            <w:top w:w="0" w:type="dxa"/>
            <w:left w:w="108" w:type="dxa"/>
            <w:bottom w:w="0" w:type="dxa"/>
            <w:right w:w="108" w:type="dxa"/>
          </w:tblCellMar>
        </w:tblPrEx>
        <w:trPr>
          <w:trHeight w:val="859"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634" w:hRule="atLeast"/>
          <w:jc w:val="center"/>
        </w:trPr>
        <w:tc>
          <w:tcPr>
            <w:tcW w:w="5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2"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35.86</w:t>
            </w:r>
          </w:p>
        </w:tc>
      </w:tr>
      <w:tr>
        <w:tblPrEx>
          <w:tblCellMar>
            <w:top w:w="0" w:type="dxa"/>
            <w:left w:w="108" w:type="dxa"/>
            <w:bottom w:w="0" w:type="dxa"/>
            <w:right w:w="108" w:type="dxa"/>
          </w:tblCellMar>
        </w:tblPrEx>
        <w:trPr>
          <w:trHeight w:val="65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35.86</w:t>
            </w:r>
          </w:p>
        </w:tc>
      </w:tr>
      <w:tr>
        <w:tblPrEx>
          <w:tblCellMar>
            <w:top w:w="0" w:type="dxa"/>
            <w:left w:w="108" w:type="dxa"/>
            <w:bottom w:w="0" w:type="dxa"/>
            <w:right w:w="108" w:type="dxa"/>
          </w:tblCellMar>
        </w:tblPrEx>
        <w:trPr>
          <w:trHeight w:val="618"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城乡义务教育生均公用经费，保障学校正常运转，主要用于开支办公、会议、印刷、教师培训、实验、文体活动、水电、交通差旅、邮电、信息网络、仪器设备及图书资料购置，房屋、建筑物、校园内道路、围墙、大门及运动场地、教室内教师讲台等维修维护，校园美化绿化文化建设，学生健康体检、校方责任保险等。</w:t>
            </w:r>
          </w:p>
        </w:tc>
      </w:tr>
      <w:tr>
        <w:tblPrEx>
          <w:tblCellMar>
            <w:top w:w="0" w:type="dxa"/>
            <w:left w:w="108" w:type="dxa"/>
            <w:bottom w:w="0" w:type="dxa"/>
            <w:right w:w="108" w:type="dxa"/>
          </w:tblCellMar>
        </w:tblPrEx>
        <w:trPr>
          <w:trHeight w:val="78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改善学校办公条件</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234</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义务教育学生入学率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1533</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2" w:hRule="atLeast"/>
          <w:jc w:val="center"/>
        </w:trPr>
        <w:tc>
          <w:tcPr>
            <w:tcW w:w="121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843"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50023126T000005416242-学前教育免保育教育费补助（重点）</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汤建</w:t>
            </w:r>
            <w:r>
              <w:rPr>
                <w:rFonts w:hint="eastAsia" w:ascii="宋体" w:hAnsi="宋体" w:cs="宋体"/>
                <w:color w:val="000000"/>
                <w:kern w:val="0"/>
                <w:sz w:val="22"/>
                <w:lang w:bidi="ar"/>
              </w:rPr>
              <w:t>023-74510069</w:t>
            </w:r>
          </w:p>
        </w:tc>
      </w:tr>
      <w:tr>
        <w:tblPrEx>
          <w:tblCellMar>
            <w:top w:w="0" w:type="dxa"/>
            <w:left w:w="108" w:type="dxa"/>
            <w:bottom w:w="0" w:type="dxa"/>
            <w:right w:w="108" w:type="dxa"/>
          </w:tblCellMar>
        </w:tblPrEx>
        <w:trPr>
          <w:trHeight w:val="859"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634" w:hRule="atLeast"/>
          <w:jc w:val="center"/>
        </w:trPr>
        <w:tc>
          <w:tcPr>
            <w:tcW w:w="5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2"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11.25</w:t>
            </w:r>
          </w:p>
        </w:tc>
      </w:tr>
      <w:tr>
        <w:tblPrEx>
          <w:tblCellMar>
            <w:top w:w="0" w:type="dxa"/>
            <w:left w:w="108" w:type="dxa"/>
            <w:bottom w:w="0" w:type="dxa"/>
            <w:right w:w="108" w:type="dxa"/>
          </w:tblCellMar>
        </w:tblPrEx>
        <w:trPr>
          <w:trHeight w:val="65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11.25</w:t>
            </w:r>
          </w:p>
        </w:tc>
      </w:tr>
      <w:tr>
        <w:tblPrEx>
          <w:tblCellMar>
            <w:top w:w="0" w:type="dxa"/>
            <w:left w:w="108" w:type="dxa"/>
            <w:bottom w:w="0" w:type="dxa"/>
            <w:right w:w="108" w:type="dxa"/>
          </w:tblCellMar>
        </w:tblPrEx>
        <w:trPr>
          <w:trHeight w:val="618"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r>
      <w:tr>
        <w:tblPrEx>
          <w:tblCellMar>
            <w:top w:w="0" w:type="dxa"/>
            <w:left w:w="108" w:type="dxa"/>
            <w:bottom w:w="0" w:type="dxa"/>
            <w:right w:w="108" w:type="dxa"/>
          </w:tblCellMar>
        </w:tblPrEx>
        <w:trPr>
          <w:trHeight w:val="377"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79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大班学生覆盖率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补助时效</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大班学生人数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保障幼儿正常入学</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04"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保障学前大班学生免保教费入学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大班学生生均费用</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2250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602" w:hRule="atLeast"/>
          <w:jc w:val="center"/>
        </w:trPr>
        <w:tc>
          <w:tcPr>
            <w:tcW w:w="121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904"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50023126T000005417245-家庭经济困难学生生活补助（市级重点）</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汤建</w:t>
            </w:r>
            <w:r>
              <w:rPr>
                <w:rFonts w:hint="eastAsia" w:ascii="宋体" w:hAnsi="宋体" w:cs="宋体"/>
                <w:color w:val="000000"/>
                <w:kern w:val="0"/>
                <w:sz w:val="22"/>
                <w:lang w:bidi="ar"/>
              </w:rPr>
              <w:t>023-74510069</w:t>
            </w:r>
          </w:p>
        </w:tc>
      </w:tr>
      <w:tr>
        <w:tblPrEx>
          <w:tblCellMar>
            <w:top w:w="0" w:type="dxa"/>
            <w:left w:w="108" w:type="dxa"/>
            <w:bottom w:w="0" w:type="dxa"/>
            <w:right w:w="108" w:type="dxa"/>
          </w:tblCellMar>
        </w:tblPrEx>
        <w:trPr>
          <w:trHeight w:val="859"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634" w:hRule="atLeast"/>
          <w:jc w:val="center"/>
        </w:trPr>
        <w:tc>
          <w:tcPr>
            <w:tcW w:w="5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2"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0.60</w:t>
            </w:r>
          </w:p>
        </w:tc>
      </w:tr>
      <w:tr>
        <w:tblPrEx>
          <w:tblCellMar>
            <w:top w:w="0" w:type="dxa"/>
            <w:left w:w="108" w:type="dxa"/>
            <w:bottom w:w="0" w:type="dxa"/>
            <w:right w:w="108" w:type="dxa"/>
          </w:tblCellMar>
        </w:tblPrEx>
        <w:trPr>
          <w:trHeight w:val="65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0.60</w:t>
            </w:r>
          </w:p>
        </w:tc>
      </w:tr>
      <w:tr>
        <w:tblPrEx>
          <w:tblCellMar>
            <w:top w:w="0" w:type="dxa"/>
            <w:left w:w="108" w:type="dxa"/>
            <w:bottom w:w="0" w:type="dxa"/>
            <w:right w:w="108" w:type="dxa"/>
          </w:tblCellMar>
        </w:tblPrEx>
        <w:trPr>
          <w:trHeight w:val="618"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保障家庭经济困难学生能正常入学</w:t>
            </w:r>
          </w:p>
        </w:tc>
      </w:tr>
      <w:tr>
        <w:tblPrEx>
          <w:tblCellMar>
            <w:top w:w="0" w:type="dxa"/>
            <w:left w:w="108" w:type="dxa"/>
            <w:bottom w:w="0" w:type="dxa"/>
            <w:right w:w="108" w:type="dxa"/>
          </w:tblCellMar>
        </w:tblPrEx>
        <w:trPr>
          <w:trHeight w:val="321"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78"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受益补助周期</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生活费受益学生人数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家庭困难学生学生入学率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904"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生活费家庭经济困难补助标准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600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保障教学工作正常开展</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有效保障</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384" w:hRule="atLeast"/>
          <w:jc w:val="center"/>
        </w:trPr>
        <w:tc>
          <w:tcPr>
            <w:tcW w:w="121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843"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50023126T000005546451-学前教育扩大资源建设（重点）</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汤建</w:t>
            </w:r>
            <w:r>
              <w:rPr>
                <w:rFonts w:hint="eastAsia" w:ascii="宋体" w:hAnsi="宋体" w:cs="宋体"/>
                <w:color w:val="000000"/>
                <w:kern w:val="0"/>
                <w:sz w:val="22"/>
                <w:lang w:bidi="ar"/>
              </w:rPr>
              <w:t>023-74510069</w:t>
            </w:r>
          </w:p>
        </w:tc>
      </w:tr>
      <w:tr>
        <w:tblPrEx>
          <w:tblCellMar>
            <w:top w:w="0" w:type="dxa"/>
            <w:left w:w="108" w:type="dxa"/>
            <w:bottom w:w="0" w:type="dxa"/>
            <w:right w:w="108" w:type="dxa"/>
          </w:tblCellMar>
        </w:tblPrEx>
        <w:trPr>
          <w:trHeight w:val="568"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634" w:hRule="atLeast"/>
          <w:jc w:val="center"/>
        </w:trPr>
        <w:tc>
          <w:tcPr>
            <w:tcW w:w="5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2"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19.00</w:t>
            </w:r>
          </w:p>
        </w:tc>
      </w:tr>
      <w:tr>
        <w:tblPrEx>
          <w:tblCellMar>
            <w:top w:w="0" w:type="dxa"/>
            <w:left w:w="108" w:type="dxa"/>
            <w:bottom w:w="0" w:type="dxa"/>
            <w:right w:w="108" w:type="dxa"/>
          </w:tblCellMar>
        </w:tblPrEx>
        <w:trPr>
          <w:trHeight w:val="65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19.00</w:t>
            </w:r>
          </w:p>
        </w:tc>
      </w:tr>
      <w:tr>
        <w:tblPrEx>
          <w:tblCellMar>
            <w:top w:w="0" w:type="dxa"/>
            <w:left w:w="108" w:type="dxa"/>
            <w:bottom w:w="0" w:type="dxa"/>
            <w:right w:w="108" w:type="dxa"/>
          </w:tblCellMar>
        </w:tblPrEx>
        <w:trPr>
          <w:trHeight w:val="618"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长龙小学附属幼儿园：注重学前教育，提高教育教学质量，让幼儿健康快乐成长。</w:t>
            </w:r>
          </w:p>
        </w:tc>
      </w:tr>
      <w:tr>
        <w:tblPrEx>
          <w:tblCellMar>
            <w:top w:w="0" w:type="dxa"/>
            <w:left w:w="108" w:type="dxa"/>
            <w:bottom w:w="0" w:type="dxa"/>
            <w:right w:w="108" w:type="dxa"/>
          </w:tblCellMar>
        </w:tblPrEx>
        <w:trPr>
          <w:trHeight w:val="321"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blPrEx>
          <w:tblCellMar>
            <w:top w:w="0" w:type="dxa"/>
            <w:left w:w="108" w:type="dxa"/>
            <w:bottom w:w="0" w:type="dxa"/>
            <w:right w:w="108" w:type="dxa"/>
          </w:tblCellMar>
        </w:tblPrEx>
        <w:trPr>
          <w:trHeight w:val="56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护眼灯每间教室单价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5000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维修单价</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150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建设面积</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平方米</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建设数量</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8</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套</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项目建设周期</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项目验收合格率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幼儿学生健康程度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幼儿及家长社会满意度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项目绩效目标表</w:t>
            </w:r>
          </w:p>
        </w:tc>
      </w:tr>
      <w:tr>
        <w:tblPrEx>
          <w:tblCellMar>
            <w:top w:w="0" w:type="dxa"/>
            <w:left w:w="108" w:type="dxa"/>
            <w:bottom w:w="0" w:type="dxa"/>
            <w:right w:w="108" w:type="dxa"/>
          </w:tblCellMar>
        </w:tblPrEx>
        <w:trPr>
          <w:trHeight w:val="597" w:hRule="atLeast"/>
          <w:jc w:val="center"/>
        </w:trPr>
        <w:tc>
          <w:tcPr>
            <w:tcW w:w="10100" w:type="dxa"/>
            <w:gridSpan w:val="8"/>
            <w:tcBorders>
              <w:top w:val="nil"/>
              <w:left w:val="nil"/>
              <w:bottom w:val="nil"/>
              <w:right w:val="nil"/>
            </w:tcBorders>
            <w:shd w:val="clear" w:color="auto" w:fill="auto"/>
            <w:vAlign w:val="center"/>
          </w:tcPr>
          <w:p>
            <w:pPr>
              <w:widowControl/>
              <w:jc w:val="center"/>
              <w:textAlignment w:val="center"/>
              <w:rPr>
                <w:rFonts w:ascii="宋体" w:hAnsi="宋体" w:cs="宋体"/>
                <w:color w:val="000000"/>
                <w:sz w:val="28"/>
                <w:szCs w:val="28"/>
              </w:rPr>
            </w:pPr>
            <w:r>
              <w:rPr>
                <w:rFonts w:ascii="宋体" w:hAnsi="宋体" w:cs="宋体"/>
                <w:color w:val="000000"/>
                <w:kern w:val="0"/>
                <w:sz w:val="28"/>
                <w:szCs w:val="28"/>
                <w:lang w:bidi="ar"/>
              </w:rPr>
              <w:t>(2026年度)</w:t>
            </w:r>
          </w:p>
        </w:tc>
      </w:tr>
      <w:tr>
        <w:tblPrEx>
          <w:tblCellMar>
            <w:top w:w="0" w:type="dxa"/>
            <w:left w:w="108" w:type="dxa"/>
            <w:bottom w:w="0" w:type="dxa"/>
            <w:right w:w="108" w:type="dxa"/>
          </w:tblCellMar>
        </w:tblPrEx>
        <w:trPr>
          <w:trHeight w:val="397" w:hRule="atLeast"/>
          <w:jc w:val="center"/>
        </w:trPr>
        <w:tc>
          <w:tcPr>
            <w:tcW w:w="1215" w:type="dxa"/>
            <w:tcBorders>
              <w:top w:val="single" w:color="000000" w:sz="4" w:space="0"/>
              <w:left w:val="single" w:color="000000" w:sz="4" w:space="0"/>
              <w:bottom w:val="single" w:color="000000" w:sz="4" w:space="0"/>
              <w:right w:val="nil"/>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填报单位：</w:t>
            </w:r>
          </w:p>
        </w:tc>
        <w:tc>
          <w:tcPr>
            <w:tcW w:w="8885"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1202"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项目名称</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50023126T000005550661-义务教育阶段特殊教育学校和随班就读残疾学生生均公用经费（重点）</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项目负责人及联系电话</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汤建</w:t>
            </w:r>
            <w:r>
              <w:rPr>
                <w:rFonts w:hint="eastAsia" w:ascii="宋体" w:hAnsi="宋体" w:cs="宋体"/>
                <w:color w:val="000000"/>
                <w:kern w:val="0"/>
                <w:sz w:val="22"/>
                <w:lang w:bidi="ar"/>
              </w:rPr>
              <w:t>023-74510069</w:t>
            </w:r>
            <w:bookmarkStart w:id="0" w:name="_GoBack"/>
            <w:bookmarkEnd w:id="0"/>
          </w:p>
        </w:tc>
      </w:tr>
      <w:tr>
        <w:tblPrEx>
          <w:tblCellMar>
            <w:top w:w="0" w:type="dxa"/>
            <w:left w:w="108" w:type="dxa"/>
            <w:bottom w:w="0" w:type="dxa"/>
            <w:right w:w="108" w:type="dxa"/>
          </w:tblCellMar>
        </w:tblPrEx>
        <w:trPr>
          <w:trHeight w:val="593" w:hRule="atLeast"/>
          <w:jc w:val="center"/>
        </w:trPr>
        <w:tc>
          <w:tcPr>
            <w:tcW w:w="23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主管部门</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134-垫江县教育委员会</w:t>
            </w:r>
          </w:p>
        </w:tc>
        <w:tc>
          <w:tcPr>
            <w:tcW w:w="25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实施单位</w:t>
            </w:r>
          </w:p>
        </w:tc>
        <w:tc>
          <w:tcPr>
            <w:tcW w:w="24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134140-垫江县长龙小学校</w:t>
            </w:r>
          </w:p>
        </w:tc>
      </w:tr>
      <w:tr>
        <w:tblPrEx>
          <w:tblCellMar>
            <w:top w:w="0" w:type="dxa"/>
            <w:left w:w="108" w:type="dxa"/>
            <w:bottom w:w="0" w:type="dxa"/>
            <w:right w:w="108" w:type="dxa"/>
          </w:tblCellMar>
        </w:tblPrEx>
        <w:trPr>
          <w:trHeight w:val="392" w:hRule="atLeast"/>
          <w:jc w:val="center"/>
        </w:trPr>
        <w:tc>
          <w:tcPr>
            <w:tcW w:w="513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预算执行率权重(%)：</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397" w:hRule="atLeast"/>
          <w:jc w:val="center"/>
        </w:trPr>
        <w:tc>
          <w:tcPr>
            <w:tcW w:w="238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资金情况</w:t>
            </w:r>
            <w:r>
              <w:rPr>
                <w:rFonts w:ascii="宋体" w:hAnsi="宋体" w:cs="宋体"/>
                <w:color w:val="000000"/>
                <w:kern w:val="0"/>
                <w:sz w:val="22"/>
                <w:lang w:bidi="ar"/>
              </w:rPr>
              <w:br w:type="textWrapping"/>
            </w:r>
            <w:r>
              <w:rPr>
                <w:rFonts w:ascii="宋体" w:hAnsi="宋体" w:cs="宋体"/>
                <w:color w:val="000000"/>
                <w:kern w:val="0"/>
                <w:sz w:val="22"/>
                <w:lang w:bidi="ar"/>
              </w:rPr>
              <w:t>（万元）</w:t>
            </w: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年度资金总额：</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CellMar>
            <w:top w:w="0" w:type="dxa"/>
            <w:left w:w="108" w:type="dxa"/>
            <w:bottom w:w="0" w:type="dxa"/>
            <w:right w:w="108" w:type="dxa"/>
          </w:tblCellMar>
        </w:tblPrEx>
        <w:trPr>
          <w:trHeight w:val="361"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其中：财政拨款</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right"/>
              <w:textAlignment w:val="center"/>
              <w:rPr>
                <w:rFonts w:ascii="宋体" w:hAnsi="宋体" w:cs="宋体"/>
                <w:color w:val="000000"/>
                <w:sz w:val="22"/>
              </w:rPr>
            </w:pPr>
            <w:r>
              <w:rPr>
                <w:rFonts w:ascii="宋体" w:hAnsi="宋体" w:cs="宋体"/>
                <w:color w:val="000000"/>
                <w:kern w:val="0"/>
                <w:sz w:val="22"/>
                <w:lang w:bidi="ar"/>
              </w:rPr>
              <w:t>2.10</w:t>
            </w:r>
          </w:p>
        </w:tc>
      </w:tr>
      <w:tr>
        <w:tblPrEx>
          <w:tblCellMar>
            <w:top w:w="0" w:type="dxa"/>
            <w:left w:w="108" w:type="dxa"/>
            <w:bottom w:w="0" w:type="dxa"/>
            <w:right w:w="108" w:type="dxa"/>
          </w:tblCellMar>
        </w:tblPrEx>
        <w:trPr>
          <w:trHeight w:val="352" w:hRule="atLeast"/>
          <w:jc w:val="center"/>
        </w:trPr>
        <w:tc>
          <w:tcPr>
            <w:tcW w:w="238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27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 xml:space="preserve"> 其他资金</w:t>
            </w:r>
          </w:p>
        </w:tc>
        <w:tc>
          <w:tcPr>
            <w:tcW w:w="49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ascii="宋体" w:hAnsi="宋体" w:cs="宋体"/>
                <w:color w:val="000000"/>
                <w:sz w:val="22"/>
              </w:rPr>
            </w:pPr>
          </w:p>
        </w:tc>
      </w:tr>
      <w:tr>
        <w:tblPrEx>
          <w:tblCellMar>
            <w:top w:w="0" w:type="dxa"/>
            <w:left w:w="108" w:type="dxa"/>
            <w:bottom w:w="0" w:type="dxa"/>
            <w:right w:w="108" w:type="dxa"/>
          </w:tblCellMar>
        </w:tblPrEx>
        <w:trPr>
          <w:trHeight w:val="875"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总</w:t>
            </w:r>
            <w:r>
              <w:rPr>
                <w:rFonts w:ascii="宋体" w:hAnsi="宋体" w:cs="宋体"/>
                <w:color w:val="000000"/>
                <w:kern w:val="0"/>
                <w:sz w:val="22"/>
                <w:lang w:bidi="ar"/>
              </w:rPr>
              <w:br w:type="textWrapping"/>
            </w:r>
            <w:r>
              <w:rPr>
                <w:rFonts w:ascii="宋体" w:hAnsi="宋体" w:cs="宋体"/>
                <w:color w:val="000000"/>
                <w:kern w:val="0"/>
                <w:sz w:val="22"/>
                <w:lang w:bidi="ar"/>
              </w:rPr>
              <w:t>体</w:t>
            </w:r>
            <w:r>
              <w:rPr>
                <w:rFonts w:ascii="宋体" w:hAnsi="宋体" w:cs="宋体"/>
                <w:color w:val="000000"/>
                <w:kern w:val="0"/>
                <w:sz w:val="22"/>
                <w:lang w:bidi="ar"/>
              </w:rPr>
              <w:br w:type="textWrapping"/>
            </w:r>
            <w:r>
              <w:rPr>
                <w:rFonts w:ascii="宋体" w:hAnsi="宋体" w:cs="宋体"/>
                <w:color w:val="000000"/>
                <w:kern w:val="0"/>
                <w:sz w:val="22"/>
                <w:lang w:bidi="ar"/>
              </w:rPr>
              <w:t>目</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8885" w:type="dxa"/>
            <w:gridSpan w:val="7"/>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义务教育阶段特殊教育学校和随班就读残疾学生生均公用经费，保障随班就读学生能正常入学，保障送教上门工作的顺利开展。</w:t>
            </w:r>
          </w:p>
        </w:tc>
      </w:tr>
      <w:tr>
        <w:tblPrEx>
          <w:tblCellMar>
            <w:top w:w="0" w:type="dxa"/>
            <w:left w:w="108" w:type="dxa"/>
            <w:bottom w:w="0" w:type="dxa"/>
            <w:right w:w="108" w:type="dxa"/>
          </w:tblCellMar>
        </w:tblPrEx>
        <w:trPr>
          <w:trHeight w:val="321"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8885" w:type="dxa"/>
            <w:gridSpan w:val="7"/>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color w:val="000000"/>
                <w:sz w:val="22"/>
              </w:rPr>
            </w:pPr>
          </w:p>
        </w:tc>
      </w:tr>
      <w:tr>
        <w:trPr>
          <w:trHeight w:val="431" w:hRule="atLeast"/>
          <w:jc w:val="center"/>
        </w:trPr>
        <w:tc>
          <w:tcPr>
            <w:tcW w:w="12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绩</w:t>
            </w:r>
            <w:r>
              <w:rPr>
                <w:rFonts w:ascii="宋体" w:hAnsi="宋体" w:cs="宋体"/>
                <w:color w:val="000000"/>
                <w:kern w:val="0"/>
                <w:sz w:val="22"/>
                <w:lang w:bidi="ar"/>
              </w:rPr>
              <w:br w:type="textWrapping"/>
            </w:r>
            <w:r>
              <w:rPr>
                <w:rFonts w:ascii="宋体" w:hAnsi="宋体" w:cs="宋体"/>
                <w:color w:val="000000"/>
                <w:kern w:val="0"/>
                <w:sz w:val="22"/>
                <w:lang w:bidi="ar"/>
              </w:rPr>
              <w:t>效</w:t>
            </w:r>
            <w:r>
              <w:rPr>
                <w:rFonts w:ascii="宋体" w:hAnsi="宋体" w:cs="宋体"/>
                <w:color w:val="000000"/>
                <w:kern w:val="0"/>
                <w:sz w:val="22"/>
                <w:lang w:bidi="ar"/>
              </w:rPr>
              <w:br w:type="textWrapping"/>
            </w:r>
            <w:r>
              <w:rPr>
                <w:rFonts w:ascii="宋体" w:hAnsi="宋体" w:cs="宋体"/>
                <w:color w:val="000000"/>
                <w:kern w:val="0"/>
                <w:sz w:val="22"/>
                <w:lang w:bidi="ar"/>
              </w:rPr>
              <w:t>指</w:t>
            </w:r>
            <w:r>
              <w:rPr>
                <w:rFonts w:ascii="宋体" w:hAnsi="宋体" w:cs="宋体"/>
                <w:color w:val="000000"/>
                <w:kern w:val="0"/>
                <w:sz w:val="22"/>
                <w:lang w:bidi="ar"/>
              </w:rPr>
              <w:br w:type="textWrapping"/>
            </w:r>
            <w:r>
              <w:rPr>
                <w:rFonts w:ascii="宋体" w:hAnsi="宋体" w:cs="宋体"/>
                <w:color w:val="000000"/>
                <w:kern w:val="0"/>
                <w:sz w:val="22"/>
                <w:lang w:bidi="ar"/>
              </w:rPr>
              <w:t>标</w:t>
            </w: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一级指标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二级指标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三级指标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指标性质</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指标值</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度量单位</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权重（%）</w:t>
            </w:r>
          </w:p>
        </w:tc>
      </w:tr>
      <w:tr>
        <w:tblPrEx>
          <w:tblCellMar>
            <w:top w:w="0" w:type="dxa"/>
            <w:left w:w="108" w:type="dxa"/>
            <w:bottom w:w="0" w:type="dxa"/>
            <w:right w:w="108" w:type="dxa"/>
          </w:tblCellMar>
        </w:tblPrEx>
        <w:trPr>
          <w:trHeight w:val="570"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产出指标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数量指标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受益学生人数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3</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质量指标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义务教育残疾学生入学率</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2"/>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时效指标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公用经费受益补助周期</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年</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满意度指标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服务对象满意度指标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学生、家长、社会满意度</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95</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10</w:t>
            </w:r>
          </w:p>
        </w:tc>
      </w:tr>
      <w:tr>
        <w:tblPrEx>
          <w:tblCellMar>
            <w:top w:w="0" w:type="dxa"/>
            <w:left w:w="108" w:type="dxa"/>
            <w:bottom w:w="0" w:type="dxa"/>
            <w:right w:w="108" w:type="dxa"/>
          </w:tblCellMar>
        </w:tblPrEx>
        <w:trPr>
          <w:trHeight w:val="606"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成本指标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经济成本指标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公用经费补助标准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7000</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元/人</w:t>
            </w: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r>
        <w:tblPrEx>
          <w:tblCellMar>
            <w:top w:w="0" w:type="dxa"/>
            <w:left w:w="108" w:type="dxa"/>
            <w:bottom w:w="0" w:type="dxa"/>
            <w:right w:w="108" w:type="dxa"/>
          </w:tblCellMar>
        </w:tblPrEx>
        <w:trPr>
          <w:trHeight w:val="615" w:hRule="atLeast"/>
          <w:jc w:val="center"/>
        </w:trPr>
        <w:tc>
          <w:tcPr>
            <w:tcW w:w="12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17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效益指标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社会效益指标</w:t>
            </w:r>
          </w:p>
        </w:tc>
        <w:tc>
          <w:tcPr>
            <w:tcW w:w="149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color w:val="000000"/>
                <w:sz w:val="22"/>
              </w:rPr>
            </w:pPr>
            <w:r>
              <w:rPr>
                <w:rFonts w:ascii="宋体" w:hAnsi="宋体" w:cs="宋体"/>
                <w:color w:val="000000"/>
                <w:kern w:val="0"/>
                <w:sz w:val="22"/>
                <w:lang w:bidi="ar"/>
              </w:rPr>
              <w:t>保障送教上门工作正常开展</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定性</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优</w:t>
            </w:r>
          </w:p>
        </w:tc>
        <w:tc>
          <w:tcPr>
            <w:tcW w:w="13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22"/>
              </w:rPr>
            </w:pPr>
          </w:p>
        </w:tc>
        <w:tc>
          <w:tcPr>
            <w:tcW w:w="104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2"/>
              </w:rPr>
            </w:pPr>
            <w:r>
              <w:rPr>
                <w:rFonts w:ascii="宋体" w:hAnsi="宋体" w:cs="宋体"/>
                <w:color w:val="000000"/>
                <w:kern w:val="0"/>
                <w:sz w:val="22"/>
                <w:lang w:bidi="ar"/>
              </w:rPr>
              <w:t>20</w:t>
            </w:r>
          </w:p>
        </w:tc>
      </w:tr>
    </w:tbl>
    <w:p>
      <w:pPr>
        <w:spacing w:line="600" w:lineRule="exact"/>
        <w:rPr>
          <w:rFonts w:ascii="Times New Roman" w:hAnsi="Times New Roman" w:eastAsia="方正仿宋_GBK"/>
          <w:color w:val="000000"/>
          <w:kern w:val="0"/>
          <w:sz w:val="32"/>
          <w:szCs w:val="32"/>
        </w:rPr>
      </w:pPr>
    </w:p>
    <w:sectPr>
      <w:type w:val="continuous"/>
      <w:pgSz w:w="11906" w:h="16838"/>
      <w:pgMar w:top="1984" w:right="1446" w:bottom="1644" w:left="1446"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6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CE7727"/>
    <w:rsid w:val="00006FB1"/>
    <w:rsid w:val="0001271B"/>
    <w:rsid w:val="00023A4C"/>
    <w:rsid w:val="00042219"/>
    <w:rsid w:val="00047C7A"/>
    <w:rsid w:val="00053834"/>
    <w:rsid w:val="000551A4"/>
    <w:rsid w:val="000624D8"/>
    <w:rsid w:val="0007330D"/>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404E"/>
    <w:rsid w:val="001525DD"/>
    <w:rsid w:val="00161474"/>
    <w:rsid w:val="00165A74"/>
    <w:rsid w:val="00191ADC"/>
    <w:rsid w:val="001957F9"/>
    <w:rsid w:val="001C0A7C"/>
    <w:rsid w:val="001C212A"/>
    <w:rsid w:val="001D0CAA"/>
    <w:rsid w:val="001D4937"/>
    <w:rsid w:val="001E1AED"/>
    <w:rsid w:val="001E31D9"/>
    <w:rsid w:val="00202E0A"/>
    <w:rsid w:val="002132E9"/>
    <w:rsid w:val="00213635"/>
    <w:rsid w:val="00226F1D"/>
    <w:rsid w:val="00242727"/>
    <w:rsid w:val="00246006"/>
    <w:rsid w:val="00246AA4"/>
    <w:rsid w:val="00252849"/>
    <w:rsid w:val="002605A5"/>
    <w:rsid w:val="0026529F"/>
    <w:rsid w:val="0027005A"/>
    <w:rsid w:val="002773F0"/>
    <w:rsid w:val="00280A93"/>
    <w:rsid w:val="00286440"/>
    <w:rsid w:val="002959B6"/>
    <w:rsid w:val="002B41F1"/>
    <w:rsid w:val="002C4122"/>
    <w:rsid w:val="002D2A88"/>
    <w:rsid w:val="002E46A9"/>
    <w:rsid w:val="0030024E"/>
    <w:rsid w:val="003019D9"/>
    <w:rsid w:val="00341606"/>
    <w:rsid w:val="00346387"/>
    <w:rsid w:val="0034700C"/>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30B72"/>
    <w:rsid w:val="00437D88"/>
    <w:rsid w:val="004417DC"/>
    <w:rsid w:val="00445520"/>
    <w:rsid w:val="00462595"/>
    <w:rsid w:val="004756B4"/>
    <w:rsid w:val="0049017F"/>
    <w:rsid w:val="00492FB3"/>
    <w:rsid w:val="00496C6A"/>
    <w:rsid w:val="004B1650"/>
    <w:rsid w:val="004C42ED"/>
    <w:rsid w:val="004C60BD"/>
    <w:rsid w:val="004D1E02"/>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E18A6"/>
    <w:rsid w:val="005F1960"/>
    <w:rsid w:val="006115F1"/>
    <w:rsid w:val="00620BCE"/>
    <w:rsid w:val="0066585E"/>
    <w:rsid w:val="006809FA"/>
    <w:rsid w:val="006C01C3"/>
    <w:rsid w:val="006D0C33"/>
    <w:rsid w:val="006D1609"/>
    <w:rsid w:val="006E0BEC"/>
    <w:rsid w:val="006E455F"/>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560C6"/>
    <w:rsid w:val="00876439"/>
    <w:rsid w:val="00880920"/>
    <w:rsid w:val="00893BF5"/>
    <w:rsid w:val="008A13B7"/>
    <w:rsid w:val="008A622D"/>
    <w:rsid w:val="008D2570"/>
    <w:rsid w:val="008E3C27"/>
    <w:rsid w:val="008E5A19"/>
    <w:rsid w:val="008E7590"/>
    <w:rsid w:val="008F1CA6"/>
    <w:rsid w:val="008F731A"/>
    <w:rsid w:val="00905727"/>
    <w:rsid w:val="00914195"/>
    <w:rsid w:val="00926FE2"/>
    <w:rsid w:val="00933A24"/>
    <w:rsid w:val="00936EDC"/>
    <w:rsid w:val="00940465"/>
    <w:rsid w:val="00942ED0"/>
    <w:rsid w:val="0094655E"/>
    <w:rsid w:val="00946D33"/>
    <w:rsid w:val="009561D9"/>
    <w:rsid w:val="009653AE"/>
    <w:rsid w:val="00972AB0"/>
    <w:rsid w:val="00983001"/>
    <w:rsid w:val="0098712E"/>
    <w:rsid w:val="009B77D4"/>
    <w:rsid w:val="009E6734"/>
    <w:rsid w:val="009F01A9"/>
    <w:rsid w:val="00A05F72"/>
    <w:rsid w:val="00A07288"/>
    <w:rsid w:val="00A174AB"/>
    <w:rsid w:val="00A21DCD"/>
    <w:rsid w:val="00A33F5E"/>
    <w:rsid w:val="00A35F07"/>
    <w:rsid w:val="00A3721F"/>
    <w:rsid w:val="00A45A23"/>
    <w:rsid w:val="00A52D34"/>
    <w:rsid w:val="00A712EA"/>
    <w:rsid w:val="00A8020D"/>
    <w:rsid w:val="00A802E9"/>
    <w:rsid w:val="00A80B6C"/>
    <w:rsid w:val="00AA324B"/>
    <w:rsid w:val="00AB25DF"/>
    <w:rsid w:val="00AC6F85"/>
    <w:rsid w:val="00AE0A20"/>
    <w:rsid w:val="00AE4156"/>
    <w:rsid w:val="00B1352B"/>
    <w:rsid w:val="00B24FA7"/>
    <w:rsid w:val="00B257E3"/>
    <w:rsid w:val="00B54CE7"/>
    <w:rsid w:val="00B558CC"/>
    <w:rsid w:val="00B56688"/>
    <w:rsid w:val="00B65450"/>
    <w:rsid w:val="00B72347"/>
    <w:rsid w:val="00B86388"/>
    <w:rsid w:val="00BB3B39"/>
    <w:rsid w:val="00BC2C3D"/>
    <w:rsid w:val="00BD0BB9"/>
    <w:rsid w:val="00BD5FA5"/>
    <w:rsid w:val="00BE573E"/>
    <w:rsid w:val="00BF67E7"/>
    <w:rsid w:val="00C2696C"/>
    <w:rsid w:val="00C427D3"/>
    <w:rsid w:val="00C47446"/>
    <w:rsid w:val="00C5758E"/>
    <w:rsid w:val="00C601F9"/>
    <w:rsid w:val="00C7602D"/>
    <w:rsid w:val="00C827DC"/>
    <w:rsid w:val="00C95346"/>
    <w:rsid w:val="00CA4340"/>
    <w:rsid w:val="00CB0296"/>
    <w:rsid w:val="00CC4A96"/>
    <w:rsid w:val="00CD1C4A"/>
    <w:rsid w:val="00CE1014"/>
    <w:rsid w:val="00CF42ED"/>
    <w:rsid w:val="00D0143D"/>
    <w:rsid w:val="00D10AB7"/>
    <w:rsid w:val="00D160DD"/>
    <w:rsid w:val="00D21CDE"/>
    <w:rsid w:val="00D22274"/>
    <w:rsid w:val="00D40ADE"/>
    <w:rsid w:val="00D411DD"/>
    <w:rsid w:val="00D46486"/>
    <w:rsid w:val="00D64C2C"/>
    <w:rsid w:val="00D66063"/>
    <w:rsid w:val="00D77D37"/>
    <w:rsid w:val="00D80BC2"/>
    <w:rsid w:val="00D8620E"/>
    <w:rsid w:val="00DA7788"/>
    <w:rsid w:val="00DA7FE6"/>
    <w:rsid w:val="00DB0EC5"/>
    <w:rsid w:val="00DB4539"/>
    <w:rsid w:val="00DE3685"/>
    <w:rsid w:val="00DE5805"/>
    <w:rsid w:val="00E00D68"/>
    <w:rsid w:val="00E01CEB"/>
    <w:rsid w:val="00E11FB2"/>
    <w:rsid w:val="00E275D0"/>
    <w:rsid w:val="00E40ED1"/>
    <w:rsid w:val="00E4747D"/>
    <w:rsid w:val="00E712B9"/>
    <w:rsid w:val="00E96899"/>
    <w:rsid w:val="00EC09E7"/>
    <w:rsid w:val="00EE21B6"/>
    <w:rsid w:val="00EF1B14"/>
    <w:rsid w:val="00EF782E"/>
    <w:rsid w:val="00EF7D6B"/>
    <w:rsid w:val="00F11A07"/>
    <w:rsid w:val="00F258CE"/>
    <w:rsid w:val="00F605C0"/>
    <w:rsid w:val="00F66710"/>
    <w:rsid w:val="00F84112"/>
    <w:rsid w:val="00F84AC6"/>
    <w:rsid w:val="00F86A3C"/>
    <w:rsid w:val="00F90464"/>
    <w:rsid w:val="00F9492F"/>
    <w:rsid w:val="00FC2169"/>
    <w:rsid w:val="00FC2267"/>
    <w:rsid w:val="00FE12C3"/>
    <w:rsid w:val="00FE28C5"/>
    <w:rsid w:val="01CE7727"/>
    <w:rsid w:val="03A37B7C"/>
    <w:rsid w:val="05227AB7"/>
    <w:rsid w:val="05894BAB"/>
    <w:rsid w:val="086256F7"/>
    <w:rsid w:val="0C503AD8"/>
    <w:rsid w:val="0F7628E2"/>
    <w:rsid w:val="0FCB01CA"/>
    <w:rsid w:val="0FD54BD4"/>
    <w:rsid w:val="12D03FDB"/>
    <w:rsid w:val="180E3F6F"/>
    <w:rsid w:val="18CC21E2"/>
    <w:rsid w:val="19D75DEA"/>
    <w:rsid w:val="19FD5543"/>
    <w:rsid w:val="1B99058E"/>
    <w:rsid w:val="1C814AF8"/>
    <w:rsid w:val="1C951C13"/>
    <w:rsid w:val="1CB807EB"/>
    <w:rsid w:val="20461B35"/>
    <w:rsid w:val="20C87833"/>
    <w:rsid w:val="24665D0A"/>
    <w:rsid w:val="25B13028"/>
    <w:rsid w:val="28E042C1"/>
    <w:rsid w:val="2A6B170D"/>
    <w:rsid w:val="2EA357C9"/>
    <w:rsid w:val="2F3069AA"/>
    <w:rsid w:val="33050ADA"/>
    <w:rsid w:val="357D0805"/>
    <w:rsid w:val="38D66FDC"/>
    <w:rsid w:val="39760D9A"/>
    <w:rsid w:val="3A865F58"/>
    <w:rsid w:val="3BC5739B"/>
    <w:rsid w:val="3E3A2DEF"/>
    <w:rsid w:val="41E50202"/>
    <w:rsid w:val="425860C7"/>
    <w:rsid w:val="451C28CD"/>
    <w:rsid w:val="48310C7F"/>
    <w:rsid w:val="49356421"/>
    <w:rsid w:val="4C053323"/>
    <w:rsid w:val="4DCA5A2D"/>
    <w:rsid w:val="528402D9"/>
    <w:rsid w:val="537001BF"/>
    <w:rsid w:val="543E2A9B"/>
    <w:rsid w:val="55004B87"/>
    <w:rsid w:val="56EE7DE3"/>
    <w:rsid w:val="5FAE5678"/>
    <w:rsid w:val="671D1FB4"/>
    <w:rsid w:val="6DF25BEE"/>
    <w:rsid w:val="73B8032F"/>
    <w:rsid w:val="75327A6D"/>
    <w:rsid w:val="75DD3B36"/>
    <w:rsid w:val="78B01713"/>
    <w:rsid w:val="7A016AF0"/>
    <w:rsid w:val="7A872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批注框文本 Char"/>
    <w:link w:val="2"/>
    <w:qFormat/>
    <w:uiPriority w:val="0"/>
    <w:rPr>
      <w:kern w:val="2"/>
      <w:sz w:val="18"/>
      <w:szCs w:val="18"/>
    </w:rPr>
  </w:style>
  <w:style w:type="character" w:customStyle="1" w:styleId="9">
    <w:name w:val="页脚 Char"/>
    <w:link w:val="3"/>
    <w:qFormat/>
    <w:uiPriority w:val="0"/>
    <w:rPr>
      <w:kern w:val="2"/>
      <w:sz w:val="18"/>
      <w:szCs w:val="18"/>
    </w:rPr>
  </w:style>
  <w:style w:type="character" w:customStyle="1" w:styleId="10">
    <w:name w:val="页眉 Char"/>
    <w:link w:val="4"/>
    <w:qFormat/>
    <w:uiPriority w:val="0"/>
    <w:rPr>
      <w:kern w:val="2"/>
      <w:sz w:val="18"/>
      <w:szCs w:val="18"/>
    </w:rPr>
  </w:style>
  <w:style w:type="paragraph" w:customStyle="1" w:styleId="11">
    <w:name w:val="_Style 1"/>
    <w:basedOn w:val="1"/>
    <w:qFormat/>
    <w:uiPriority w:val="34"/>
    <w:pPr>
      <w:ind w:firstLine="420" w:firstLineChars="200"/>
    </w:pPr>
  </w:style>
  <w:style w:type="paragraph" w:styleId="1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23</Pages>
  <Words>1060</Words>
  <Characters>6042</Characters>
  <Lines>50</Lines>
  <Paragraphs>14</Paragraphs>
  <TotalTime>1</TotalTime>
  <ScaleCrop>false</ScaleCrop>
  <LinksUpToDate>false</LinksUpToDate>
  <CharactersWithSpaces>7088</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2026-02-02T08:29:00Z</dcterms:created>
  <dc:creator>保持沉默</dc:creator>
  <cp:lastModifiedBy>Administrator</cp:lastModifiedBy>
  <cp:lastPrinted>2026-02-06T03:01:00Z</cp:lastPrinted>
  <dcterms:modified xsi:type="dcterms:W3CDTF">2026-02-09T03:18:14Z</dcterms:modified>
  <dc:title>XXXXX（单位全称）2021年单位预算情况说明</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KSOTemplateDocerSaveRecord">
    <vt:lpwstr>eyJoZGlkIjoiNmRiNzY3NDE1ZjQ1MzMxYjBkMWQyOTk5ZjYzYWJiZTYiLCJ1c2VySWQiOiIzMDM4MTIxMDcifQ==</vt:lpwstr>
  </property>
  <property fmtid="{D5CDD505-2E9C-101B-9397-08002B2CF9AE}" pid="4" name="ICV">
    <vt:lpwstr>47729A9459FC47009651233DE5BF31C5_11</vt:lpwstr>
  </property>
</Properties>
</file>