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重庆市垫江中学校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实施高中和初中基础教育；实施高中阶段教育；适龄青少年义务教育；全面推进素质教育；负责学校卫生、安全、稳定；学校经费与校产管理；师资队伍建设；指定本区域教育发展规划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年年初预算数19360.78万元，其中：一般公共预算拨款17543.98万元，政府性基金预算拨款5.26万元，</w:t>
      </w:r>
      <w:r>
        <w:rPr>
          <w:rFonts w:hint="eastAsia" w:ascii="Times New Roman" w:hAnsi="Times New Roman" w:eastAsia="方正仿宋_GBK"/>
          <w:sz w:val="32"/>
        </w:rPr>
        <w:t>财政专户管理资金</w:t>
      </w:r>
      <w:r>
        <w:rPr>
          <w:rFonts w:ascii="Times New Roman" w:hAnsi="Times New Roman" w:eastAsia="方正仿宋_GBK"/>
          <w:sz w:val="32"/>
        </w:rPr>
        <w:t>预算收入815</w:t>
      </w:r>
      <w:r>
        <w:rPr>
          <w:rFonts w:hint="eastAsia" w:ascii="Times New Roman" w:hAnsi="Times New Roman" w:eastAsia="方正仿宋_GBK"/>
          <w:sz w:val="32"/>
        </w:rPr>
        <w:t>.00</w:t>
      </w:r>
      <w:r>
        <w:rPr>
          <w:rFonts w:ascii="Times New Roman" w:hAnsi="Times New Roman" w:eastAsia="方正仿宋_GBK"/>
          <w:sz w:val="32"/>
        </w:rPr>
        <w:t>万元，事业收入0万元，其他收入700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，上年结转结余资金296.55万元</w:t>
      </w:r>
      <w:r>
        <w:rPr>
          <w:rFonts w:ascii="Times New Roman" w:hAnsi="Times New Roman" w:eastAsia="方正仿宋_GBK"/>
          <w:sz w:val="32"/>
        </w:rPr>
        <w:t>；收入较去年增加了5597.08万元，主要是一般公共预算财政拨款增加了5188.3万元，上年结转结余资金等单位资金增加了408.78万元。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年年初预算数19360.78万元，其中：一般公共服务支出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万元，教育支出16144.97万元，社会保障和就业支出2113.05万元，卫生健康支出498.86万元，住房保障支出598.64万元</w:t>
      </w:r>
      <w:r>
        <w:rPr>
          <w:rFonts w:hint="eastAsia" w:ascii="Times New Roman" w:hAnsi="Times New Roman" w:eastAsia="方正仿宋_GBK"/>
          <w:sz w:val="32"/>
        </w:rPr>
        <w:t>，其他支出5.26万元</w:t>
      </w:r>
      <w:r>
        <w:rPr>
          <w:rFonts w:ascii="Times New Roman" w:hAnsi="Times New Roman" w:eastAsia="方正仿宋_GBK"/>
          <w:sz w:val="32"/>
        </w:rPr>
        <w:t>；支出较去年增加了5597.08万元，主要是基本支出增加了975.4</w:t>
      </w:r>
      <w:r>
        <w:rPr>
          <w:rFonts w:hint="eastAsia" w:ascii="Times New Roman" w:hAnsi="Times New Roman" w:eastAsia="方正仿宋_GBK"/>
          <w:sz w:val="32"/>
        </w:rPr>
        <w:t>8</w:t>
      </w:r>
      <w:r>
        <w:rPr>
          <w:rFonts w:ascii="Times New Roman" w:hAnsi="Times New Roman" w:eastAsia="方正仿宋_GBK"/>
          <w:sz w:val="32"/>
        </w:rPr>
        <w:t>万元，项目支出增加了4626.87万元。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年一般公共预算财政拨款收入17543.98万元，一般公共预算财政拨款支出17543.98万元，比202</w:t>
      </w:r>
      <w:r>
        <w:rPr>
          <w:rFonts w:hint="eastAsia" w:ascii="Times New Roman" w:hAnsi="Times New Roman" w:eastAsia="方正仿宋_GBK"/>
          <w:sz w:val="32"/>
        </w:rPr>
        <w:t>5</w:t>
      </w:r>
      <w:r>
        <w:rPr>
          <w:rFonts w:ascii="Times New Roman" w:hAnsi="Times New Roman" w:eastAsia="方正仿宋_GBK"/>
          <w:sz w:val="32"/>
        </w:rPr>
        <w:t>年增加了5188.3</w:t>
      </w:r>
      <w:r>
        <w:rPr>
          <w:rFonts w:hint="eastAsia" w:ascii="Times New Roman" w:hAnsi="Times New Roman" w:eastAsia="方正仿宋_GBK"/>
          <w:sz w:val="32"/>
        </w:rPr>
        <w:t>0</w:t>
      </w:r>
      <w:r>
        <w:rPr>
          <w:rFonts w:ascii="Times New Roman" w:hAnsi="Times New Roman" w:eastAsia="方正仿宋_GBK"/>
          <w:sz w:val="32"/>
        </w:rPr>
        <w:t>万元。其中：基本支出11077.08万元，比202</w:t>
      </w:r>
      <w:r>
        <w:rPr>
          <w:rFonts w:hint="eastAsia" w:ascii="Times New Roman" w:hAnsi="Times New Roman" w:eastAsia="方正仿宋_GBK"/>
          <w:sz w:val="32"/>
        </w:rPr>
        <w:t>5</w:t>
      </w:r>
      <w:r>
        <w:rPr>
          <w:rFonts w:ascii="Times New Roman" w:hAnsi="Times New Roman" w:eastAsia="方正仿宋_GBK"/>
          <w:sz w:val="32"/>
        </w:rPr>
        <w:t>年增加了566.70万元，主要原因是教职工正常晋升、职级变化等人员经费增加，主要用于保障在职人员工资福利及社会保险缴费、离休人员离休费、退休人员补助等，保障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支出；项目支出6466.9</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w:t>
      </w:r>
      <w:r>
        <w:rPr>
          <w:rFonts w:hint="eastAsia" w:ascii="Times New Roman" w:hAnsi="Times New Roman" w:eastAsia="方正仿宋_GBK"/>
          <w:sz w:val="32"/>
        </w:rPr>
        <w:t>4621.60</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年政府性基金预算收入与2025年相比增加了5</w:t>
      </w:r>
      <w:r>
        <w:rPr>
          <w:rFonts w:hint="eastAsia" w:ascii="Times New Roman" w:hAnsi="Times New Roman" w:eastAsia="方正仿宋_GBK"/>
          <w:sz w:val="32"/>
        </w:rPr>
        <w:t>.26</w:t>
      </w:r>
      <w:r>
        <w:rPr>
          <w:rFonts w:ascii="Times New Roman" w:hAnsi="Times New Roman" w:eastAsia="方正仿宋_GBK"/>
          <w:sz w:val="32"/>
        </w:rPr>
        <w:t>万元，政府性基金预算支出5</w:t>
      </w:r>
      <w:r>
        <w:rPr>
          <w:rFonts w:hint="eastAsia" w:ascii="Times New Roman" w:hAnsi="Times New Roman" w:eastAsia="方正仿宋_GBK"/>
          <w:sz w:val="32"/>
        </w:rPr>
        <w:t>.26</w:t>
      </w:r>
      <w:r>
        <w:rPr>
          <w:rFonts w:ascii="Times New Roman" w:hAnsi="Times New Roman" w:eastAsia="方正仿宋_GBK"/>
          <w:sz w:val="32"/>
        </w:rPr>
        <w:t>万元，与2025年相比增加了5</w:t>
      </w:r>
      <w:r>
        <w:rPr>
          <w:rFonts w:hint="eastAsia" w:ascii="Times New Roman" w:hAnsi="Times New Roman" w:eastAsia="方正仿宋_GBK"/>
          <w:sz w:val="32"/>
        </w:rPr>
        <w:t>.26万元</w:t>
      </w:r>
      <w:r>
        <w:rPr>
          <w:rFonts w:ascii="Times New Roman" w:hAnsi="Times New Roman" w:eastAsia="方正仿宋_GBK"/>
          <w:sz w:val="32"/>
        </w:rPr>
        <w:t>，主要原因是增加了</w:t>
      </w:r>
      <w:r>
        <w:rPr>
          <w:rFonts w:hint="eastAsia" w:ascii="Times New Roman" w:hAnsi="Times New Roman" w:eastAsia="方正仿宋_GBK"/>
          <w:sz w:val="32"/>
        </w:rPr>
        <w:t>政府性基金安排的</w:t>
      </w:r>
      <w:r>
        <w:rPr>
          <w:rFonts w:ascii="Times New Roman" w:hAnsi="Times New Roman" w:eastAsia="方正仿宋_GBK"/>
          <w:sz w:val="32"/>
        </w:rPr>
        <w:t>项目经费投入</w:t>
      </w:r>
      <w:r>
        <w:rPr>
          <w:rFonts w:hint="eastAsia" w:ascii="Times New Roman" w:hAnsi="Times New Roman" w:eastAsia="方正仿宋_GBK"/>
          <w:sz w:val="32"/>
        </w:rPr>
        <w:t>，主要用于学校心理咨询室建设。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6.00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增加了2.00万元</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6.00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增加了2.00万元</w:t>
      </w:r>
      <w:r>
        <w:rPr>
          <w:rFonts w:ascii="Times New Roman" w:hAnsi="Times New Roman" w:eastAsia="方正仿宋_GBK"/>
          <w:sz w:val="32"/>
        </w:rPr>
        <w:t>；</w:t>
      </w:r>
      <w:r>
        <w:rPr>
          <w:rFonts w:hint="eastAsia" w:ascii="Times New Roman" w:hAnsi="Times New Roman" w:eastAsia="方正仿宋_GBK"/>
          <w:sz w:val="32"/>
        </w:rPr>
        <w:t>主要原因是车辆运行时长增加，维修维护费用增加；</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单位政府采购预算总额217</w:t>
      </w:r>
      <w:r>
        <w:rPr>
          <w:rFonts w:hint="eastAsia" w:ascii="Times New Roman" w:hAnsi="Times New Roman" w:eastAsia="方正仿宋_GBK"/>
          <w:sz w:val="32"/>
        </w:rPr>
        <w:t>.00</w:t>
      </w:r>
      <w:r>
        <w:rPr>
          <w:rFonts w:ascii="Times New Roman" w:hAnsi="Times New Roman" w:eastAsia="方正仿宋_GBK"/>
          <w:sz w:val="32"/>
        </w:rPr>
        <w:t>万元：政府采购货物预算137</w:t>
      </w:r>
      <w:r>
        <w:rPr>
          <w:rFonts w:hint="eastAsia" w:ascii="Times New Roman" w:hAnsi="Times New Roman" w:eastAsia="方正仿宋_GBK"/>
          <w:sz w:val="32"/>
        </w:rPr>
        <w:t>.00</w:t>
      </w:r>
      <w:r>
        <w:rPr>
          <w:rFonts w:ascii="Times New Roman" w:hAnsi="Times New Roman" w:eastAsia="方正仿宋_GBK"/>
          <w:sz w:val="32"/>
        </w:rPr>
        <w:t>万元、政府采购工程预算80</w:t>
      </w:r>
      <w:r>
        <w:rPr>
          <w:rFonts w:hint="eastAsia" w:ascii="Times New Roman" w:hAnsi="Times New Roman" w:eastAsia="方正仿宋_GBK"/>
          <w:sz w:val="32"/>
        </w:rPr>
        <w:t>.00</w:t>
      </w:r>
      <w:r>
        <w:rPr>
          <w:rFonts w:ascii="Times New Roman" w:hAnsi="Times New Roman" w:eastAsia="方正仿宋_GBK"/>
          <w:sz w:val="32"/>
        </w:rPr>
        <w:t>万元、政府采购服务预算0万元；其中一般公共预算拨款政府采购216</w:t>
      </w:r>
      <w:r>
        <w:rPr>
          <w:rFonts w:hint="eastAsia" w:ascii="Times New Roman" w:hAnsi="Times New Roman" w:eastAsia="方正仿宋_GBK"/>
          <w:sz w:val="32"/>
        </w:rPr>
        <w:t>.00</w:t>
      </w:r>
      <w:r>
        <w:rPr>
          <w:rFonts w:ascii="Times New Roman" w:hAnsi="Times New Roman" w:eastAsia="方正仿宋_GBK"/>
          <w:sz w:val="32"/>
        </w:rPr>
        <w:t>万元：政府采购货物预算136</w:t>
      </w:r>
      <w:r>
        <w:rPr>
          <w:rFonts w:hint="eastAsia" w:ascii="Times New Roman" w:hAnsi="Times New Roman" w:eastAsia="方正仿宋_GBK"/>
          <w:sz w:val="32"/>
        </w:rPr>
        <w:t>.00</w:t>
      </w:r>
      <w:r>
        <w:rPr>
          <w:rFonts w:ascii="Times New Roman" w:hAnsi="Times New Roman" w:eastAsia="方正仿宋_GBK"/>
          <w:sz w:val="32"/>
        </w:rPr>
        <w:t>万元、政府采购工程预算80</w:t>
      </w:r>
      <w:r>
        <w:rPr>
          <w:rFonts w:hint="eastAsia" w:ascii="Times New Roman" w:hAnsi="Times New Roman" w:eastAsia="方正仿宋_GBK"/>
          <w:sz w:val="32"/>
        </w:rPr>
        <w:t>.00</w:t>
      </w:r>
      <w:r>
        <w:rPr>
          <w:rFonts w:ascii="Times New Roman" w:hAnsi="Times New Roman" w:eastAsia="方正仿宋_GBK"/>
          <w:sz w:val="32"/>
        </w:rPr>
        <w:t>万元、政府采购服务预算0万元</w:t>
      </w:r>
      <w:r>
        <w:rPr>
          <w:rFonts w:hint="eastAsia" w:ascii="Times New Roman" w:hAnsi="Times New Roman" w:eastAsia="方正仿宋_GBK"/>
          <w:sz w:val="32"/>
        </w:rPr>
        <w:t>；政府性基金</w:t>
      </w:r>
      <w:r>
        <w:rPr>
          <w:rFonts w:ascii="Times New Roman" w:hAnsi="Times New Roman" w:eastAsia="方正仿宋_GBK"/>
          <w:sz w:val="32"/>
        </w:rPr>
        <w:t>预算拨款政府采购</w:t>
      </w:r>
      <w:r>
        <w:rPr>
          <w:rFonts w:hint="eastAsia" w:ascii="Times New Roman" w:hAnsi="Times New Roman" w:eastAsia="方正仿宋_GBK"/>
          <w:sz w:val="32"/>
        </w:rPr>
        <w:t>1.00</w:t>
      </w:r>
      <w:r>
        <w:rPr>
          <w:rFonts w:ascii="Times New Roman" w:hAnsi="Times New Roman" w:eastAsia="方正仿宋_GBK"/>
          <w:sz w:val="32"/>
        </w:rPr>
        <w:t>万元：政府采购货物预算</w:t>
      </w:r>
      <w:r>
        <w:rPr>
          <w:rFonts w:hint="eastAsia" w:ascii="Times New Roman" w:hAnsi="Times New Roman" w:eastAsia="方正仿宋_GBK"/>
          <w:sz w:val="32"/>
        </w:rPr>
        <w:t>1.00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年项目支出均实行了绩效目标管理，涉及一般公共预算当年财政拨款6466.9</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val="en-US"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1</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年财政拨款委托业务费支出0万元，主要是2026年我单位未安排委托业务的预算支出。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sz w:val="32"/>
        </w:rPr>
        <w:t>单位预算公开联系人：袁老师   联系方式：023-74656638</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附表：1.重庆市垫江中学校财政拨款收支总表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2.重庆市垫江中学校一般公共预算财政拨款支出预算表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3.重庆市垫江中学校一般公共预算财政拨款基本支出预算表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4.重庆市垫江中学校一般公共预算“三公”经费支出表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5.重庆市垫江中学校政府性基金预算支出表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6.重庆市垫江中学校收支总表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7.重庆市垫江中学校收入总表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8.重庆市垫江中学校支出总表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9.重庆市垫江中学校政府采购</w:t>
      </w:r>
      <w:r>
        <w:rPr>
          <w:rFonts w:hint="eastAsia" w:ascii="Times New Roman" w:hAnsi="Times New Roman" w:eastAsia="方正仿宋_GBK"/>
          <w:color w:val="000000"/>
          <w:kern w:val="0"/>
          <w:sz w:val="32"/>
          <w:szCs w:val="32"/>
          <w:lang w:eastAsia="zh-CN"/>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10.重庆市垫江中学校202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72390</wp:posOffset>
            </wp:positionV>
            <wp:extent cx="8380730" cy="5062220"/>
            <wp:effectExtent l="0" t="0" r="1270" b="5080"/>
            <wp:wrapThrough wrapText="bothSides">
              <wp:wrapPolygon>
                <wp:start x="0" y="0"/>
                <wp:lineTo x="0" y="21540"/>
                <wp:lineTo x="21554" y="21540"/>
                <wp:lineTo x="21554"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0730" cy="5062220"/>
                    </a:xfrm>
                    <a:prstGeom prst="rect">
                      <a:avLst/>
                    </a:prstGeom>
                    <a:noFill/>
                    <a:ln>
                      <a:noFill/>
                    </a:ln>
                  </pic:spPr>
                </pic:pic>
              </a:graphicData>
            </a:graphic>
          </wp:anchor>
        </w:drawing>
      </w:r>
    </w:p>
    <w:p>
      <w:r>
        <w:drawing>
          <wp:inline distT="0" distB="0" distL="114300" distR="114300">
            <wp:extent cx="8382000" cy="49098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382000" cy="4909820"/>
                    </a:xfrm>
                    <a:prstGeom prst="rect">
                      <a:avLst/>
                    </a:prstGeom>
                    <a:noFill/>
                    <a:ln>
                      <a:noFill/>
                    </a:ln>
                  </pic:spPr>
                </pic:pic>
              </a:graphicData>
            </a:graphic>
          </wp:inline>
        </w:drawing>
      </w:r>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23255" cy="6440805"/>
            <wp:effectExtent l="0" t="0" r="1079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6440805"/>
                    </a:xfrm>
                    <a:prstGeom prst="rect">
                      <a:avLst/>
                    </a:prstGeom>
                    <a:noFill/>
                    <a:ln>
                      <a:noFill/>
                    </a:ln>
                  </pic:spPr>
                </pic:pic>
              </a:graphicData>
            </a:graphic>
          </wp:inline>
        </w:drawing>
      </w:r>
    </w:p>
    <w:p/>
    <w:p/>
    <w:p/>
    <w:p/>
    <w:p/>
    <w:p/>
    <w:p/>
    <w:p/>
    <w:p>
      <w:pPr>
        <w:sectPr>
          <w:type w:val="continuous"/>
          <w:pgSz w:w="11906" w:h="16838"/>
          <w:pgMar w:top="1984" w:right="1446" w:bottom="1644" w:left="1446" w:header="851" w:footer="992" w:gutter="0"/>
          <w:cols w:space="0" w:num="1"/>
          <w:docGrid w:type="lines" w:linePitch="321" w:charSpace="0"/>
        </w:sectPr>
      </w:pPr>
    </w:p>
    <w:p>
      <w:pPr>
        <w:jc w:val="center"/>
      </w:pPr>
    </w:p>
    <w:p>
      <w:r>
        <w:drawing>
          <wp:inline distT="0" distB="0" distL="0" distR="0">
            <wp:extent cx="8388350" cy="2487930"/>
            <wp:effectExtent l="0" t="0" r="1270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88350" cy="2488432"/>
                    </a:xfrm>
                    <a:prstGeom prst="rect">
                      <a:avLst/>
                    </a:prstGeom>
                    <a:noFill/>
                    <a:ln>
                      <a:noFill/>
                    </a:ln>
                  </pic:spPr>
                </pic:pic>
              </a:graphicData>
            </a:graphic>
          </wp:inline>
        </w:drawing>
      </w:r>
    </w:p>
    <w:p/>
    <w:p/>
    <w:p/>
    <w:p/>
    <w:p/>
    <w:p/>
    <w:p/>
    <w:p/>
    <w:p/>
    <w:p/>
    <w:p>
      <w:pPr>
        <w:jc w:val="center"/>
      </w:pPr>
      <w:r>
        <w:drawing>
          <wp:inline distT="0" distB="0" distL="114300" distR="114300">
            <wp:extent cx="767715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
    <w:p/>
    <w:p/>
    <w:p/>
    <w:p/>
    <w:p/>
    <w:p/>
    <w:p/>
    <w:p/>
    <w:p/>
    <w:p>
      <w:r>
        <w:drawing>
          <wp:inline distT="0" distB="0" distL="114300" distR="114300">
            <wp:extent cx="8382635" cy="5138420"/>
            <wp:effectExtent l="0" t="0" r="1841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382635" cy="5138420"/>
                    </a:xfrm>
                    <a:prstGeom prst="rect">
                      <a:avLst/>
                    </a:prstGeom>
                    <a:noFill/>
                    <a:ln>
                      <a:noFill/>
                    </a:ln>
                  </pic:spPr>
                </pic:pic>
              </a:graphicData>
            </a:graphic>
          </wp:inline>
        </w:drawing>
      </w:r>
    </w:p>
    <w:p/>
    <w:p/>
    <w:p>
      <w:r>
        <w:drawing>
          <wp:inline distT="0" distB="0" distL="114300" distR="114300">
            <wp:extent cx="8383270" cy="5499100"/>
            <wp:effectExtent l="0" t="0" r="1778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5499100"/>
                    </a:xfrm>
                    <a:prstGeom prst="rect">
                      <a:avLst/>
                    </a:prstGeom>
                    <a:noFill/>
                    <a:ln>
                      <a:noFill/>
                    </a:ln>
                  </pic:spPr>
                </pic:pic>
              </a:graphicData>
            </a:graphic>
          </wp:inline>
        </w:drawing>
      </w:r>
    </w:p>
    <w:p>
      <w:r>
        <w:drawing>
          <wp:inline distT="0" distB="0" distL="0" distR="0">
            <wp:extent cx="8388350" cy="54514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451792"/>
                    </a:xfrm>
                    <a:prstGeom prst="rect">
                      <a:avLst/>
                    </a:prstGeom>
                    <a:noFill/>
                    <a:ln>
                      <a:noFill/>
                    </a:ln>
                  </pic:spPr>
                </pic:pic>
              </a:graphicData>
            </a:graphic>
          </wp:inline>
        </w:drawing>
      </w:r>
    </w:p>
    <w:p>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
    <w:p/>
    <w:p/>
    <w:p/>
    <w:p/>
    <w:p/>
    <w:p/>
    <w:p/>
    <w:p/>
    <w:p/>
    <w:p/>
    <w:p/>
    <w:p/>
    <w:p/>
    <w:p>
      <w:pPr>
        <w:sectPr>
          <w:type w:val="continuous"/>
          <w:pgSz w:w="16838" w:h="11906" w:orient="landscape"/>
          <w:pgMar w:top="1446" w:right="1984" w:bottom="1446" w:left="1644" w:header="851" w:footer="992" w:gutter="0"/>
          <w:cols w:space="0" w:num="1"/>
          <w:docGrid w:type="lines" w:linePitch="321" w:charSpace="0"/>
        </w:sectPr>
      </w:pPr>
    </w:p>
    <w:p>
      <w:r>
        <w:rPr>
          <w:rFonts w:hint="eastAsia"/>
        </w:rPr>
        <w:t>表十</w:t>
      </w:r>
    </w:p>
    <w:tbl>
      <w:tblPr>
        <w:tblStyle w:val="7"/>
        <w:tblW w:w="9220" w:type="dxa"/>
        <w:tblInd w:w="93" w:type="dxa"/>
        <w:tblLayout w:type="fixed"/>
        <w:tblCellMar>
          <w:top w:w="0" w:type="dxa"/>
          <w:left w:w="108" w:type="dxa"/>
          <w:bottom w:w="0" w:type="dxa"/>
          <w:right w:w="108" w:type="dxa"/>
        </w:tblCellMar>
      </w:tblPr>
      <w:tblGrid>
        <w:gridCol w:w="1089"/>
        <w:gridCol w:w="1042"/>
        <w:gridCol w:w="1160"/>
        <w:gridCol w:w="1476"/>
        <w:gridCol w:w="1066"/>
        <w:gridCol w:w="1196"/>
        <w:gridCol w:w="1240"/>
        <w:gridCol w:w="951"/>
      </w:tblGrid>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重庆市垫江中学校</w:t>
            </w: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843"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张桄华</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52.76</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52.76</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Layout w:type="fixed"/>
          <w:tblCellMar>
            <w:top w:w="0" w:type="dxa"/>
            <w:left w:w="108" w:type="dxa"/>
            <w:bottom w:w="0" w:type="dxa"/>
            <w:right w:w="108" w:type="dxa"/>
          </w:tblCellMar>
        </w:tblPrEx>
        <w:trPr>
          <w:trHeight w:val="437"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安全保障率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保安资金配套标准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733"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904"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王建平</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316.32</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316.32</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tblPrEx>
          <w:tblLayout w:type="fixed"/>
          <w:tblCellMar>
            <w:top w:w="0" w:type="dxa"/>
            <w:left w:w="108" w:type="dxa"/>
            <w:bottom w:w="0" w:type="dxa"/>
            <w:right w:w="108" w:type="dxa"/>
          </w:tblCellMar>
        </w:tblPrEx>
        <w:trPr>
          <w:trHeight w:val="693"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825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3830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843"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50023126T000005417224-普通高中学生资助（市级重点）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黄小燕</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31.00</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31.00</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普通高中学生资助（市级）</w:t>
            </w:r>
          </w:p>
        </w:tc>
      </w:tr>
      <w:tr>
        <w:tblPrEx>
          <w:tblLayout w:type="fixed"/>
          <w:tblCellMar>
            <w:top w:w="0" w:type="dxa"/>
            <w:left w:w="108" w:type="dxa"/>
            <w:bottom w:w="0" w:type="dxa"/>
            <w:right w:w="108" w:type="dxa"/>
          </w:tblCellMar>
        </w:tblPrEx>
        <w:trPr>
          <w:trHeight w:val="632"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贫困生生活</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904"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黄小燕</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0.24</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0.24</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家庭经济困难学生生活补助（市级）</w:t>
            </w:r>
          </w:p>
        </w:tc>
      </w:tr>
      <w:tr>
        <w:tblPrEx>
          <w:tblLayout w:type="fixed"/>
          <w:tblCellMar>
            <w:top w:w="0" w:type="dxa"/>
            <w:left w:w="108" w:type="dxa"/>
            <w:bottom w:w="0" w:type="dxa"/>
            <w:right w:w="108" w:type="dxa"/>
          </w:tblCellMar>
        </w:tblPrEx>
        <w:trPr>
          <w:trHeight w:val="705"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家庭经济困难补助标准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贫困生生活改善</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贫困生覆盖率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843"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50023126T000005550385-学校心理咨询室建设（重点）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张桄华</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5.00</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学校心理咨询室建设</w:t>
            </w:r>
          </w:p>
        </w:tc>
      </w:tr>
      <w:tr>
        <w:tblPrEx>
          <w:tblLayout w:type="fixed"/>
          <w:tblCellMar>
            <w:top w:w="0" w:type="dxa"/>
            <w:left w:w="108" w:type="dxa"/>
            <w:bottom w:w="0" w:type="dxa"/>
            <w:right w:w="108" w:type="dxa"/>
          </w:tblCellMar>
        </w:tblPrEx>
        <w:trPr>
          <w:trHeight w:val="717"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教师、学生心理健康情况</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904"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心理健康咨询室专业设备采购</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心理健康教育宣传展板</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张</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心理健康咨询室电脑采购</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设备验收合格率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教师、学生满意度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心理健康教育宣传展板</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元/张</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心理健康咨询室电脑</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心理健康咨询室专业设备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1202"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王建平</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9.10</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9.10</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w:t>
            </w:r>
            <w:r>
              <w:rPr>
                <w:rFonts w:hint="eastAsia" w:ascii="宋体" w:hAnsi="宋体" w:cs="宋体"/>
                <w:color w:val="000000"/>
                <w:kern w:val="0"/>
                <w:sz w:val="22"/>
                <w:lang w:val="en-US" w:eastAsia="zh-CN" w:bidi="ar"/>
              </w:rPr>
              <w:t>随班就读</w:t>
            </w:r>
            <w:bookmarkStart w:id="0" w:name="_GoBack"/>
            <w:bookmarkEnd w:id="0"/>
            <w:r>
              <w:rPr>
                <w:rFonts w:ascii="宋体" w:hAnsi="宋体" w:cs="宋体"/>
                <w:color w:val="000000"/>
                <w:kern w:val="0"/>
                <w:sz w:val="22"/>
                <w:lang w:bidi="ar"/>
              </w:rPr>
              <w:t>学生教育。</w:t>
            </w:r>
          </w:p>
        </w:tc>
      </w:tr>
      <w:tr>
        <w:tblPrEx>
          <w:tblLayout w:type="fixed"/>
          <w:tblCellMar>
            <w:top w:w="0" w:type="dxa"/>
            <w:left w:w="108" w:type="dxa"/>
            <w:bottom w:w="0" w:type="dxa"/>
            <w:right w:w="108" w:type="dxa"/>
          </w:tblCellMar>
        </w:tblPrEx>
        <w:trPr>
          <w:trHeight w:val="412"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843"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50023126T000005550911-普通高中生均公用经费（重点）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王建平</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204.55</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204.55</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普通高中生均公用经费，用于高中阶段学校日常运转，达到高中阶段学校顺利开展教育教学的目的。</w:t>
            </w:r>
          </w:p>
        </w:tc>
      </w:tr>
      <w:tr>
        <w:tblPrEx>
          <w:tblLayout w:type="fixed"/>
          <w:tblCellMar>
            <w:top w:w="0" w:type="dxa"/>
            <w:left w:w="108" w:type="dxa"/>
            <w:bottom w:w="0" w:type="dxa"/>
            <w:right w:w="108" w:type="dxa"/>
          </w:tblCellMar>
        </w:tblPrEx>
        <w:trPr>
          <w:trHeight w:val="632"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学生入学率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学生人数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3974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904"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50023126T000005550995-普通高中学校改善办学条件资金（重点）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刘春荣</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653"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407"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34"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160.00</w:t>
            </w:r>
          </w:p>
        </w:tc>
      </w:tr>
      <w:tr>
        <w:tblPrEx>
          <w:tblLayout w:type="fixed"/>
          <w:tblCellMar>
            <w:top w:w="0" w:type="dxa"/>
            <w:left w:w="108" w:type="dxa"/>
            <w:bottom w:w="0" w:type="dxa"/>
            <w:right w:w="108" w:type="dxa"/>
          </w:tblCellMar>
        </w:tblPrEx>
        <w:trPr>
          <w:trHeight w:val="433"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160.00</w:t>
            </w:r>
          </w:p>
        </w:tc>
      </w:tr>
      <w:tr>
        <w:tblPrEx>
          <w:tblLayout w:type="fixed"/>
          <w:tblCellMar>
            <w:top w:w="0" w:type="dxa"/>
            <w:left w:w="108" w:type="dxa"/>
            <w:bottom w:w="0" w:type="dxa"/>
            <w:right w:w="108" w:type="dxa"/>
          </w:tblCellMar>
        </w:tblPrEx>
        <w:trPr>
          <w:trHeight w:val="412"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完成AI体育器材、人工智能教育数字教育资源购买</w:t>
            </w:r>
          </w:p>
        </w:tc>
      </w:tr>
      <w:tr>
        <w:tblPrEx>
          <w:tblLayout w:type="fixed"/>
          <w:tblCellMar>
            <w:top w:w="0" w:type="dxa"/>
            <w:left w:w="108" w:type="dxa"/>
            <w:bottom w:w="0" w:type="dxa"/>
            <w:right w:w="108" w:type="dxa"/>
          </w:tblCellMar>
        </w:tblPrEx>
        <w:trPr>
          <w:trHeight w:val="321"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扫描仪总值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信息学竞赛设备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AI自习室建设</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45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AI体育器材</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完成采购数目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97" w:hRule="atLeast"/>
        </w:trPr>
        <w:tc>
          <w:tcPr>
            <w:tcW w:w="92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2" w:hRule="atLeast"/>
        </w:trPr>
        <w:tc>
          <w:tcPr>
            <w:tcW w:w="108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131"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904"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余满江</w:t>
            </w:r>
            <w:r>
              <w:rPr>
                <w:rFonts w:hint="eastAsia" w:ascii="宋体" w:hAnsi="宋体" w:cs="宋体"/>
                <w:color w:val="000000"/>
                <w:kern w:val="0"/>
                <w:sz w:val="22"/>
                <w:lang w:bidi="ar"/>
              </w:rPr>
              <w:t>023-74656638</w:t>
            </w:r>
          </w:p>
        </w:tc>
      </w:tr>
      <w:tr>
        <w:tblPrEx>
          <w:tblLayout w:type="fixed"/>
          <w:tblCellMar>
            <w:top w:w="0" w:type="dxa"/>
            <w:left w:w="108" w:type="dxa"/>
            <w:bottom w:w="0" w:type="dxa"/>
            <w:right w:w="108" w:type="dxa"/>
          </w:tblCellMar>
        </w:tblPrEx>
        <w:trPr>
          <w:trHeight w:val="858" w:hRule="atLeast"/>
        </w:trPr>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134111-重庆市垫江中学校</w:t>
            </w:r>
          </w:p>
        </w:tc>
      </w:tr>
      <w:tr>
        <w:tblPrEx>
          <w:tblLayout w:type="fixed"/>
          <w:tblCellMar>
            <w:top w:w="0" w:type="dxa"/>
            <w:left w:w="108" w:type="dxa"/>
            <w:bottom w:w="0" w:type="dxa"/>
            <w:right w:w="108" w:type="dxa"/>
          </w:tblCellMar>
        </w:tblPrEx>
        <w:trPr>
          <w:trHeight w:val="634" w:hRule="atLeast"/>
        </w:trPr>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2" w:hRule="atLeast"/>
        </w:trPr>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Layout w:type="fixed"/>
          <w:tblCellMar>
            <w:top w:w="0" w:type="dxa"/>
            <w:left w:w="108" w:type="dxa"/>
            <w:bottom w:w="0" w:type="dxa"/>
            <w:right w:w="108" w:type="dxa"/>
          </w:tblCellMar>
        </w:tblPrEx>
        <w:trPr>
          <w:trHeight w:val="650"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Layout w:type="fixed"/>
          <w:tblCellMar>
            <w:top w:w="0" w:type="dxa"/>
            <w:left w:w="108" w:type="dxa"/>
            <w:bottom w:w="0" w:type="dxa"/>
            <w:right w:w="108" w:type="dxa"/>
          </w:tblCellMar>
        </w:tblPrEx>
        <w:trPr>
          <w:trHeight w:val="618" w:hRule="atLeast"/>
        </w:trPr>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7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13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669"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13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94"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0"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实施周期</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科学实验仪器设备数量</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科学实验仪器设备</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06"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529DD"/>
    <w:rsid w:val="00006FB1"/>
    <w:rsid w:val="0001271B"/>
    <w:rsid w:val="00023A4C"/>
    <w:rsid w:val="00033590"/>
    <w:rsid w:val="00042219"/>
    <w:rsid w:val="00047C7A"/>
    <w:rsid w:val="00053834"/>
    <w:rsid w:val="000551A4"/>
    <w:rsid w:val="000624D8"/>
    <w:rsid w:val="00066516"/>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37279"/>
    <w:rsid w:val="00940465"/>
    <w:rsid w:val="00942ED0"/>
    <w:rsid w:val="0094655E"/>
    <w:rsid w:val="00946D33"/>
    <w:rsid w:val="009561D9"/>
    <w:rsid w:val="009653AE"/>
    <w:rsid w:val="00972AB0"/>
    <w:rsid w:val="00983001"/>
    <w:rsid w:val="0098712E"/>
    <w:rsid w:val="009B77D4"/>
    <w:rsid w:val="009D7A6B"/>
    <w:rsid w:val="009E6734"/>
    <w:rsid w:val="009F01A9"/>
    <w:rsid w:val="00A0494A"/>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1461B"/>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EBC732B"/>
    <w:rsid w:val="0FCB01CA"/>
    <w:rsid w:val="0FD54BD4"/>
    <w:rsid w:val="12D03FDB"/>
    <w:rsid w:val="15337765"/>
    <w:rsid w:val="180E3F6F"/>
    <w:rsid w:val="18CC21E2"/>
    <w:rsid w:val="19D75DEA"/>
    <w:rsid w:val="19FD5543"/>
    <w:rsid w:val="1B99058E"/>
    <w:rsid w:val="1C814AF8"/>
    <w:rsid w:val="1C951C13"/>
    <w:rsid w:val="1E4D1C45"/>
    <w:rsid w:val="21C6143E"/>
    <w:rsid w:val="25B13028"/>
    <w:rsid w:val="28D43E54"/>
    <w:rsid w:val="28E042C1"/>
    <w:rsid w:val="2A6B170D"/>
    <w:rsid w:val="2CD70638"/>
    <w:rsid w:val="2EA357C9"/>
    <w:rsid w:val="30477CAC"/>
    <w:rsid w:val="33050ADA"/>
    <w:rsid w:val="34F529DD"/>
    <w:rsid w:val="357D0805"/>
    <w:rsid w:val="38D66FDC"/>
    <w:rsid w:val="3A865F58"/>
    <w:rsid w:val="3BC5739B"/>
    <w:rsid w:val="3E891130"/>
    <w:rsid w:val="3EE012E8"/>
    <w:rsid w:val="41B23E65"/>
    <w:rsid w:val="41E50202"/>
    <w:rsid w:val="48310C7F"/>
    <w:rsid w:val="48360CBE"/>
    <w:rsid w:val="49356421"/>
    <w:rsid w:val="543E2A9B"/>
    <w:rsid w:val="55004B87"/>
    <w:rsid w:val="56EE7DE3"/>
    <w:rsid w:val="5FAE5678"/>
    <w:rsid w:val="621E2CF3"/>
    <w:rsid w:val="63BD3954"/>
    <w:rsid w:val="6E191FE8"/>
    <w:rsid w:val="73B8032F"/>
    <w:rsid w:val="75327A6D"/>
    <w:rsid w:val="75826751"/>
    <w:rsid w:val="75DD3B36"/>
    <w:rsid w:val="78B01713"/>
    <w:rsid w:val="794F6960"/>
    <w:rsid w:val="79B5608F"/>
    <w:rsid w:val="7A872CB4"/>
    <w:rsid w:val="7F45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1024</Words>
  <Characters>5841</Characters>
  <Lines>48</Lines>
  <Paragraphs>13</Paragraphs>
  <TotalTime>2</TotalTime>
  <ScaleCrop>false</ScaleCrop>
  <LinksUpToDate>false</LinksUpToDate>
  <CharactersWithSpaces>6852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2026-02-01T03:26:00Z</dcterms:created>
  <dc:creator>保持沉默</dc:creator>
  <cp:lastModifiedBy>Administrator</cp:lastModifiedBy>
  <cp:lastPrinted>2026-02-05T06:53:00Z</cp:lastPrinted>
  <dcterms:modified xsi:type="dcterms:W3CDTF">2026-02-10T01:03:19Z</dcterms:modified>
  <dc:title>XXXXX（单位全称）2021年单位预算情况说明</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372FC6E96AE4476C9B565EEB69236105_11</vt:lpwstr>
  </property>
</Properties>
</file>