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重庆市垫江第六中学校202</w:t>
      </w:r>
      <w:r>
        <w:rPr>
          <w:rFonts w:hint="eastAsia" w:ascii="Times New Roman" w:hAnsi="Times New Roman" w:eastAsia="方正小标宋_GBK"/>
          <w:sz w:val="44"/>
          <w:szCs w:val="44"/>
        </w:rPr>
        <w:t>6</w:t>
      </w:r>
      <w:r>
        <w:rPr>
          <w:rFonts w:ascii="Times New Roman" w:hAnsi="Times New Roman" w:eastAsia="方正小标宋_GBK"/>
          <w:sz w:val="44"/>
          <w:szCs w:val="44"/>
        </w:rPr>
        <w:t>年</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仿宋_GBK" w:hAnsi="方正仿宋_GBK" w:eastAsia="方正仿宋_GBK" w:cs="方正仿宋_GBK"/>
          <w:sz w:val="32"/>
        </w:rPr>
      </w:pPr>
      <w:r>
        <w:rPr>
          <w:rFonts w:hint="eastAsia" w:ascii="方正仿宋_GBK" w:hAnsi="方正仿宋_GBK" w:eastAsia="方正仿宋_GBK" w:cs="方正仿宋_GBK"/>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负责辖区适龄青少年义务教育工作。</w:t>
      </w:r>
    </w:p>
    <w:p>
      <w:pPr>
        <w:spacing w:line="600" w:lineRule="exact"/>
        <w:ind w:firstLine="640" w:firstLineChars="200"/>
        <w:rPr>
          <w:rFonts w:ascii="方正仿宋_GBK" w:hAnsi="方正仿宋_GBK" w:eastAsia="方正仿宋_GBK" w:cs="方正仿宋_GBK"/>
          <w:sz w:val="32"/>
        </w:rPr>
      </w:pPr>
      <w:r>
        <w:rPr>
          <w:rFonts w:hint="eastAsia" w:ascii="方正仿宋_GBK" w:hAnsi="方正仿宋_GBK" w:eastAsia="方正仿宋_GBK" w:cs="方正仿宋_GBK"/>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单位领导职数3名（校长1名、副校长2名），内设机构领导职数5名，内设机构设有办公室、教务处、后勤处、教科处、德育处。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年年初预算数2982.1万元，其中：一般公共预算拨款2864.18万元，政府性基金预算拨款0万元，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预算收入2.75万元，事业收入0万元，其他收入102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，上年结转结余资金13.18万元</w:t>
      </w:r>
      <w:r>
        <w:rPr>
          <w:rFonts w:ascii="Times New Roman" w:hAnsi="Times New Roman" w:eastAsia="方正仿宋_GBK"/>
          <w:sz w:val="32"/>
        </w:rPr>
        <w:t>；收入较去年增加了518.78万元，主要是一般公共预算财政拨款增加了519.25万元，上年结转结余资金等单位资金减少了0.47万元。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年年初预算数2982.1万元，其中：一般公共服务支出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万元，教育支出2237.03万元，社会保障和就业支出514.15万元，卫生健康支出101.54万元，住房保障支出129.38万元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；支出较去年增加了518.78万元，主要是基本支出增加了232.37万元，项目支出增加了286.4</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年一般公共预算财政拨款收入2864.18万元，一般公共预算财政拨款支出2864.18万元，比202</w:t>
      </w:r>
      <w:r>
        <w:rPr>
          <w:rFonts w:hint="eastAsia" w:ascii="Times New Roman" w:hAnsi="Times New Roman" w:eastAsia="方正仿宋_GBK"/>
          <w:sz w:val="32"/>
        </w:rPr>
        <w:t>5</w:t>
      </w:r>
      <w:r>
        <w:rPr>
          <w:rFonts w:ascii="Times New Roman" w:hAnsi="Times New Roman" w:eastAsia="方正仿宋_GBK"/>
          <w:sz w:val="32"/>
        </w:rPr>
        <w:t>年增加了519.25万元。其中：基本支出2392.12万元，比202</w:t>
      </w:r>
      <w:r>
        <w:rPr>
          <w:rFonts w:hint="eastAsia" w:ascii="Times New Roman" w:hAnsi="Times New Roman" w:eastAsia="方正仿宋_GBK"/>
          <w:sz w:val="32"/>
        </w:rPr>
        <w:t>5</w:t>
      </w:r>
      <w:r>
        <w:rPr>
          <w:rFonts w:ascii="Times New Roman" w:hAnsi="Times New Roman" w:eastAsia="方正仿宋_GBK"/>
          <w:sz w:val="32"/>
        </w:rPr>
        <w:t>年增加了232.85万元，主要原因是教职工正常晋升、职级变化等人员经费增加，主要用于保障在职人员工资福利及社会保险缴费、离休人员离休费、退休人员补助等，保障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支出；项目支出472.06万元，比202</w:t>
      </w:r>
      <w:r>
        <w:rPr>
          <w:rFonts w:hint="eastAsia" w:ascii="Times New Roman" w:hAnsi="Times New Roman" w:eastAsia="方正仿宋_GBK"/>
          <w:sz w:val="32"/>
        </w:rPr>
        <w:t>5</w:t>
      </w:r>
      <w:r>
        <w:rPr>
          <w:rFonts w:ascii="Times New Roman" w:hAnsi="Times New Roman" w:eastAsia="方正仿宋_GBK"/>
          <w:sz w:val="32"/>
        </w:rPr>
        <w:t>年增加了286.4</w:t>
      </w:r>
      <w:r>
        <w:rPr>
          <w:rFonts w:hint="eastAsia" w:ascii="Times New Roman" w:hAnsi="Times New Roman" w:eastAsia="方正仿宋_GBK"/>
          <w:sz w:val="32"/>
        </w:rPr>
        <w:t>0</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w:t>
      </w:r>
      <w:r>
        <w:rPr>
          <w:rFonts w:hint="eastAsia" w:ascii="Times New Roman" w:hAnsi="Times New Roman" w:eastAsia="方正仿宋_GBK"/>
          <w:sz w:val="32"/>
        </w:rPr>
        <w:t>；</w:t>
      </w:r>
      <w:r>
        <w:rPr>
          <w:rFonts w:ascii="Times New Roman" w:hAnsi="Times New Roman" w:eastAsia="方正仿宋_GBK"/>
          <w:sz w:val="32"/>
        </w:rPr>
        <w:t>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单位政府采购预算总额3.5</w:t>
      </w:r>
      <w:r>
        <w:rPr>
          <w:rFonts w:hint="eastAsia" w:ascii="Times New Roman" w:hAnsi="Times New Roman" w:eastAsia="方正仿宋_GBK"/>
          <w:sz w:val="32"/>
        </w:rPr>
        <w:t>0</w:t>
      </w:r>
      <w:r>
        <w:rPr>
          <w:rFonts w:ascii="Times New Roman" w:hAnsi="Times New Roman" w:eastAsia="方正仿宋_GBK"/>
          <w:sz w:val="32"/>
        </w:rPr>
        <w:t>万元：政府采购货物预算3.</w:t>
      </w:r>
      <w:r>
        <w:rPr>
          <w:rFonts w:hint="eastAsia" w:ascii="Times New Roman" w:hAnsi="Times New Roman" w:eastAsia="方正仿宋_GBK"/>
          <w:sz w:val="32"/>
        </w:rPr>
        <w:t>50</w:t>
      </w:r>
      <w:r>
        <w:rPr>
          <w:rFonts w:ascii="Times New Roman" w:hAnsi="Times New Roman" w:eastAsia="方正仿宋_GBK"/>
          <w:sz w:val="32"/>
        </w:rPr>
        <w:t>万元、政府采购工程预算0万元、政府采购服务预算0万元；其中一般公共预算拨款政府采购3.5</w:t>
      </w:r>
      <w:r>
        <w:rPr>
          <w:rFonts w:hint="eastAsia" w:ascii="Times New Roman" w:hAnsi="Times New Roman" w:eastAsia="方正仿宋_GBK"/>
          <w:sz w:val="32"/>
        </w:rPr>
        <w:t>0</w:t>
      </w:r>
      <w:r>
        <w:rPr>
          <w:rFonts w:ascii="Times New Roman" w:hAnsi="Times New Roman" w:eastAsia="方正仿宋_GBK"/>
          <w:sz w:val="32"/>
        </w:rPr>
        <w:t>万元：政府采购货物预算3.5</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年项目支出均实行了绩效目标管理，涉及一般公共预算当年财政拨款472.06万元。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年财政拨款委托业务费支出0万元，主要是我单位2026年未安排委托业务费用的支出。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单位预算公开联系人：杨老师   联系方式：023-74562741</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附表：1.重庆市垫江第六中学校财政拨款收支总表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2.重庆市垫江第六中学校一般公共预算财政拨款支出预算表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3.重庆市垫江第六中学校一般公共预算财政拨款基本支出预算表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4.重庆市垫江第六中学校一般公共预算“三公”经费支出表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5.重庆市垫江第六中学校政府性基金预算支出表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6.重庆市垫江第六中学校收支总表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7.重庆市垫江第六中学校收入总表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8.重庆市垫江第六中学校支出总表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9.重庆市垫江第六中学校政府采购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10.重庆市垫江第六中学校202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43815</wp:posOffset>
            </wp:positionH>
            <wp:positionV relativeFrom="paragraph">
              <wp:posOffset>164465</wp:posOffset>
            </wp:positionV>
            <wp:extent cx="8378825" cy="4490720"/>
            <wp:effectExtent l="0" t="0" r="3175" b="508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anchor>
        </w:drawing>
      </w: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7540" cy="5092700"/>
            <wp:effectExtent l="0" t="0" r="16510"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7540" cy="5092700"/>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16270" cy="5544185"/>
            <wp:effectExtent l="0" t="0" r="17780" b="184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16270" cy="554418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p>
    <w:p/>
    <w:p>
      <w:pPr>
        <w:jc w:val="left"/>
      </w:pPr>
      <w:r>
        <w:drawing>
          <wp:inline distT="0" distB="0" distL="114300" distR="114300">
            <wp:extent cx="8379460" cy="2362835"/>
            <wp:effectExtent l="0" t="0" r="2540"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79460" cy="236283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8387715" cy="4485005"/>
            <wp:effectExtent l="0" t="0" r="13335"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7715" cy="4485005"/>
                    </a:xfrm>
                    <a:prstGeom prst="rect">
                      <a:avLst/>
                    </a:prstGeom>
                    <a:noFill/>
                    <a:ln>
                      <a:noFill/>
                    </a:ln>
                  </pic:spPr>
                </pic:pic>
              </a:graphicData>
            </a:graphic>
          </wp:inline>
        </w:drawing>
      </w:r>
      <w:r>
        <w:drawing>
          <wp:inline distT="0" distB="0" distL="114300" distR="114300">
            <wp:extent cx="8387715" cy="5344160"/>
            <wp:effectExtent l="0" t="0" r="13335" b="889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7715" cy="5344160"/>
                    </a:xfrm>
                    <a:prstGeom prst="rect">
                      <a:avLst/>
                    </a:prstGeom>
                    <a:noFill/>
                    <a:ln>
                      <a:noFill/>
                    </a:ln>
                  </pic:spPr>
                </pic:pic>
              </a:graphicData>
            </a:graphic>
          </wp:inline>
        </w:drawing>
      </w:r>
      <w:r>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重庆市垫江第三中学校2026年项目绩效目标表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380" w:type="dxa"/>
        <w:tblInd w:w="93" w:type="dxa"/>
        <w:tblLayout w:type="fixed"/>
        <w:tblCellMar>
          <w:top w:w="0" w:type="dxa"/>
          <w:left w:w="108" w:type="dxa"/>
          <w:bottom w:w="0" w:type="dxa"/>
          <w:right w:w="108" w:type="dxa"/>
        </w:tblCellMar>
      </w:tblPr>
      <w:tblGrid>
        <w:gridCol w:w="1345"/>
        <w:gridCol w:w="838"/>
        <w:gridCol w:w="1170"/>
        <w:gridCol w:w="1476"/>
        <w:gridCol w:w="1093"/>
        <w:gridCol w:w="1225"/>
        <w:gridCol w:w="1267"/>
        <w:gridCol w:w="966"/>
      </w:tblGrid>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892"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503"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3"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461"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498"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Layout w:type="fixed"/>
          <w:tblCellMar>
            <w:top w:w="0" w:type="dxa"/>
            <w:left w:w="108" w:type="dxa"/>
            <w:bottom w:w="0" w:type="dxa"/>
            <w:right w:w="108" w:type="dxa"/>
          </w:tblCellMar>
        </w:tblPrEx>
        <w:trPr>
          <w:trHeight w:val="368"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项目实施人均标准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17200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8"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957"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671"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1"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42.12</w:t>
            </w:r>
          </w:p>
        </w:tc>
      </w:tr>
      <w:tr>
        <w:tblPrEx>
          <w:tblLayout w:type="fixed"/>
          <w:tblCellMar>
            <w:top w:w="0" w:type="dxa"/>
            <w:left w:w="108" w:type="dxa"/>
            <w:bottom w:w="0" w:type="dxa"/>
            <w:right w:w="108" w:type="dxa"/>
          </w:tblCellMar>
        </w:tblPrEx>
        <w:trPr>
          <w:trHeight w:val="605"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42.12</w:t>
            </w:r>
          </w:p>
        </w:tc>
      </w:tr>
      <w:tr>
        <w:tblPrEx>
          <w:tblLayout w:type="fixed"/>
          <w:tblCellMar>
            <w:top w:w="0" w:type="dxa"/>
            <w:left w:w="108" w:type="dxa"/>
            <w:bottom w:w="0" w:type="dxa"/>
            <w:right w:w="108" w:type="dxa"/>
          </w:tblCellMar>
        </w:tblPrEx>
        <w:trPr>
          <w:trHeight w:val="559"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tblPrEx>
          <w:tblLayout w:type="fixed"/>
          <w:tblCellMar>
            <w:top w:w="0" w:type="dxa"/>
            <w:left w:w="108" w:type="dxa"/>
            <w:bottom w:w="0" w:type="dxa"/>
            <w:right w:w="108" w:type="dxa"/>
          </w:tblCellMar>
        </w:tblPrEx>
        <w:trPr>
          <w:trHeight w:val="408"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受益乡村教师幸福感提高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957"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671"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7"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104.32</w:t>
            </w:r>
          </w:p>
        </w:tc>
      </w:tr>
      <w:tr>
        <w:tblPrEx>
          <w:tblLayout w:type="fixed"/>
          <w:tblCellMar>
            <w:top w:w="0" w:type="dxa"/>
            <w:left w:w="108" w:type="dxa"/>
            <w:bottom w:w="0" w:type="dxa"/>
            <w:right w:w="108" w:type="dxa"/>
          </w:tblCellMar>
        </w:tblPrEx>
        <w:trPr>
          <w:trHeight w:val="688"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104.32</w:t>
            </w:r>
          </w:p>
        </w:tc>
      </w:tr>
      <w:tr>
        <w:tblPrEx>
          <w:tblLayout w:type="fixed"/>
          <w:tblCellMar>
            <w:top w:w="0" w:type="dxa"/>
            <w:left w:w="108" w:type="dxa"/>
            <w:bottom w:w="0" w:type="dxa"/>
            <w:right w:w="108" w:type="dxa"/>
          </w:tblCellMar>
        </w:tblPrEx>
        <w:trPr>
          <w:trHeight w:val="654"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r>
      <w:tr>
        <w:tblPrEx>
          <w:tblLayout w:type="fixed"/>
          <w:tblCellMar>
            <w:top w:w="0" w:type="dxa"/>
            <w:left w:w="108" w:type="dxa"/>
            <w:bottom w:w="0" w:type="dxa"/>
            <w:right w:w="108" w:type="dxa"/>
          </w:tblCellMar>
        </w:tblPrEx>
        <w:trPr>
          <w:trHeight w:val="432"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义教学生人数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767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项目实施资金标准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1360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学生、家庭、社会满意度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保障义务教育正常开展</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1272"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503"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2"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10.50</w:t>
            </w:r>
          </w:p>
        </w:tc>
      </w:tr>
      <w:tr>
        <w:tblPrEx>
          <w:tblLayout w:type="fixed"/>
          <w:tblCellMar>
            <w:top w:w="0" w:type="dxa"/>
            <w:left w:w="108" w:type="dxa"/>
            <w:bottom w:w="0" w:type="dxa"/>
            <w:right w:w="108" w:type="dxa"/>
          </w:tblCellMar>
        </w:tblPrEx>
        <w:trPr>
          <w:trHeight w:val="556"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10.50</w:t>
            </w:r>
          </w:p>
        </w:tc>
      </w:tr>
      <w:tr>
        <w:tblPrEx>
          <w:tblLayout w:type="fixed"/>
          <w:tblCellMar>
            <w:top w:w="0" w:type="dxa"/>
            <w:left w:w="108" w:type="dxa"/>
            <w:bottom w:w="0" w:type="dxa"/>
            <w:right w:w="108" w:type="dxa"/>
          </w:tblCellMar>
        </w:tblPrEx>
        <w:trPr>
          <w:trHeight w:val="558"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w:t>
            </w:r>
            <w:r>
              <w:rPr>
                <w:rFonts w:hint="eastAsia" w:ascii="宋体" w:hAnsi="宋体" w:cs="宋体"/>
                <w:color w:val="000000"/>
                <w:kern w:val="0"/>
                <w:sz w:val="22"/>
                <w:lang w:val="en-US" w:eastAsia="zh-CN" w:bidi="ar"/>
              </w:rPr>
              <w:t>随班就读</w:t>
            </w:r>
            <w:bookmarkStart w:id="0" w:name="_GoBack"/>
            <w:bookmarkEnd w:id="0"/>
            <w:r>
              <w:rPr>
                <w:rFonts w:ascii="宋体" w:hAnsi="宋体" w:cs="宋体"/>
                <w:color w:val="000000"/>
                <w:kern w:val="0"/>
                <w:sz w:val="22"/>
                <w:lang w:bidi="ar"/>
              </w:rPr>
              <w:t>学生教育。</w:t>
            </w:r>
          </w:p>
        </w:tc>
      </w:tr>
      <w:tr>
        <w:tblPrEx>
          <w:tblLayout w:type="fixed"/>
          <w:tblCellMar>
            <w:top w:w="0" w:type="dxa"/>
            <w:left w:w="108" w:type="dxa"/>
            <w:bottom w:w="0" w:type="dxa"/>
            <w:right w:w="108" w:type="dxa"/>
          </w:tblCellMar>
        </w:tblPrEx>
        <w:trPr>
          <w:trHeight w:val="432"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57"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保障特教和随班就读学生教育教学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项目受助学生人数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3"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项目受助学生覆盖率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项目实施生均标准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学生、家长和社会满意度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892"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671"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7"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219.00</w:t>
            </w:r>
          </w:p>
        </w:tc>
      </w:tr>
      <w:tr>
        <w:tblPrEx>
          <w:tblLayout w:type="fixed"/>
          <w:tblCellMar>
            <w:top w:w="0" w:type="dxa"/>
            <w:left w:w="108" w:type="dxa"/>
            <w:bottom w:w="0" w:type="dxa"/>
            <w:right w:w="108" w:type="dxa"/>
          </w:tblCellMar>
        </w:tblPrEx>
        <w:trPr>
          <w:trHeight w:val="688"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219.00</w:t>
            </w:r>
          </w:p>
        </w:tc>
      </w:tr>
      <w:tr>
        <w:tblPrEx>
          <w:tblLayout w:type="fixed"/>
          <w:tblCellMar>
            <w:top w:w="0" w:type="dxa"/>
            <w:left w:w="108" w:type="dxa"/>
            <w:bottom w:w="0" w:type="dxa"/>
            <w:right w:w="108" w:type="dxa"/>
          </w:tblCellMar>
        </w:tblPrEx>
        <w:trPr>
          <w:trHeight w:val="654"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Layout w:type="fixed"/>
          <w:tblCellMar>
            <w:top w:w="0" w:type="dxa"/>
            <w:left w:w="108" w:type="dxa"/>
            <w:bottom w:w="0" w:type="dxa"/>
            <w:right w:w="108" w:type="dxa"/>
          </w:tblCellMar>
        </w:tblPrEx>
        <w:trPr>
          <w:trHeight w:val="1196"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5300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拆除D类危房单价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470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1272"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护眼灯、D类危房拆除、运动场维修项目验收合格率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护眼灯安装项目规模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处</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拆除D类危房面积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运动场维修面积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1272"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护眼灯、D类危房拆除、运动场维修项目实施周期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4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1"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7" w:hRule="atLeast"/>
        </w:trPr>
        <w:tc>
          <w:tcPr>
            <w:tcW w:w="134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957"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杨治华</w:t>
            </w:r>
            <w:r>
              <w:rPr>
                <w:rFonts w:hint="eastAsia" w:ascii="宋体" w:hAnsi="宋体" w:cs="宋体"/>
                <w:color w:val="000000"/>
                <w:kern w:val="0"/>
                <w:sz w:val="22"/>
                <w:lang w:bidi="ar"/>
              </w:rPr>
              <w:t>023-74562741</w:t>
            </w:r>
          </w:p>
        </w:tc>
      </w:tr>
      <w:tr>
        <w:tblPrEx>
          <w:tblLayout w:type="fixed"/>
          <w:tblCellMar>
            <w:top w:w="0" w:type="dxa"/>
            <w:left w:w="108" w:type="dxa"/>
            <w:bottom w:w="0" w:type="dxa"/>
            <w:right w:w="108" w:type="dxa"/>
          </w:tblCellMar>
        </w:tblPrEx>
        <w:trPr>
          <w:trHeight w:val="908"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134106-重庆市垫江第六中学校</w:t>
            </w:r>
          </w:p>
        </w:tc>
      </w:tr>
      <w:tr>
        <w:tblPrEx>
          <w:tblLayout w:type="fixed"/>
          <w:tblCellMar>
            <w:top w:w="0" w:type="dxa"/>
            <w:left w:w="108" w:type="dxa"/>
            <w:bottom w:w="0" w:type="dxa"/>
            <w:right w:w="108" w:type="dxa"/>
          </w:tblCellMar>
        </w:tblPrEx>
        <w:trPr>
          <w:trHeight w:val="671" w:hRule="atLeast"/>
        </w:trPr>
        <w:tc>
          <w:tcPr>
            <w:tcW w:w="4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7" w:hRule="atLeast"/>
        </w:trPr>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28.00</w:t>
            </w:r>
          </w:p>
        </w:tc>
      </w:tr>
      <w:tr>
        <w:tblPrEx>
          <w:tblLayout w:type="fixed"/>
          <w:tblCellMar>
            <w:top w:w="0" w:type="dxa"/>
            <w:left w:w="108" w:type="dxa"/>
            <w:bottom w:w="0" w:type="dxa"/>
            <w:right w:w="108" w:type="dxa"/>
          </w:tblCellMar>
        </w:tblPrEx>
        <w:trPr>
          <w:trHeight w:val="688"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28.00</w:t>
            </w:r>
          </w:p>
        </w:tc>
      </w:tr>
      <w:tr>
        <w:tblPrEx>
          <w:tblLayout w:type="fixed"/>
          <w:tblCellMar>
            <w:top w:w="0" w:type="dxa"/>
            <w:left w:w="108" w:type="dxa"/>
            <w:bottom w:w="0" w:type="dxa"/>
            <w:right w:w="108" w:type="dxa"/>
          </w:tblCellMar>
        </w:tblPrEx>
        <w:trPr>
          <w:trHeight w:val="654" w:hRule="atLeast"/>
        </w:trPr>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25"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完成教学资源平台、网络设施购置</w:t>
            </w:r>
          </w:p>
        </w:tc>
      </w:tr>
      <w:tr>
        <w:tblPrEx>
          <w:tblLayout w:type="fixed"/>
          <w:tblCellMar>
            <w:top w:w="0" w:type="dxa"/>
            <w:left w:w="108" w:type="dxa"/>
            <w:bottom w:w="0" w:type="dxa"/>
            <w:right w:w="108" w:type="dxa"/>
          </w:tblCellMar>
        </w:tblPrEx>
        <w:trPr>
          <w:trHeight w:val="32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1" w:hRule="atLeast"/>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1196"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教学资源平台、网络设施购置验收合格率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957"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教学资源平台、网络设施购置实施周期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教学资源平台购置数量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网络设施购置数量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教学资源平台购置单价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网络设施购置单价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1" w:hRule="atLeast"/>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A11A6"/>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1FD1"/>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724E"/>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9F40E1"/>
    <w:rsid w:val="00A05F72"/>
    <w:rsid w:val="00A07288"/>
    <w:rsid w:val="00A174AB"/>
    <w:rsid w:val="00A21DCD"/>
    <w:rsid w:val="00A33F5E"/>
    <w:rsid w:val="00A35F07"/>
    <w:rsid w:val="00A3721F"/>
    <w:rsid w:val="00A45A23"/>
    <w:rsid w:val="00A52D34"/>
    <w:rsid w:val="00A554FB"/>
    <w:rsid w:val="00A712EA"/>
    <w:rsid w:val="00A8020D"/>
    <w:rsid w:val="00A802E9"/>
    <w:rsid w:val="00A80B6C"/>
    <w:rsid w:val="00AA324B"/>
    <w:rsid w:val="00AB25DF"/>
    <w:rsid w:val="00AC6F85"/>
    <w:rsid w:val="00AE0A20"/>
    <w:rsid w:val="00AE4156"/>
    <w:rsid w:val="00B1352B"/>
    <w:rsid w:val="00B24FA7"/>
    <w:rsid w:val="00B257E3"/>
    <w:rsid w:val="00B47280"/>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B75"/>
    <w:rsid w:val="00F258CE"/>
    <w:rsid w:val="00F605C0"/>
    <w:rsid w:val="00F66710"/>
    <w:rsid w:val="00F84112"/>
    <w:rsid w:val="00F84AC6"/>
    <w:rsid w:val="00F86A3C"/>
    <w:rsid w:val="00F90464"/>
    <w:rsid w:val="00F9492F"/>
    <w:rsid w:val="00FC2169"/>
    <w:rsid w:val="00FC2267"/>
    <w:rsid w:val="00FE12C3"/>
    <w:rsid w:val="00FE28C5"/>
    <w:rsid w:val="02144743"/>
    <w:rsid w:val="03A37B7C"/>
    <w:rsid w:val="086256F7"/>
    <w:rsid w:val="0F7628E2"/>
    <w:rsid w:val="0F91128A"/>
    <w:rsid w:val="0FCB01CA"/>
    <w:rsid w:val="0FD54BD4"/>
    <w:rsid w:val="12D03FDB"/>
    <w:rsid w:val="180E3F6F"/>
    <w:rsid w:val="18CC21E2"/>
    <w:rsid w:val="19D75DEA"/>
    <w:rsid w:val="19FD5543"/>
    <w:rsid w:val="1B99058E"/>
    <w:rsid w:val="1C814AF8"/>
    <w:rsid w:val="1C951C13"/>
    <w:rsid w:val="1FED23AA"/>
    <w:rsid w:val="20C87833"/>
    <w:rsid w:val="24665D0A"/>
    <w:rsid w:val="25B13028"/>
    <w:rsid w:val="28E042C1"/>
    <w:rsid w:val="2A6B170D"/>
    <w:rsid w:val="2EA357C9"/>
    <w:rsid w:val="2F3069AA"/>
    <w:rsid w:val="322C7CE9"/>
    <w:rsid w:val="33050ADA"/>
    <w:rsid w:val="357D0805"/>
    <w:rsid w:val="38D66FDC"/>
    <w:rsid w:val="3A865F58"/>
    <w:rsid w:val="3BC5739B"/>
    <w:rsid w:val="41E50202"/>
    <w:rsid w:val="48310C7F"/>
    <w:rsid w:val="49356421"/>
    <w:rsid w:val="543E2A9B"/>
    <w:rsid w:val="55004B87"/>
    <w:rsid w:val="56A440D2"/>
    <w:rsid w:val="56EE7DE3"/>
    <w:rsid w:val="5FAE5678"/>
    <w:rsid w:val="684A11A6"/>
    <w:rsid w:val="68AB31C8"/>
    <w:rsid w:val="6DF25BEE"/>
    <w:rsid w:val="73B8032F"/>
    <w:rsid w:val="740A4BCF"/>
    <w:rsid w:val="75327A6D"/>
    <w:rsid w:val="75DD3B36"/>
    <w:rsid w:val="78B01713"/>
    <w:rsid w:val="79396DB4"/>
    <w:rsid w:val="79941D55"/>
    <w:rsid w:val="7A872CB4"/>
    <w:rsid w:val="7FAC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808</Words>
  <Characters>4606</Characters>
  <Lines>38</Lines>
  <Paragraphs>10</Paragraphs>
  <TotalTime>1</TotalTime>
  <ScaleCrop>false</ScaleCrop>
  <LinksUpToDate>false</LinksUpToDate>
  <CharactersWithSpaces>5404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2026-02-01T11:53:00Z</dcterms:created>
  <dc:creator>保持沉默</dc:creator>
  <cp:lastModifiedBy>Administrator</cp:lastModifiedBy>
  <cp:lastPrinted>2026-02-06T08:28:00Z</cp:lastPrinted>
  <dcterms:modified xsi:type="dcterms:W3CDTF">2026-02-09T06:37:45Z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D41D8BC3D6B54ACF943D7018E5314181_11</vt:lpwstr>
  </property>
</Properties>
</file>