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垫江第九中学校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实施初中义务教育、适龄青少年义务教育；全面推进素质教育；学校卫生、安全、稳定；学校经费与校产管理；师资队伍建设；制定本区域教育发展规划。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学校单位领导职数4名(校长1名、副校长3名)，内设机构领导职数5名，内设机构有办公室、教务处、后勤处、教科处、德育处。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年年初预算数5915.87万元，其中：一般公共预算拨款5434.21万元，政府性基金预算拨款0万元，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预算收入9.1</w:t>
      </w:r>
      <w:r>
        <w:rPr>
          <w:rFonts w:hint="eastAsia" w:ascii="Times New Roman" w:hAnsi="Times New Roman" w:eastAsia="方正仿宋_GBK"/>
          <w:sz w:val="32"/>
        </w:rPr>
        <w:t>0</w:t>
      </w:r>
      <w:r>
        <w:rPr>
          <w:rFonts w:ascii="Times New Roman" w:hAnsi="Times New Roman" w:eastAsia="方正仿宋_GBK"/>
          <w:sz w:val="32"/>
        </w:rPr>
        <w:t>万元，事业收入0万元，其他收入360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，上年结转结余资金112.57万元</w:t>
      </w:r>
      <w:r>
        <w:rPr>
          <w:rFonts w:ascii="Times New Roman" w:hAnsi="Times New Roman" w:eastAsia="方正仿宋_GBK"/>
          <w:sz w:val="32"/>
        </w:rPr>
        <w:t>；收入较去年增加了1367.82万元，主要是一般公共预算财政拨款增加了1303.49万元，上年结转结余资金等单位资金增加了64.33万元。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年年初预算数5915.87万元，其中：一般公共服务支出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万元，教育支出4466.24万元，社会保障和就业支出953.66万元，卫生健康支出218.7万元，住房保障支出277.28万元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；支出较去年增加了1367.82万元，主要是基本支出增加了1289.38万元，项目支出增加了78.4</w:t>
      </w:r>
      <w:r>
        <w:rPr>
          <w:rFonts w:hint="eastAsia" w:ascii="Times New Roman" w:hAnsi="Times New Roman" w:eastAsia="方正仿宋_GBK"/>
          <w:sz w:val="32"/>
        </w:rPr>
        <w:t>3</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年一般公共预算财政拨款收入5434.21万元，一般公共预算财政拨款支出5434.21万元，比202</w:t>
      </w:r>
      <w:r>
        <w:rPr>
          <w:rFonts w:hint="eastAsia" w:ascii="Times New Roman" w:hAnsi="Times New Roman" w:eastAsia="方正仿宋_GBK"/>
          <w:sz w:val="32"/>
        </w:rPr>
        <w:t>5</w:t>
      </w:r>
      <w:r>
        <w:rPr>
          <w:rFonts w:ascii="Times New Roman" w:hAnsi="Times New Roman" w:eastAsia="方正仿宋_GBK"/>
          <w:sz w:val="32"/>
        </w:rPr>
        <w:t>年增加了1303.49万元。其中：基本支出4964.31万元，比202</w:t>
      </w:r>
      <w:r>
        <w:rPr>
          <w:rFonts w:hint="eastAsia" w:ascii="Times New Roman" w:hAnsi="Times New Roman" w:eastAsia="方正仿宋_GBK"/>
          <w:sz w:val="32"/>
        </w:rPr>
        <w:t>5</w:t>
      </w:r>
      <w:r>
        <w:rPr>
          <w:rFonts w:ascii="Times New Roman" w:hAnsi="Times New Roman" w:eastAsia="方正仿宋_GBK"/>
          <w:sz w:val="32"/>
        </w:rPr>
        <w:t>年增加了1225.06万元，主要原因是教职工正常晋升、职级变化</w:t>
      </w:r>
      <w:r>
        <w:rPr>
          <w:rFonts w:hint="eastAsia" w:ascii="Times New Roman" w:hAnsi="Times New Roman" w:eastAsia="方正仿宋_GBK"/>
          <w:sz w:val="32"/>
        </w:rPr>
        <w:t>、合并沙坪中学教师后人数增加</w:t>
      </w:r>
      <w:r>
        <w:rPr>
          <w:rFonts w:ascii="Times New Roman" w:hAnsi="Times New Roman" w:eastAsia="方正仿宋_GBK"/>
          <w:sz w:val="32"/>
        </w:rPr>
        <w:t>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支出；项目支出469.9</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年增加了78.4</w:t>
      </w:r>
      <w:r>
        <w:rPr>
          <w:rFonts w:hint="eastAsia" w:ascii="Times New Roman" w:hAnsi="Times New Roman" w:eastAsia="方正仿宋_GBK"/>
          <w:sz w:val="32"/>
        </w:rPr>
        <w:t>3</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w:t>
      </w:r>
      <w:r>
        <w:rPr>
          <w:rFonts w:hint="eastAsia" w:ascii="Times New Roman" w:hAnsi="Times New Roman" w:eastAsia="方正仿宋_GBK"/>
          <w:sz w:val="32"/>
        </w:rPr>
        <w:t>，</w:t>
      </w:r>
      <w:r>
        <w:rPr>
          <w:rFonts w:ascii="Times New Roman" w:hAnsi="Times New Roman" w:eastAsia="方正仿宋_GBK"/>
          <w:sz w:val="32"/>
        </w:rPr>
        <w:t>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5.60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5.60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4.51万元：政府采购货物预算4.51万元、政府采购工程预算0万元、政府采购服务预算0万元；其中一般公共预算拨款政府采购4.51万元：政府采购货物预算4.51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年项目支出均实行了绩效目标管理，涉及一般公共预算当年财政拨款469.9</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年财政拨款委托业务费支出0万元，主要是2026年我单位未安排委托业务的预算支出。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单位预算公开联系人：韩老师   联系方式：023-74578992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附表：1.垫江第九中学校财政拨款收支总表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2.垫江第九中学校一般公共预算财政拨款支出预算表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3.垫江第九中学校一般公共预算财政拨款基本支出预算表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4.垫江第九中学校一般公共预算“三公”经费支出表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5.垫江第九中学校政府性基金预算支出表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6.垫江第九中学校收支总表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7.垫江第九中学校收入总表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8.垫江第九中学校支出总表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9.垫江第九中学校政府采购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10.垫江第九中学校202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p>
    <w:p>
      <w:pPr>
        <w:sectPr>
          <w:type w:val="continuous"/>
          <w:pgSz w:w="16838" w:h="11906" w:orient="landscape"/>
          <w:pgMar w:top="1446" w:right="1984" w:bottom="1446" w:left="1644" w:header="851" w:footer="992" w:gutter="0"/>
          <w:cols w:space="720" w:num="1"/>
          <w:docGrid w:type="lines" w:linePitch="321" w:charSpace="0"/>
        </w:sectPr>
      </w:pPr>
      <w:r>
        <w:drawing>
          <wp:inline distT="0" distB="0" distL="0" distR="0">
            <wp:extent cx="8388350" cy="4497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388350" cy="4498147"/>
                    </a:xfrm>
                    <a:prstGeom prst="rect">
                      <a:avLst/>
                    </a:prstGeom>
                    <a:noFill/>
                    <a:ln>
                      <a:noFill/>
                    </a:ln>
                  </pic:spPr>
                </pic:pic>
              </a:graphicData>
            </a:graphic>
          </wp:inline>
        </w:drawing>
      </w:r>
    </w:p>
    <w:p>
      <w:r>
        <w:drawing>
          <wp:inline distT="0" distB="0" distL="0" distR="0">
            <wp:extent cx="5723890" cy="54502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23890" cy="5450281"/>
                    </a:xfrm>
                    <a:prstGeom prst="rect">
                      <a:avLst/>
                    </a:prstGeom>
                    <a:noFill/>
                    <a:ln>
                      <a:noFill/>
                    </a:ln>
                  </pic:spPr>
                </pic:pic>
              </a:graphicData>
            </a:graphic>
          </wp:inline>
        </w:drawing>
      </w:r>
      <w:r>
        <w:drawing>
          <wp:inline distT="0" distB="0" distL="0" distR="0">
            <wp:extent cx="5723890" cy="5367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3890" cy="5367792"/>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bookmarkStart w:id="0" w:name="_GoBack"/>
      <w:bookmarkEnd w:id="0"/>
    </w:p>
    <w:p>
      <w:r>
        <w:drawing>
          <wp:inline distT="0" distB="0" distL="114300" distR="114300">
            <wp:extent cx="8386445" cy="2087880"/>
            <wp:effectExtent l="0" t="0" r="146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86445" cy="2087880"/>
                    </a:xfrm>
                    <a:prstGeom prst="rect">
                      <a:avLst/>
                    </a:prstGeom>
                    <a:noFill/>
                    <a:ln>
                      <a:noFill/>
                    </a:ln>
                  </pic:spPr>
                </pic:pic>
              </a:graphicData>
            </a:graphic>
          </wp:inline>
        </w:drawing>
      </w:r>
    </w:p>
    <w:p>
      <w:pPr>
        <w:jc w:val="left"/>
      </w:pP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0" distR="0">
            <wp:extent cx="5723890" cy="460883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23890" cy="4609061"/>
                    </a:xfrm>
                    <a:prstGeom prst="rect">
                      <a:avLst/>
                    </a:prstGeom>
                    <a:noFill/>
                    <a:ln>
                      <a:noFill/>
                    </a:ln>
                  </pic:spPr>
                </pic:pic>
              </a:graphicData>
            </a:graphic>
          </wp:inline>
        </w:drawing>
      </w:r>
    </w:p>
    <w:p>
      <w:pPr>
        <w:jc w:val="center"/>
      </w:pPr>
      <w:r>
        <w:drawing>
          <wp:inline distT="0" distB="0" distL="0" distR="0">
            <wp:extent cx="8388350" cy="41446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388350" cy="4144976"/>
                    </a:xfrm>
                    <a:prstGeom prst="rect">
                      <a:avLst/>
                    </a:prstGeom>
                    <a:noFill/>
                    <a:ln>
                      <a:noFill/>
                    </a:ln>
                  </pic:spPr>
                </pic:pic>
              </a:graphicData>
            </a:graphic>
          </wp:inline>
        </w:drawing>
      </w:r>
      <w:r>
        <w:drawing>
          <wp:inline distT="0" distB="0" distL="0" distR="0">
            <wp:extent cx="8388350" cy="490855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4909060"/>
                    </a:xfrm>
                    <a:prstGeom prst="rect">
                      <a:avLst/>
                    </a:prstGeom>
                    <a:noFill/>
                    <a:ln>
                      <a:noFill/>
                    </a:ln>
                  </pic:spPr>
                </pic:pic>
              </a:graphicData>
            </a:graphic>
          </wp:inline>
        </w:drawing>
      </w:r>
    </w:p>
    <w:p>
      <w:r>
        <w:br w:type="page"/>
      </w:r>
    </w:p>
    <w:p>
      <w:pPr>
        <w:jc w:val="center"/>
      </w:pPr>
      <w:r>
        <w:drawing>
          <wp:inline distT="0" distB="0" distL="0" distR="0">
            <wp:extent cx="8388350" cy="21926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388350" cy="219275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sectPr>
          <w:type w:val="continuous"/>
          <w:pgSz w:w="11906" w:h="16838"/>
          <w:pgMar w:top="1984" w:right="1446" w:bottom="1644" w:left="1446" w:header="851" w:footer="992" w:gutter="0"/>
          <w:cols w:space="0" w:num="1"/>
          <w:docGrid w:type="lines" w:linePitch="321" w:charSpace="0"/>
        </w:sectPr>
      </w:pPr>
      <w:r>
        <w:rPr>
          <w:rFonts w:hint="eastAsia" w:ascii="方正小标宋_GBK" w:hAnsi="方正小标宋_GBK" w:eastAsia="方正小标宋_GBK" w:cs="方正小标宋_GBK"/>
          <w:color w:val="000000"/>
          <w:kern w:val="0"/>
          <w:sz w:val="32"/>
          <w:szCs w:val="32"/>
          <w:lang w:bidi="ar"/>
        </w:rPr>
        <w:t>垫江第九中学校2026年项目绩效目标表</w:t>
      </w:r>
    </w:p>
    <w:tbl>
      <w:tblPr>
        <w:tblStyle w:val="7"/>
        <w:tblW w:w="9100" w:type="dxa"/>
        <w:tblInd w:w="93" w:type="dxa"/>
        <w:tblLayout w:type="fixed"/>
        <w:tblCellMar>
          <w:top w:w="0" w:type="dxa"/>
          <w:left w:w="108" w:type="dxa"/>
          <w:bottom w:w="0" w:type="dxa"/>
          <w:right w:w="108" w:type="dxa"/>
        </w:tblCellMar>
      </w:tblPr>
      <w:tblGrid>
        <w:gridCol w:w="1066"/>
        <w:gridCol w:w="1016"/>
        <w:gridCol w:w="1160"/>
        <w:gridCol w:w="1476"/>
        <w:gridCol w:w="1040"/>
        <w:gridCol w:w="1185"/>
        <w:gridCol w:w="1226"/>
        <w:gridCol w:w="931"/>
      </w:tblGrid>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16"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邬鹏</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22.94</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22.94</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实施安全保障，确保安保人员工资待遇等经费，为学校的教育环境安全提供保障，确保校园安全。</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68"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韩路瑶</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69.62</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69.62</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为乡村教师发放生活补助</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乡村教师幸福感提升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生活补助发放标准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3164.31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生活补助发放人数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生活补助发放覆盖率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68"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赵孟春</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234.68</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234.68</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义务教育学生生均公用经费</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920.33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68"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陈文学</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0.70</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0.70</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对脱贫户学生进行生活费补助，减轻家庭经济困难学生的经济负担。</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提高社会办学水平</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脱贫户补助标准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补助经费使用周期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惠及学生人数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补助经费发放率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受助家庭满意度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1021"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赵孟春</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23.80</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23.80</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义务教育阶段随班就读残疾学生生均公用经费</w:t>
            </w:r>
          </w:p>
        </w:tc>
      </w:tr>
      <w:tr>
        <w:tblPrEx>
          <w:tblLayout w:type="fixed"/>
          <w:tblCellMar>
            <w:top w:w="0" w:type="dxa"/>
            <w:left w:w="108" w:type="dxa"/>
            <w:bottom w:w="0" w:type="dxa"/>
            <w:right w:w="108" w:type="dxa"/>
          </w:tblCellMar>
        </w:tblPrEx>
        <w:trPr>
          <w:trHeight w:val="586"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随班就读残疾学生入学率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随班就读残疾学生人数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随班就读残疾学生补助标准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8814.81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16"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赵孟春</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20.00</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20.00</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教师宿舍线路老化，进行整改。</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教师宿舍电力线路维修规模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教师宿舍电力线路维修单价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28.58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07" w:hRule="atLeast"/>
        </w:trPr>
        <w:tc>
          <w:tcPr>
            <w:tcW w:w="9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12" w:hRule="atLeast"/>
        </w:trPr>
        <w:tc>
          <w:tcPr>
            <w:tcW w:w="10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0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768"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赵孟春</w:t>
            </w:r>
            <w:r>
              <w:rPr>
                <w:rFonts w:hint="eastAsia" w:ascii="宋体" w:hAnsi="宋体" w:cs="宋体"/>
                <w:color w:val="000000"/>
                <w:kern w:val="0"/>
                <w:sz w:val="22"/>
                <w:lang w:bidi="ar"/>
              </w:rPr>
              <w:t>023-74578992</w:t>
            </w:r>
          </w:p>
        </w:tc>
      </w:tr>
      <w:tr>
        <w:tblPrEx>
          <w:tblLayout w:type="fixed"/>
          <w:tblCellMar>
            <w:top w:w="0" w:type="dxa"/>
            <w:left w:w="108" w:type="dxa"/>
            <w:bottom w:w="0" w:type="dxa"/>
            <w:right w:w="108" w:type="dxa"/>
          </w:tblCellMar>
        </w:tblPrEx>
        <w:trPr>
          <w:trHeight w:val="729"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134109-垫江第九中学校</w:t>
            </w:r>
          </w:p>
        </w:tc>
      </w:tr>
      <w:tr>
        <w:tblPrEx>
          <w:tblLayout w:type="fixed"/>
          <w:tblCellMar>
            <w:top w:w="0" w:type="dxa"/>
            <w:left w:w="108" w:type="dxa"/>
            <w:bottom w:w="0" w:type="dxa"/>
            <w:right w:w="108" w:type="dxa"/>
          </w:tblCellMar>
        </w:tblPrEx>
        <w:trPr>
          <w:trHeight w:val="539"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2"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Layout w:type="fixed"/>
          <w:tblCellMar>
            <w:top w:w="0" w:type="dxa"/>
            <w:left w:w="108" w:type="dxa"/>
            <w:bottom w:w="0" w:type="dxa"/>
            <w:right w:w="108" w:type="dxa"/>
          </w:tblCellMar>
        </w:tblPrEx>
        <w:trPr>
          <w:trHeight w:val="553"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8.00</w:t>
            </w:r>
          </w:p>
        </w:tc>
      </w:tr>
      <w:tr>
        <w:tblPrEx>
          <w:tblLayout w:type="fixed"/>
          <w:tblCellMar>
            <w:top w:w="0" w:type="dxa"/>
            <w:left w:w="108" w:type="dxa"/>
            <w:bottom w:w="0" w:type="dxa"/>
            <w:right w:w="108" w:type="dxa"/>
          </w:tblCellMar>
        </w:tblPrEx>
        <w:trPr>
          <w:trHeight w:val="52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43"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0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专递课堂设备购置，改善学校办学条件。</w:t>
            </w:r>
          </w:p>
        </w:tc>
      </w:tr>
      <w:tr>
        <w:tblPrEx>
          <w:tblLayout w:type="fixed"/>
          <w:tblCellMar>
            <w:top w:w="0" w:type="dxa"/>
            <w:left w:w="108" w:type="dxa"/>
            <w:bottom w:w="0" w:type="dxa"/>
            <w:right w:w="108" w:type="dxa"/>
          </w:tblCellMar>
        </w:tblPrEx>
        <w:trPr>
          <w:trHeight w:val="961"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0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7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484"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专递课堂设备购置数量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专递课堂设备购置成本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23"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18"/>
          <w:szCs w:val="18"/>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7788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C219A"/>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27C29"/>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45E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1C8"/>
    <w:rsid w:val="00E00D68"/>
    <w:rsid w:val="00E01CEB"/>
    <w:rsid w:val="00E11FB2"/>
    <w:rsid w:val="00E275D0"/>
    <w:rsid w:val="00E40ED1"/>
    <w:rsid w:val="00E4747D"/>
    <w:rsid w:val="00E712B9"/>
    <w:rsid w:val="00E95293"/>
    <w:rsid w:val="00E96899"/>
    <w:rsid w:val="00EA1B98"/>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7D4D3A"/>
    <w:rsid w:val="036E749E"/>
    <w:rsid w:val="03A37B7C"/>
    <w:rsid w:val="086256F7"/>
    <w:rsid w:val="0F7628E2"/>
    <w:rsid w:val="0FCB01CA"/>
    <w:rsid w:val="0FD54BD4"/>
    <w:rsid w:val="12D03FDB"/>
    <w:rsid w:val="180E3F6F"/>
    <w:rsid w:val="18CC21E2"/>
    <w:rsid w:val="19D75DEA"/>
    <w:rsid w:val="19FD5543"/>
    <w:rsid w:val="1AD23AB3"/>
    <w:rsid w:val="1B99058E"/>
    <w:rsid w:val="1C814AF8"/>
    <w:rsid w:val="1C951C13"/>
    <w:rsid w:val="2137788D"/>
    <w:rsid w:val="24665D0A"/>
    <w:rsid w:val="25B13028"/>
    <w:rsid w:val="28E042C1"/>
    <w:rsid w:val="2A6B170D"/>
    <w:rsid w:val="2EA357C9"/>
    <w:rsid w:val="2F3069AA"/>
    <w:rsid w:val="33050ADA"/>
    <w:rsid w:val="357D0805"/>
    <w:rsid w:val="38D66FDC"/>
    <w:rsid w:val="3A865F58"/>
    <w:rsid w:val="3BC5739B"/>
    <w:rsid w:val="41E50202"/>
    <w:rsid w:val="44B8394E"/>
    <w:rsid w:val="48310C7F"/>
    <w:rsid w:val="48744BA8"/>
    <w:rsid w:val="49356421"/>
    <w:rsid w:val="533357EB"/>
    <w:rsid w:val="543E2A9B"/>
    <w:rsid w:val="55004B87"/>
    <w:rsid w:val="56EE7DE3"/>
    <w:rsid w:val="58A00C63"/>
    <w:rsid w:val="5FAE5678"/>
    <w:rsid w:val="6DF25BEE"/>
    <w:rsid w:val="6EB56781"/>
    <w:rsid w:val="7165689A"/>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847</Words>
  <Characters>4830</Characters>
  <Lines>40</Lines>
  <Paragraphs>11</Paragraphs>
  <TotalTime>1</TotalTime>
  <ScaleCrop>false</ScaleCrop>
  <LinksUpToDate>false</LinksUpToDate>
  <CharactersWithSpaces>5666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2026-02-01T05:47:00Z</dcterms:created>
  <dc:creator>保持沉默</dc:creator>
  <cp:lastModifiedBy>Administrator</cp:lastModifiedBy>
  <dcterms:modified xsi:type="dcterms:W3CDTF">2026-02-10T05:47:35Z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8D32A9CBD54B4E28A8AEE0EB327C2E54_11</vt:lpwstr>
  </property>
</Properties>
</file>