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垫江县林业局（本级）</w:t>
      </w:r>
    </w:p>
    <w:p>
      <w:pPr>
        <w:pStyle w:val="5"/>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pPr>
        <w:pStyle w:val="5"/>
        <w:shd w:val="clear" w:color="auto" w:fill="FFFFFF"/>
        <w:ind w:firstLine="643" w:firstLineChars="200"/>
        <w:rPr>
          <w:rFonts w:hint="default" w:ascii="黑体" w:hAnsi="黑体" w:eastAsia="黑体" w:cs="黑体"/>
          <w:sz w:val="32"/>
          <w:szCs w:val="32"/>
        </w:rPr>
      </w:pPr>
      <w:r>
        <w:rPr>
          <w:rStyle w:val="9"/>
          <w:rFonts w:ascii="黑体" w:hAnsi="黑体" w:eastAsia="黑体" w:cs="黑体"/>
          <w:sz w:val="32"/>
          <w:szCs w:val="32"/>
          <w:shd w:val="clear" w:color="auto" w:fill="FFFFFF"/>
        </w:rPr>
        <w:t>一、单位基本情况</w:t>
      </w:r>
    </w:p>
    <w:p>
      <w:pPr>
        <w:pStyle w:val="5"/>
        <w:shd w:val="clear" w:color="auto" w:fill="FFFFFF"/>
        <w:ind w:firstLine="420"/>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1.负责林业和草原及其生态保护修复的监督管理。贯彻执行林业和草原及其生态保护修复的法律、法规、规章和相关地方性法规和政府规章，拟订相关政策、规划、标准并组织实施。</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牵头组织实施林业和草原等生态保护修复和造林绿化工作。组织实施林业、草原重点生态保护修复工程，指导公益林和商品林的培育，指导、监督全民义务植树、城乡绿化工作。指导林业和草原有害生物防治、检疫工作。开展退耕还林还草。承担林业和草原应对气候变化的有关工作。</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负责森林、草原和湿地资源的监督管理。组织开展森林、草原、湿地、石漠化和陆生野生动植物资源动态监测与评价。组织实施并监督执行全县森林采伐限额。负责林地管理，拟订全县林地保护规划并组织实施，负责组织公益林划定、申报和保护管理工作，监督管理国有森林资源。负责草原禁牧、草畜平衡和草原生态修复治理工作，监督管理草原的开发利用。负责湿地生态保护修复工作，</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拟订全县湿地保护规划，贯彻执行湿地保护规划标准，监督管理湿地的开发利用。</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4.负责监督管理石漠化防治工作。组织开展石漠化调查，拟订石漠化防治、石漠化土地封禁保护区建设规划，拟订相关地方标准，监督管理石漠化土地的开发利用。</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负责陆生野生动植物资源的监督管理。组织开展陆生野生动植物资源调查，指导陆生野生动植物的救护繁育、栖息地恢复发展、疫源疫病监测，监督管理陆生野生动植物猎捕或采集、驯养繁殖或培植、经营利用。</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负责监督管理各类自然保护地。拟订全县各类自然保护地规划和相关县级标准。提出新建、调整各类自然保护地的审核建议并按程序报批。组织开展世界自然遗产的申报，会同有关部门开展世界自然与文化双重遗产的申报。负责全县国家级自然保护地的自然资源资产管理和国土空间用途管制，监督指导其他自然保护地的管理工作。监督管理风景名胜区和地质公园、森林公园、湿地公园、自然遗产等自然公园。负责生物多样性保护相关工作。</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7.负责推进林业和草原改革发展工作。拟订集体林权制度、国有林场、草原等重大改革意见并监督实施。拟订农村林业发展、维护林业经营者合法权益的政策措施，指导农村林地承包经营工作。</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8.贯彻执行林业和草原资源优化配置及木材利用政策和林业产业市级标准，组织、指导林产品质量监督，指导生态扶贫相关工作。负责天然林保护工作。</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指导国有林场基本建设和发展，组织林木种子、草种种质资源普查，组织建立种质资源库，负责良种选育推广，管理林木种子种苗、草种生产经营行为，监管林木种子种苗、草种质量。监督管理林业和草原生物种质资源、转基因生物安全、植物新品种保护。</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10.负责林业和草原领域的相关行政执法工作，具体执法交由执法队伍承担，并以部门名义统一执法。</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负责落实综合防灾减灾规划相关要求，组织编制森林和草原火灾防治规划和防护标准并指导实施，指导开展防火巡护、火源管理、防火设施建设等工作。组织开展森林和草原防火宣传教育、监测预警、督促检查等工作。承担森林草原火灾预防预警监测的相应工作。组织指导国有林场和草原开展宣传教育、监测预警、督促检查等防火工作。</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监督管理林业、草原及其生态保护县级以上资金和国有资产。提出林业、草原、湿地和石漠化防治预算内投资、财政性资金安排建议，按县政府规定权限，审核县级规划内和年度计划内投资项目。参与拟订林业和草原经济调节措施，组织实施林业、草原、湿地和石漠化防治生态补偿工作。</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13.负责林业和草原科技、教育和外事工作，指导全县林业和草原人才队伍建设，组织实施林业、草原、湿地和石漠化防治的国际交流与合作事务，承担湿地、防治荒漠化、濒危野生动植物等国际公约履约工作。</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14.完成县委、县政府交办的其他任务。</w:t>
      </w:r>
    </w:p>
    <w:p>
      <w:pPr>
        <w:pStyle w:val="5"/>
        <w:shd w:val="clear" w:color="auto" w:fill="FFFFFF"/>
        <w:ind w:firstLine="420"/>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pPr>
        <w:pStyle w:val="5"/>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垫江县林业局现有内设科室6个：办公室（信访科）、规划财务科、生态修复科（垫江县绿化委员会办公室）、资源管理科（行政许可服务科）、风景名胜科（政策法规科）、森林火灾预防与安全生产科。</w:t>
      </w:r>
    </w:p>
    <w:p>
      <w:pPr>
        <w:pStyle w:val="5"/>
        <w:shd w:val="clear" w:color="auto" w:fill="FFFFFF"/>
        <w:ind w:firstLine="964" w:firstLineChars="300"/>
        <w:rPr>
          <w:rFonts w:hint="default" w:ascii="方正仿宋_GBK" w:hAnsi="方正仿宋_GBK" w:eastAsia="方正仿宋_GBK" w:cs="方正仿宋_GBK"/>
          <w:sz w:val="32"/>
          <w:szCs w:val="32"/>
        </w:rPr>
      </w:pPr>
      <w:r>
        <w:rPr>
          <w:rStyle w:val="9"/>
          <w:rFonts w:ascii="黑体" w:hAnsi="黑体" w:eastAsia="黑体" w:cs="黑体"/>
          <w:sz w:val="32"/>
          <w:szCs w:val="32"/>
          <w:shd w:val="clear" w:color="auto" w:fill="FFFFFF"/>
        </w:rPr>
        <w:t>二、部门决算情况说明</w:t>
      </w:r>
    </w:p>
    <w:p>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pStyle w:val="5"/>
        <w:shd w:val="clear" w:color="auto" w:fill="FFFFFF"/>
        <w:ind w:firstLine="643" w:firstLineChars="200"/>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2023年度收入总计3733.87万元，支出总计</w:t>
      </w:r>
      <w:r>
        <w:rPr>
          <w:rFonts w:ascii="方正仿宋_GBK" w:hAnsi="方正仿宋_GBK" w:eastAsia="方正仿宋_GBK" w:cs="方正仿宋_GBK"/>
          <w:sz w:val="32"/>
          <w:szCs w:val="32"/>
        </w:rPr>
        <w:t>3733.87</w:t>
      </w:r>
      <w:r>
        <w:rPr>
          <w:rFonts w:ascii="方正仿宋_GBK" w:hAnsi="方正仿宋_GBK" w:eastAsia="方正仿宋_GBK" w:cs="方正仿宋_GBK"/>
          <w:sz w:val="32"/>
          <w:szCs w:val="32"/>
          <w:shd w:val="clear" w:color="auto" w:fill="FFFFFF"/>
        </w:rPr>
        <w:t>万元。收支较上年决算数减少872.8万元，下降18.95%，主要原因</w:t>
      </w:r>
      <w:r>
        <w:rPr>
          <w:rFonts w:ascii="方正仿宋_GBK" w:eastAsia="方正仿宋_GBK"/>
          <w:sz w:val="32"/>
          <w:szCs w:val="32"/>
          <w:shd w:val="clear" w:color="auto" w:fill="FFFFFF"/>
        </w:rPr>
        <w:t>一是清算</w:t>
      </w:r>
      <w:r>
        <w:rPr>
          <w:rFonts w:hint="default" w:ascii="方正仿宋_GBK" w:eastAsia="方正仿宋_GBK"/>
          <w:sz w:val="32"/>
          <w:szCs w:val="32"/>
          <w:shd w:val="clear" w:color="auto" w:fill="FFFFFF"/>
        </w:rPr>
        <w:t>2021年住房公积金，单位缴纳部分减少。二是调整结转结余期初数</w:t>
      </w:r>
      <w:r>
        <w:rPr>
          <w:rFonts w:ascii="方正仿宋_GBK" w:eastAsia="方正仿宋_GBK"/>
          <w:sz w:val="32"/>
          <w:szCs w:val="32"/>
          <w:shd w:val="clear" w:color="auto" w:fill="FFFFFF"/>
        </w:rPr>
        <w:t>。</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2023年度收入合计3733.87万元，较上年决算数增加997.07万元，增长36.43%，主要原因</w:t>
      </w:r>
      <w:r>
        <w:rPr>
          <w:rFonts w:ascii="方正仿宋_GBK" w:eastAsia="方正仿宋_GBK"/>
          <w:sz w:val="32"/>
          <w:szCs w:val="32"/>
          <w:shd w:val="clear" w:color="auto" w:fill="FFFFFF"/>
        </w:rPr>
        <w:t>是社会保障和就业、退休职工死亡抚恤、行政单位医疗及住房公积金等支出以及退耕还林还草直补资金支出增加。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3733.87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3733.87</w:t>
      </w:r>
      <w:r>
        <w:rPr>
          <w:rFonts w:ascii="方正仿宋_GBK" w:hAnsi="方正仿宋_GBK" w:eastAsia="方正仿宋_GBK" w:cs="方正仿宋_GBK"/>
          <w:sz w:val="32"/>
          <w:szCs w:val="32"/>
          <w:shd w:val="clear" w:color="auto" w:fill="FFFFFF"/>
        </w:rPr>
        <w:t>万元，较上年决算数增加995.62万元，增长36.36%，主要原因</w:t>
      </w:r>
      <w:r>
        <w:rPr>
          <w:rFonts w:ascii="方正仿宋_GBK" w:eastAsia="方正仿宋_GBK"/>
          <w:sz w:val="32"/>
          <w:szCs w:val="32"/>
          <w:shd w:val="clear" w:color="auto" w:fill="FFFFFF"/>
        </w:rPr>
        <w:t>是社会保障和就业、退休职工死亡抚恤、行政单位医疗及住房公积金等支出以及退耕还林还草直补资金支出增加。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548.41</w:t>
      </w:r>
      <w:r>
        <w:rPr>
          <w:rFonts w:ascii="方正仿宋_GBK" w:hAnsi="方正仿宋_GBK" w:eastAsia="方正仿宋_GBK" w:cs="方正仿宋_GBK"/>
          <w:sz w:val="32"/>
          <w:szCs w:val="32"/>
          <w:shd w:val="clear" w:color="auto" w:fill="FFFFFF"/>
        </w:rPr>
        <w:t>万元，占14.69%；项目支出</w:t>
      </w:r>
      <w:r>
        <w:rPr>
          <w:rFonts w:ascii="方正仿宋_GBK" w:hAnsi="方正仿宋_GBK" w:eastAsia="方正仿宋_GBK" w:cs="方正仿宋_GBK"/>
          <w:sz w:val="32"/>
          <w:szCs w:val="32"/>
        </w:rPr>
        <w:t>3185.45</w:t>
      </w:r>
      <w:r>
        <w:rPr>
          <w:rFonts w:ascii="方正仿宋_GBK" w:hAnsi="方正仿宋_GBK" w:eastAsia="方正仿宋_GBK" w:cs="方正仿宋_GBK"/>
          <w:sz w:val="32"/>
          <w:szCs w:val="32"/>
          <w:shd w:val="clear" w:color="auto" w:fill="FFFFFF"/>
        </w:rPr>
        <w:t>万元，占85.31%；经营支出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万元，较上年决算数减少1868.43万元，下降100.00%，主要原因是</w:t>
      </w:r>
      <w:r>
        <w:rPr>
          <w:rFonts w:ascii="方正仿宋_GBK" w:eastAsia="方正仿宋_GBK"/>
          <w:sz w:val="32"/>
          <w:szCs w:val="32"/>
          <w:shd w:val="clear" w:color="auto" w:fill="FFFFFF"/>
        </w:rPr>
        <w:t>本年进行了会计差错更正调整期初数导致。</w:t>
      </w:r>
    </w:p>
    <w:p>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pPr>
        <w:pStyle w:val="5"/>
        <w:snapToGrid w:val="0"/>
        <w:spacing w:before="0" w:beforeAutospacing="0" w:after="0" w:afterAutospacing="0" w:line="600" w:lineRule="exact"/>
        <w:ind w:firstLine="640" w:firstLineChars="200"/>
        <w:jc w:val="both"/>
        <w:rPr>
          <w:rFonts w:hint="default" w:ascii="方正仿宋_GBK" w:eastAsia="方正仿宋_GBK"/>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2023年度财政拨款收、支总计3733.87万元。与2022年相比，财政拨款收、支总计各减少872.8万元，下降18.95%。主要原因</w:t>
      </w:r>
      <w:r>
        <w:rPr>
          <w:rFonts w:ascii="方正仿宋_GBK" w:eastAsia="方正仿宋_GBK"/>
          <w:sz w:val="32"/>
          <w:szCs w:val="32"/>
          <w:shd w:val="clear" w:color="auto" w:fill="FFFFFF"/>
        </w:rPr>
        <w:t>一是清算</w:t>
      </w:r>
      <w:r>
        <w:rPr>
          <w:rFonts w:hint="default" w:ascii="方正仿宋_GBK" w:eastAsia="方正仿宋_GBK"/>
          <w:sz w:val="32"/>
          <w:szCs w:val="32"/>
          <w:shd w:val="clear" w:color="auto" w:fill="FFFFFF"/>
        </w:rPr>
        <w:t>2021年住房公积金，单位缴纳部分减少。二是调整结转结余期初数</w:t>
      </w:r>
      <w:r>
        <w:rPr>
          <w:rFonts w:ascii="方正仿宋_GBK" w:eastAsia="方正仿宋_GBK"/>
          <w:sz w:val="32"/>
          <w:szCs w:val="32"/>
          <w:shd w:val="clear" w:color="auto" w:fill="FFFFFF"/>
        </w:rPr>
        <w:t>。</w:t>
      </w:r>
    </w:p>
    <w:p>
      <w:pPr>
        <w:pStyle w:val="5"/>
        <w:snapToGrid w:val="0"/>
        <w:spacing w:before="0" w:beforeAutospacing="0" w:after="0" w:afterAutospacing="0" w:line="600" w:lineRule="exact"/>
        <w:ind w:firstLine="643" w:firstLineChars="200"/>
        <w:jc w:val="both"/>
        <w:rPr>
          <w:rFonts w:ascii="楷体" w:hAnsi="楷体" w:eastAsia="楷体" w:cs="楷体"/>
          <w:b/>
          <w:bCs/>
          <w:sz w:val="32"/>
          <w:szCs w:val="32"/>
          <w:shd w:val="clear" w:color="auto" w:fill="FFFFFF"/>
          <w:lang w:bidi="ar"/>
        </w:rPr>
      </w:pPr>
      <w:r>
        <w:rPr>
          <w:rFonts w:ascii="楷体" w:hAnsi="楷体" w:eastAsia="楷体" w:cs="楷体"/>
          <w:b/>
          <w:bCs/>
          <w:sz w:val="32"/>
          <w:szCs w:val="32"/>
          <w:shd w:val="clear" w:color="auto" w:fill="FFFFFF"/>
          <w:lang w:bidi="ar"/>
        </w:rPr>
        <w:t>（三）一般公共预算财政拨款收入支出决算情况说明</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3733.87</w:t>
      </w:r>
      <w:r>
        <w:rPr>
          <w:rFonts w:ascii="方正仿宋_GBK" w:hAnsi="方正仿宋_GBK" w:eastAsia="方正仿宋_GBK" w:cs="方正仿宋_GBK"/>
          <w:sz w:val="32"/>
          <w:szCs w:val="32"/>
          <w:shd w:val="clear" w:color="auto" w:fill="FFFFFF"/>
        </w:rPr>
        <w:t>万元，较上年决算数增加997.07万元，增长36.43%。主要原因是</w:t>
      </w:r>
      <w:r>
        <w:rPr>
          <w:rFonts w:ascii="方正仿宋_GBK" w:eastAsia="方正仿宋_GBK"/>
          <w:sz w:val="32"/>
          <w:szCs w:val="32"/>
          <w:shd w:val="clear" w:color="auto" w:fill="FFFFFF"/>
        </w:rPr>
        <w:t>社会保障和就业、退休职工死亡抚恤、行政单位医疗及住房公积金等支出以及退耕还林还草直补资金支出增加。</w:t>
      </w:r>
      <w:r>
        <w:rPr>
          <w:rFonts w:ascii="方正仿宋_GBK" w:hAnsi="方正仿宋_GBK" w:eastAsia="方正仿宋_GBK" w:cs="方正仿宋_GBK"/>
          <w:sz w:val="32"/>
          <w:szCs w:val="32"/>
          <w:shd w:val="clear" w:color="auto" w:fill="FFFFFF"/>
        </w:rPr>
        <w:t>较年初预算数增加1580.77万元，增长73.42%。主要原因是</w:t>
      </w:r>
      <w:r>
        <w:rPr>
          <w:rFonts w:ascii="方正仿宋_GBK" w:eastAsia="方正仿宋_GBK"/>
          <w:sz w:val="32"/>
          <w:szCs w:val="32"/>
          <w:shd w:val="clear" w:color="auto" w:fill="FFFFFF"/>
        </w:rPr>
        <w:t>追加了退耕还林还草直补资金。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3733.87</w:t>
      </w:r>
      <w:r>
        <w:rPr>
          <w:rFonts w:ascii="方正仿宋_GBK" w:hAnsi="方正仿宋_GBK" w:eastAsia="方正仿宋_GBK" w:cs="方正仿宋_GBK"/>
          <w:sz w:val="32"/>
          <w:szCs w:val="32"/>
          <w:shd w:val="clear" w:color="auto" w:fill="FFFFFF"/>
        </w:rPr>
        <w:t>万元，较上年决算数增加995.62万元，增长36.36%。主要原因是</w:t>
      </w:r>
      <w:r>
        <w:rPr>
          <w:rFonts w:ascii="方正仿宋_GBK" w:eastAsia="方正仿宋_GBK"/>
          <w:sz w:val="32"/>
          <w:szCs w:val="32"/>
          <w:shd w:val="clear" w:color="auto" w:fill="FFFFFF"/>
        </w:rPr>
        <w:t>社会保障和就业、退休职工死亡抚恤、行政单位医疗及住房公积金等支出以及退耕还林还草直补资金支出增加。</w:t>
      </w:r>
      <w:r>
        <w:rPr>
          <w:rFonts w:ascii="方正仿宋_GBK" w:hAnsi="方正仿宋_GBK" w:eastAsia="方正仿宋_GBK" w:cs="方正仿宋_GBK"/>
          <w:sz w:val="32"/>
          <w:szCs w:val="32"/>
          <w:shd w:val="clear" w:color="auto" w:fill="FFFFFF"/>
        </w:rPr>
        <w:t>较年初预算数增加1580.77万元，增长73.42%。主要原因是</w:t>
      </w:r>
      <w:r>
        <w:rPr>
          <w:rFonts w:ascii="方正仿宋_GBK" w:eastAsia="方正仿宋_GBK"/>
          <w:sz w:val="32"/>
          <w:szCs w:val="32"/>
          <w:shd w:val="clear" w:color="auto" w:fill="FFFFFF"/>
        </w:rPr>
        <w:t>追加了退耕还林还草直补资金。</w:t>
      </w:r>
    </w:p>
    <w:p>
      <w:pPr>
        <w:pStyle w:val="5"/>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万元，较上年决算数减少1868.43万元，下降100.0%，主要原因是</w:t>
      </w:r>
      <w:r>
        <w:rPr>
          <w:rFonts w:ascii="方正仿宋_GBK" w:eastAsia="方正仿宋_GBK"/>
          <w:sz w:val="32"/>
          <w:szCs w:val="32"/>
          <w:shd w:val="clear" w:color="auto" w:fill="FFFFFF"/>
        </w:rPr>
        <w:t>本年进行了会计差错更正调整期初数导致。</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9"/>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%，较年初预算数无增减，主要原因是严格</w:t>
      </w:r>
      <w:r>
        <w:rPr>
          <w:rFonts w:hint="default" w:ascii="方正仿宋_GBK" w:hAnsi="方正仿宋_GBK" w:eastAsia="方正仿宋_GBK" w:cs="方正仿宋_GBK"/>
          <w:sz w:val="32"/>
          <w:szCs w:val="32"/>
          <w:shd w:val="clear" w:color="auto" w:fill="FFFFFF"/>
        </w:rPr>
        <w:t>按照预算执行</w:t>
      </w:r>
      <w:r>
        <w:rPr>
          <w:rFonts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600" w:lineRule="exact"/>
        <w:ind w:firstLine="640" w:firstLineChars="200"/>
        <w:jc w:val="both"/>
        <w:rPr>
          <w:rFonts w:hint="default" w:ascii="方正仿宋_GBK" w:eastAsia="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179.97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4.82</w:t>
      </w:r>
      <w:r>
        <w:rPr>
          <w:rFonts w:ascii="方正仿宋_GBK" w:hAnsi="方正仿宋_GBK" w:eastAsia="方正仿宋_GBK" w:cs="方正仿宋_GBK"/>
          <w:sz w:val="32"/>
          <w:szCs w:val="32"/>
          <w:shd w:val="clear" w:color="auto" w:fill="FFFFFF"/>
        </w:rPr>
        <w:t>%，较年初预算数增加53.49万元，增长42.29%，主要原因是</w:t>
      </w:r>
      <w:r>
        <w:rPr>
          <w:rFonts w:ascii="方正仿宋_GBK" w:eastAsia="方正仿宋_GBK"/>
          <w:sz w:val="32"/>
          <w:szCs w:val="32"/>
          <w:shd w:val="clear" w:color="auto" w:fill="FFFFFF"/>
        </w:rPr>
        <w:t>职工缴费基数发生变化。</w:t>
      </w:r>
    </w:p>
    <w:p>
      <w:pPr>
        <w:pStyle w:val="5"/>
        <w:snapToGrid w:val="0"/>
        <w:spacing w:before="0" w:beforeAutospacing="0" w:after="0" w:afterAutospacing="0" w:line="600" w:lineRule="exact"/>
        <w:ind w:firstLine="640" w:firstLineChars="200"/>
        <w:jc w:val="both"/>
        <w:rPr>
          <w:rFonts w:hint="default" w:ascii="方正仿宋_GBK" w:eastAsia="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13.33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0.36</w:t>
      </w:r>
      <w:r>
        <w:rPr>
          <w:rFonts w:ascii="方正仿宋_GBK" w:hAnsi="方正仿宋_GBK" w:eastAsia="方正仿宋_GBK" w:cs="方正仿宋_GBK"/>
          <w:sz w:val="32"/>
          <w:szCs w:val="32"/>
          <w:shd w:val="clear" w:color="auto" w:fill="FFFFFF"/>
        </w:rPr>
        <w:t>%，较年初预算数减少0.54万元，下降3.89%，主要</w:t>
      </w:r>
      <w:r>
        <w:rPr>
          <w:rFonts w:ascii="方正仿宋_GBK" w:eastAsia="方正仿宋_GBK"/>
          <w:sz w:val="32"/>
          <w:szCs w:val="32"/>
          <w:shd w:val="clear" w:color="auto" w:fill="FFFFFF"/>
        </w:rPr>
        <w:t>原因是调动人员的缴费基数差异。</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（4）节能环保支出</w:t>
      </w:r>
      <w:r>
        <w:rPr>
          <w:rFonts w:ascii="方正仿宋_GBK" w:hAnsi="方正仿宋_GBK" w:eastAsia="方正仿宋_GBK" w:cs="方正仿宋_GBK"/>
          <w:sz w:val="32"/>
          <w:szCs w:val="32"/>
        </w:rPr>
        <w:t>777.32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20.82</w:t>
      </w:r>
      <w:r>
        <w:rPr>
          <w:rFonts w:ascii="方正仿宋_GBK" w:hAnsi="方正仿宋_GBK" w:eastAsia="方正仿宋_GBK" w:cs="方正仿宋_GBK"/>
          <w:sz w:val="32"/>
          <w:szCs w:val="32"/>
          <w:shd w:val="clear" w:color="auto" w:fill="FFFFFF"/>
        </w:rPr>
        <w:t>%，较年初预算数增加777.32万元，增长100.00%，</w:t>
      </w:r>
      <w:r>
        <w:rPr>
          <w:rFonts w:ascii="方正仿宋_GBK" w:eastAsia="方正仿宋_GBK"/>
          <w:sz w:val="32"/>
          <w:szCs w:val="32"/>
          <w:shd w:val="clear" w:color="auto" w:fill="FFFFFF"/>
        </w:rPr>
        <w:t>主要原因是追加了退耕还林直补资金。</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（5）农林水支出</w:t>
      </w:r>
      <w:r>
        <w:rPr>
          <w:rFonts w:ascii="方正仿宋_GBK" w:hAnsi="方正仿宋_GBK" w:eastAsia="方正仿宋_GBK" w:cs="方正仿宋_GBK"/>
          <w:sz w:val="32"/>
          <w:szCs w:val="32"/>
        </w:rPr>
        <w:t>2746.66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73.56</w:t>
      </w:r>
      <w:r>
        <w:rPr>
          <w:rFonts w:ascii="方正仿宋_GBK" w:hAnsi="方正仿宋_GBK" w:eastAsia="方正仿宋_GBK" w:cs="方正仿宋_GBK"/>
          <w:sz w:val="32"/>
          <w:szCs w:val="32"/>
          <w:shd w:val="clear" w:color="auto" w:fill="FFFFFF"/>
        </w:rPr>
        <w:t>%，较年初预算数增加762.42万元，增长38.42%，主要原因</w:t>
      </w:r>
      <w:r>
        <w:rPr>
          <w:rFonts w:ascii="方正仿宋_GBK" w:eastAsia="方正仿宋_GBK"/>
          <w:sz w:val="32"/>
          <w:szCs w:val="32"/>
          <w:shd w:val="clear" w:color="auto" w:fill="FFFFFF"/>
        </w:rPr>
        <w:t>是滞后的项目抓紧实施追加预算。</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住房保障支出15.41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0.41</w:t>
      </w:r>
      <w:r>
        <w:rPr>
          <w:rFonts w:ascii="方正仿宋_GBK" w:hAnsi="方正仿宋_GBK" w:eastAsia="方正仿宋_GBK" w:cs="方正仿宋_GBK"/>
          <w:sz w:val="32"/>
          <w:szCs w:val="32"/>
          <w:shd w:val="clear" w:color="auto" w:fill="FFFFFF"/>
        </w:rPr>
        <w:t>%，较年初预算数减少11.92万元，下降43.62%，主要原因是</w:t>
      </w:r>
      <w:r>
        <w:rPr>
          <w:rFonts w:ascii="方正仿宋_GBK" w:eastAsia="方正仿宋_GBK"/>
          <w:sz w:val="32"/>
          <w:szCs w:val="32"/>
          <w:shd w:val="clear" w:color="auto" w:fill="FFFFFF"/>
        </w:rPr>
        <w:t>职工缴费基数发生变更以及人员调动。</w:t>
      </w:r>
    </w:p>
    <w:p>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548.41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468.33</w:t>
      </w:r>
      <w:r>
        <w:rPr>
          <w:rFonts w:ascii="方正仿宋_GBK" w:hAnsi="方正仿宋_GBK" w:eastAsia="方正仿宋_GBK" w:cs="方正仿宋_GBK"/>
          <w:sz w:val="32"/>
          <w:szCs w:val="32"/>
          <w:shd w:val="clear" w:color="auto" w:fill="FFFFFF"/>
        </w:rPr>
        <w:t>万元，较上年决算数增加30.27万元，增长6.91%，主要原因有两个：一是</w:t>
      </w:r>
      <w:r>
        <w:rPr>
          <w:rFonts w:ascii="方正仿宋_GBK" w:eastAsia="方正仿宋_GBK"/>
          <w:sz w:val="32"/>
          <w:szCs w:val="32"/>
          <w:shd w:val="clear" w:color="auto" w:fill="FFFFFF"/>
        </w:rPr>
        <w:t>职工社会保障和就业缴费基数发生变化，二是2022年办理了1名退休职工死亡抚恤。</w:t>
      </w:r>
      <w:r>
        <w:rPr>
          <w:rFonts w:ascii="方正仿宋_GBK" w:hAnsi="方正仿宋_GBK" w:eastAsia="方正仿宋_GBK" w:cs="方正仿宋_GBK"/>
          <w:sz w:val="32"/>
          <w:szCs w:val="32"/>
          <w:shd w:val="clear" w:color="auto" w:fill="FFFFFF"/>
        </w:rPr>
        <w:t>人员经费用途主要包括</w:t>
      </w:r>
      <w:r>
        <w:rPr>
          <w:rFonts w:ascii="方正仿宋_GBK" w:hAnsi="Times New Roman" w:eastAsia="方正仿宋_GBK"/>
          <w:kern w:val="2"/>
          <w:sz w:val="32"/>
          <w:szCs w:val="32"/>
        </w:rPr>
        <w:t>基本工资、津贴补贴、奖金、社会保障缴费等</w:t>
      </w:r>
      <w:r>
        <w:rPr>
          <w:rFonts w:ascii="方正仿宋_GBK" w:eastAsia="方正仿宋_GBK"/>
          <w:sz w:val="32"/>
          <w:szCs w:val="32"/>
          <w:shd w:val="clear" w:color="auto" w:fill="FFFFFF"/>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80.08</w:t>
      </w:r>
      <w:r>
        <w:rPr>
          <w:rFonts w:ascii="方正仿宋_GBK" w:hAnsi="方正仿宋_GBK" w:eastAsia="方正仿宋_GBK" w:cs="方正仿宋_GBK"/>
          <w:sz w:val="32"/>
          <w:szCs w:val="32"/>
          <w:shd w:val="clear" w:color="auto" w:fill="FFFFFF"/>
        </w:rPr>
        <w:t>万元，较上年决算数增加14.11万元，增长21.39%，主要原因是</w:t>
      </w:r>
      <w:r>
        <w:rPr>
          <w:rFonts w:ascii="方正仿宋_GBK" w:eastAsia="方正仿宋_GBK"/>
          <w:sz w:val="32"/>
          <w:szCs w:val="32"/>
          <w:shd w:val="clear" w:color="auto" w:fill="FFFFFF"/>
        </w:rPr>
        <w:t>2023年受连晴高温影响在森林防火宣传以及疫情解除后各项项目的开展导致公用经费较往年有所增加。</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sz w:val="32"/>
          <w:szCs w:val="32"/>
          <w:shd w:val="clear" w:color="auto" w:fill="FFFFFF"/>
        </w:rPr>
        <w:t>办公费、接待费、公务用车运行维护费等。</w:t>
      </w:r>
    </w:p>
    <w:p>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pPr>
        <w:pStyle w:val="10"/>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单位2023年度无政府性基金预算财政拨款收支。</w:t>
      </w:r>
    </w:p>
    <w:p>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本单位2023年度无国有资本经营预算财政拨款支出。</w:t>
      </w:r>
    </w:p>
    <w:p>
      <w:pPr>
        <w:pStyle w:val="5"/>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三、“三公”经费情况说明</w:t>
      </w:r>
    </w:p>
    <w:p>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（一）“三公”经费支出总体情况说明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6.99</w:t>
      </w:r>
      <w:r>
        <w:rPr>
          <w:rFonts w:ascii="方正仿宋_GBK" w:hAnsi="方正仿宋_GBK" w:eastAsia="方正仿宋_GBK" w:cs="方正仿宋_GBK"/>
          <w:sz w:val="32"/>
          <w:szCs w:val="32"/>
          <w:shd w:val="clear" w:color="auto" w:fill="FFFFFF"/>
        </w:rPr>
        <w:t>万元，较年初预算数减少5.31万元，下降43.17%，主要原因是</w:t>
      </w:r>
      <w:r>
        <w:rPr>
          <w:rFonts w:ascii="方正仿宋_GBK" w:eastAsia="方正仿宋_GBK"/>
          <w:sz w:val="32"/>
          <w:szCs w:val="32"/>
          <w:shd w:val="clear" w:color="auto" w:fill="FFFFFF"/>
        </w:rPr>
        <w:t>本年度加强了车辆管理减少车辆出行频次，导致车辆运行费减少。</w:t>
      </w:r>
      <w:r>
        <w:rPr>
          <w:rFonts w:ascii="方正仿宋_GBK" w:hAnsi="方正仿宋_GBK" w:eastAsia="方正仿宋_GBK" w:cs="方正仿宋_GBK"/>
          <w:sz w:val="32"/>
          <w:szCs w:val="32"/>
          <w:shd w:val="clear" w:color="auto" w:fill="FFFFFF"/>
        </w:rPr>
        <w:t>较上年支出数减少1.60万元，下降18.63%，主要原因有两个：</w:t>
      </w:r>
      <w:r>
        <w:rPr>
          <w:rFonts w:ascii="方正仿宋_GBK" w:eastAsia="方正仿宋_GBK"/>
          <w:sz w:val="32"/>
          <w:szCs w:val="32"/>
          <w:shd w:val="clear" w:color="auto" w:fill="FFFFFF"/>
        </w:rPr>
        <w:t>一是本年度加强了车辆管理减少车辆出行频次导致车辆运行费减少，二是严控接待标准接待费用降低。</w:t>
      </w:r>
    </w:p>
    <w:p>
      <w:pPr>
        <w:pStyle w:val="10"/>
        <w:autoSpaceDE w:val="0"/>
        <w:adjustRightInd w:val="0"/>
        <w:snapToGrid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pStyle w:val="5"/>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5"/>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5"/>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5.83</w:t>
      </w:r>
      <w:r>
        <w:rPr>
          <w:rFonts w:ascii="方正仿宋_GBK" w:hAnsi="方正仿宋_GBK" w:eastAsia="方正仿宋_GBK" w:cs="方正仿宋_GBK"/>
          <w:sz w:val="32"/>
          <w:szCs w:val="32"/>
          <w:shd w:val="clear" w:color="auto" w:fill="FFFFFF"/>
        </w:rPr>
        <w:t>万元，主要用于</w:t>
      </w:r>
      <w:r>
        <w:rPr>
          <w:rFonts w:ascii="方正仿宋_GBK" w:eastAsia="方正仿宋_GBK"/>
          <w:sz w:val="32"/>
          <w:szCs w:val="32"/>
          <w:shd w:val="clear" w:color="auto" w:fill="FFFFFF"/>
        </w:rPr>
        <w:t>车辆维修维护、燃油费、保险费等。</w:t>
      </w:r>
      <w:r>
        <w:rPr>
          <w:rFonts w:ascii="方正仿宋_GBK" w:hAnsi="方正仿宋_GBK" w:eastAsia="方正仿宋_GBK" w:cs="方正仿宋_GBK"/>
          <w:sz w:val="32"/>
          <w:szCs w:val="32"/>
          <w:shd w:val="clear" w:color="auto" w:fill="FFFFFF"/>
        </w:rPr>
        <w:t>费用支出较年初预算数减少4.47万元，下降43.4%，主要原因是</w:t>
      </w:r>
      <w:r>
        <w:rPr>
          <w:rFonts w:ascii="方正仿宋_GBK" w:eastAsia="方正仿宋_GBK"/>
          <w:sz w:val="32"/>
          <w:szCs w:val="32"/>
          <w:shd w:val="clear" w:color="auto" w:fill="FFFFFF"/>
        </w:rPr>
        <w:t>本年度加强了车辆管理减少车辆出行频次，导致车辆运行费减少。</w:t>
      </w:r>
      <w:r>
        <w:rPr>
          <w:rFonts w:ascii="方正仿宋_GBK" w:hAnsi="方正仿宋_GBK" w:eastAsia="方正仿宋_GBK" w:cs="方正仿宋_GBK"/>
          <w:sz w:val="32"/>
          <w:szCs w:val="32"/>
          <w:shd w:val="clear" w:color="auto" w:fill="FFFFFF"/>
        </w:rPr>
        <w:t>较上年支出数减少1.4万元，下降19.36%，主要原因是</w:t>
      </w:r>
      <w:r>
        <w:rPr>
          <w:rFonts w:ascii="方正仿宋_GBK" w:eastAsia="方正仿宋_GBK"/>
          <w:sz w:val="32"/>
          <w:szCs w:val="32"/>
          <w:shd w:val="clear" w:color="auto" w:fill="FFFFFF"/>
        </w:rPr>
        <w:t>加强了车辆管理减少车辆出行频次，导致车辆运行费减少。</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1.16</w:t>
      </w:r>
      <w:r>
        <w:rPr>
          <w:rFonts w:ascii="方正仿宋_GBK" w:hAnsi="方正仿宋_GBK" w:eastAsia="方正仿宋_GBK" w:cs="方正仿宋_GBK"/>
          <w:sz w:val="32"/>
          <w:szCs w:val="32"/>
          <w:shd w:val="clear" w:color="auto" w:fill="FFFFFF"/>
        </w:rPr>
        <w:t>万元，主要用于</w:t>
      </w:r>
      <w:r>
        <w:rPr>
          <w:rFonts w:ascii="方正仿宋_GBK" w:eastAsia="方正仿宋_GBK"/>
          <w:sz w:val="32"/>
          <w:szCs w:val="32"/>
          <w:shd w:val="clear" w:color="auto" w:fill="FFFFFF"/>
        </w:rPr>
        <w:t>接待市级部门及各区县林业局来我县指导林业工作接待费用。</w:t>
      </w:r>
      <w:r>
        <w:rPr>
          <w:rFonts w:ascii="方正仿宋_GBK" w:hAnsi="方正仿宋_GBK" w:eastAsia="方正仿宋_GBK" w:cs="方正仿宋_GBK"/>
          <w:sz w:val="32"/>
          <w:szCs w:val="32"/>
          <w:shd w:val="clear" w:color="auto" w:fill="FFFFFF"/>
        </w:rPr>
        <w:t>费用支出较年初预算数减少0.84万元，下降42.0%，主要原因是</w:t>
      </w:r>
      <w:r>
        <w:rPr>
          <w:rFonts w:ascii="方正仿宋_GBK" w:eastAsia="方正仿宋_GBK"/>
          <w:sz w:val="32"/>
          <w:szCs w:val="32"/>
          <w:shd w:val="clear" w:color="auto" w:fill="FFFFFF"/>
        </w:rPr>
        <w:t>严控接待标准和规模。</w:t>
      </w:r>
      <w:r>
        <w:rPr>
          <w:rFonts w:ascii="方正仿宋_GBK" w:hAnsi="方正仿宋_GBK" w:eastAsia="方正仿宋_GBK" w:cs="方正仿宋_GBK"/>
          <w:sz w:val="32"/>
          <w:szCs w:val="32"/>
          <w:shd w:val="clear" w:color="auto" w:fill="FFFFFF"/>
        </w:rPr>
        <w:t>较上年支出数减少0.20万元，下降14.71%，</w:t>
      </w:r>
      <w:bookmarkStart w:id="0" w:name="_GoBack"/>
      <w:r>
        <w:rPr>
          <w:rFonts w:ascii="方正仿宋_GBK" w:hAnsi="方正仿宋_GBK" w:eastAsia="方正仿宋_GBK" w:cs="方正仿宋_GBK"/>
          <w:sz w:val="32"/>
          <w:szCs w:val="32"/>
          <w:shd w:val="clear" w:color="auto" w:fill="FFFFFF"/>
        </w:rPr>
        <w:t>主要原因</w:t>
      </w:r>
      <w:r>
        <w:rPr>
          <w:rFonts w:ascii="方正仿宋_GBK" w:eastAsia="方正仿宋_GBK"/>
          <w:sz w:val="32"/>
          <w:szCs w:val="32"/>
          <w:shd w:val="clear" w:color="auto" w:fill="FFFFFF"/>
        </w:rPr>
        <w:t>是</w:t>
      </w:r>
      <w:bookmarkEnd w:id="0"/>
      <w:r>
        <w:rPr>
          <w:rFonts w:ascii="方正仿宋_GBK" w:eastAsia="方正仿宋_GBK"/>
          <w:sz w:val="32"/>
          <w:szCs w:val="32"/>
          <w:shd w:val="clear" w:color="auto" w:fill="FFFFFF"/>
        </w:rPr>
        <w:t>严控接待标准和规模。</w:t>
      </w:r>
    </w:p>
    <w:p>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17</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110.17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1.94</w:t>
      </w:r>
      <w:r>
        <w:rPr>
          <w:rFonts w:ascii="方正仿宋_GBK" w:hAnsi="方正仿宋_GBK" w:eastAsia="方正仿宋_GBK" w:cs="方正仿宋_GBK"/>
          <w:sz w:val="32"/>
          <w:szCs w:val="32"/>
          <w:shd w:val="clear" w:color="auto" w:fill="FFFFFF"/>
        </w:rPr>
        <w:t>万元。</w:t>
      </w:r>
    </w:p>
    <w:p>
      <w:pPr>
        <w:pStyle w:val="5"/>
        <w:shd w:val="clear" w:color="auto" w:fill="FFFFFF"/>
        <w:ind w:firstLine="643" w:firstLineChars="200"/>
        <w:rPr>
          <w:rStyle w:val="9"/>
          <w:rFonts w:hint="default" w:ascii="方正仿宋_GBK" w:hAnsi="方正仿宋_GBK" w:eastAsia="方正仿宋_GBK" w:cs="方正仿宋_GBK"/>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10"/>
        <w:autoSpaceDE w:val="0"/>
        <w:ind w:left="0" w:leftChars="0" w:firstLine="321" w:firstLineChars="10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（一）财政拨款会议费和培训费情况说明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万元，较上年决算数减少0.32万元，下降100.00%，主要原因是未组织</w:t>
      </w:r>
      <w:r>
        <w:rPr>
          <w:rFonts w:ascii="方正仿宋_GBK" w:eastAsia="方正仿宋_GBK"/>
          <w:sz w:val="32"/>
          <w:szCs w:val="32"/>
          <w:shd w:val="clear" w:color="auto" w:fill="FFFFFF"/>
        </w:rPr>
        <w:t>召开会议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2.55</w:t>
      </w:r>
      <w:r>
        <w:rPr>
          <w:rFonts w:ascii="方正仿宋_GBK" w:hAnsi="方正仿宋_GBK" w:eastAsia="方正仿宋_GBK" w:cs="方正仿宋_GBK"/>
          <w:sz w:val="32"/>
          <w:szCs w:val="32"/>
          <w:shd w:val="clear" w:color="auto" w:fill="FFFFFF"/>
        </w:rPr>
        <w:t>万元，较上年决算数增加2.55万元，增长100.00%，主要原因是</w:t>
      </w:r>
      <w:r>
        <w:rPr>
          <w:rFonts w:ascii="方正仿宋_GBK" w:eastAsia="方正仿宋_GBK"/>
          <w:sz w:val="32"/>
          <w:szCs w:val="32"/>
          <w:shd w:val="clear" w:color="auto" w:fill="FFFFFF"/>
        </w:rPr>
        <w:t>组织了森林防火消防培训。</w:t>
      </w:r>
    </w:p>
    <w:p>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pPr>
        <w:pStyle w:val="5"/>
        <w:spacing w:before="0" w:beforeAutospacing="0" w:after="0" w:afterAutospacing="0" w:line="594" w:lineRule="exact"/>
        <w:ind w:firstLine="640" w:firstLineChars="200"/>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80.08</w:t>
      </w:r>
      <w:r>
        <w:rPr>
          <w:rFonts w:ascii="方正仿宋_GBK" w:hAnsi="方正仿宋_GBK" w:eastAsia="方正仿宋_GBK" w:cs="方正仿宋_GBK"/>
          <w:sz w:val="32"/>
          <w:szCs w:val="32"/>
          <w:shd w:val="clear" w:color="auto" w:fill="FFFFFF"/>
        </w:rPr>
        <w:t>万元，机关运行经费主要用于开支</w:t>
      </w:r>
      <w:r>
        <w:rPr>
          <w:rFonts w:ascii="方正仿宋_GBK" w:hAnsi="Times New Roman" w:eastAsia="方正仿宋_GBK"/>
          <w:spacing w:val="3"/>
          <w:sz w:val="32"/>
          <w:szCs w:val="32"/>
        </w:rPr>
        <w:t>办公费、公务车运行维护费、森林</w:t>
      </w:r>
      <w:r>
        <w:rPr>
          <w:rFonts w:ascii="方正仿宋_GBK" w:hAnsi="Times New Roman" w:eastAsia="方正仿宋_GBK"/>
          <w:spacing w:val="-8"/>
          <w:sz w:val="32"/>
          <w:szCs w:val="32"/>
        </w:rPr>
        <w:t>防火宣传费、差旅费、水电费、会议费、培训费。</w:t>
      </w:r>
      <w:r>
        <w:rPr>
          <w:rFonts w:ascii="方正仿宋_GBK" w:hAnsi="方正仿宋_GBK" w:eastAsia="方正仿宋_GBK" w:cs="方正仿宋_GBK"/>
          <w:sz w:val="32"/>
          <w:szCs w:val="32"/>
          <w:shd w:val="clear" w:color="auto" w:fill="FFFFFF"/>
        </w:rPr>
        <w:t>机关运行经费较上年支出数增加14.11万元，增长21.39%，主要原因是</w:t>
      </w:r>
      <w:r>
        <w:rPr>
          <w:rFonts w:ascii="方正仿宋_GBK" w:eastAsia="方正仿宋_GBK"/>
          <w:sz w:val="32"/>
          <w:szCs w:val="32"/>
          <w:shd w:val="clear" w:color="auto" w:fill="FFFFFF"/>
        </w:rPr>
        <w:t>受连晴高温影响在森林防火宣传以及疫情防控等方面支出较往年有所增加。</w:t>
      </w:r>
    </w:p>
    <w:p>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pPr>
        <w:pStyle w:val="5"/>
        <w:spacing w:before="0" w:beforeAutospacing="0" w:after="0" w:afterAutospacing="0" w:line="594"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  2023年度本部门政府采购支出总额</w:t>
      </w:r>
      <w:r>
        <w:rPr>
          <w:rFonts w:ascii="方正仿宋_GBK" w:hAnsi="方正仿宋_GBK" w:eastAsia="方正仿宋_GBK" w:cs="方正仿宋_GBK"/>
          <w:sz w:val="32"/>
          <w:szCs w:val="32"/>
        </w:rPr>
        <w:t>1755.13</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119.13</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1636.00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119.13万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6.79</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119.13</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6.79</w:t>
      </w:r>
      <w:r>
        <w:rPr>
          <w:rFonts w:ascii="方正仿宋_GBK" w:hAnsi="方正仿宋_GBK" w:eastAsia="方正仿宋_GBK" w:cs="方正仿宋_GBK"/>
          <w:sz w:val="32"/>
          <w:szCs w:val="32"/>
          <w:shd w:val="clear" w:color="auto" w:fill="FFFFFF"/>
        </w:rPr>
        <w:t xml:space="preserve"> %。主要用于采购</w:t>
      </w:r>
      <w:r>
        <w:rPr>
          <w:rFonts w:ascii="方正仿宋_GBK" w:eastAsia="方正仿宋_GBK"/>
          <w:sz w:val="32"/>
          <w:szCs w:val="32"/>
        </w:rPr>
        <w:t>办公家具设备等货物，森林资源专项调查服务采购项目。</w:t>
      </w:r>
    </w:p>
    <w:p>
      <w:pPr>
        <w:pStyle w:val="5"/>
        <w:spacing w:before="0" w:beforeAutospacing="0" w:after="0" w:afterAutospacing="0" w:line="594" w:lineRule="exact"/>
        <w:ind w:firstLine="643" w:firstLineChars="200"/>
        <w:rPr>
          <w:rStyle w:val="9"/>
          <w:rFonts w:hint="default"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lang w:eastAsia="zh-CN"/>
        </w:rPr>
        <w:t>五、</w:t>
      </w:r>
      <w:r>
        <w:rPr>
          <w:rStyle w:val="9"/>
          <w:rFonts w:ascii="黑体" w:hAnsi="黑体" w:eastAsia="黑体" w:cs="黑体"/>
          <w:sz w:val="32"/>
          <w:szCs w:val="32"/>
          <w:shd w:val="clear" w:color="auto" w:fill="FFFFFF"/>
        </w:rPr>
        <w:t>预算绩效管理情况说明</w:t>
      </w:r>
    </w:p>
    <w:p>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根据预算绩效管理要求，我单位对21个二级项目开展了绩效自评，涉及财政拨款项目支出资金3185.45万元。</w:t>
      </w:r>
    </w:p>
    <w:p>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bidi="ar"/>
        </w:rPr>
        <w:t>主要项目绩效自评表：</w:t>
      </w:r>
    </w:p>
    <w:p>
      <w:pPr>
        <w:rPr>
          <w:rFonts w:hint="default" w:ascii="方正仿宋_GBK" w:hAnsi="方正仿宋_GBK" w:eastAsia="方正仿宋_GBK" w:cs="方正仿宋_GBK"/>
          <w:sz w:val="32"/>
          <w:szCs w:val="32"/>
          <w:shd w:val="clear" w:color="auto" w:fill="FFFFFF"/>
          <w:lang w:bidi="ar"/>
        </w:rPr>
        <w:sectPr>
          <w:pgSz w:w="16840" w:h="11915" w:orient="landscape"/>
          <w:pgMar w:top="1800" w:right="1440" w:bottom="1800" w:left="1440" w:header="851" w:footer="992" w:gutter="0"/>
          <w:pgNumType w:fmt="numberInDash"/>
          <w:cols w:space="720" w:num="1"/>
          <w:docGrid w:type="lines" w:linePitch="312" w:charSpace="0"/>
        </w:sectPr>
      </w:pPr>
      <w:r>
        <w:drawing>
          <wp:anchor distT="0" distB="0" distL="114935" distR="114935" simplePos="0" relativeHeight="251660288" behindDoc="1" locked="0" layoutInCell="1" allowOverlap="1">
            <wp:simplePos x="0" y="0"/>
            <wp:positionH relativeFrom="page">
              <wp:posOffset>1069340</wp:posOffset>
            </wp:positionH>
            <wp:positionV relativeFrom="page">
              <wp:posOffset>748665</wp:posOffset>
            </wp:positionV>
            <wp:extent cx="13229590" cy="7379970"/>
            <wp:effectExtent l="0" t="0" r="10160" b="1143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3229590" cy="7379970"/>
                    </a:xfrm>
                    <a:prstGeom prst="rect">
                      <a:avLst/>
                    </a:prstGeom>
                    <a:noFill/>
                    <a:ln>
                      <a:noFill/>
                    </a:ln>
                  </pic:spPr>
                </pic:pic>
              </a:graphicData>
            </a:graphic>
            <wp14:sizeRelH relativeFrom="page">
              <wp14:pctWidth>80000</wp14:pctWidth>
            </wp14:sizeRelH>
            <wp14:sizeRelV relativeFrom="page">
              <wp14:pctHeight>80000</wp14:pctHeight>
            </wp14:sizeRelV>
          </wp:anchor>
        </w:drawing>
      </w:r>
    </w:p>
    <w:p>
      <w:pPr>
        <w:pStyle w:val="11"/>
        <w:autoSpaceDE w:val="0"/>
        <w:spacing w:before="0" w:beforeAutospacing="0" w:line="600" w:lineRule="exact"/>
        <w:rPr>
          <w:rFonts w:ascii="方正仿宋_GBK" w:hAnsi="方正仿宋_GBK" w:eastAsia="方正仿宋_GBK" w:cs="方正仿宋_GBK"/>
          <w:sz w:val="32"/>
          <w:szCs w:val="32"/>
          <w:shd w:val="clear" w:color="auto" w:fill="FFFFFF"/>
          <w:lang w:bidi="ar"/>
        </w:rPr>
        <w:sectPr>
          <w:pgSz w:w="16840" w:h="11915" w:orient="landscape"/>
          <w:pgMar w:top="1800" w:right="1440" w:bottom="1800" w:left="1440" w:header="851" w:footer="992" w:gutter="0"/>
          <w:pgNumType w:fmt="numberInDash"/>
          <w:cols w:space="720" w:num="1"/>
          <w:docGrid w:type="lines" w:linePitch="312" w:charSpace="0"/>
        </w:sectPr>
      </w:pPr>
      <w:r>
        <w:drawing>
          <wp:anchor distT="0" distB="0" distL="114935" distR="114935" simplePos="0" relativeHeight="251661312" behindDoc="1" locked="0" layoutInCell="1" allowOverlap="1">
            <wp:simplePos x="0" y="0"/>
            <wp:positionH relativeFrom="page">
              <wp:align>center</wp:align>
            </wp:positionH>
            <wp:positionV relativeFrom="page">
              <wp:align>center</wp:align>
            </wp:positionV>
            <wp:extent cx="9777095" cy="6384290"/>
            <wp:effectExtent l="0" t="0" r="14605" b="1651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9777095" cy="6384290"/>
                    </a:xfrm>
                    <a:prstGeom prst="rect">
                      <a:avLst/>
                    </a:prstGeom>
                    <a:noFill/>
                    <a:ln>
                      <a:noFill/>
                    </a:ln>
                  </pic:spPr>
                </pic:pic>
              </a:graphicData>
            </a:graphic>
            <wp14:sizeRelH relativeFrom="page">
              <wp14:pctWidth>80000</wp14:pctWidth>
            </wp14:sizeRelH>
            <wp14:sizeRelV relativeFrom="page">
              <wp14:pctHeight>80000</wp14:pctHeight>
            </wp14:sizeRelV>
          </wp:anchor>
        </w:drawing>
      </w:r>
    </w:p>
    <w:p>
      <w:pPr>
        <w:pStyle w:val="11"/>
        <w:autoSpaceDE w:val="0"/>
        <w:spacing w:before="0" w:beforeAutospacing="0" w:line="600" w:lineRule="exact"/>
        <w:ind w:firstLine="480" w:firstLineChars="200"/>
        <w:rPr>
          <w:rFonts w:ascii="方正仿宋_GBK" w:hAnsi="方正仿宋_GBK" w:eastAsia="方正仿宋_GBK" w:cs="方正仿宋_GBK"/>
          <w:sz w:val="32"/>
          <w:szCs w:val="32"/>
          <w:shd w:val="clear" w:color="auto" w:fill="FFFFFF"/>
          <w:lang w:bidi="ar"/>
        </w:rPr>
        <w:sectPr>
          <w:pgSz w:w="16840" w:h="11915" w:orient="landscape"/>
          <w:pgMar w:top="1800" w:right="1440" w:bottom="1800" w:left="1440" w:header="851" w:footer="992" w:gutter="0"/>
          <w:pgNumType w:fmt="numberInDash"/>
          <w:cols w:space="720" w:num="1"/>
          <w:docGrid w:type="lines" w:linePitch="312" w:charSpace="0"/>
        </w:sectPr>
      </w:pPr>
      <w:r>
        <w:drawing>
          <wp:anchor distT="0" distB="0" distL="114935" distR="114935" simplePos="0" relativeHeight="251659264" behindDoc="1" locked="0" layoutInCell="1" allowOverlap="1">
            <wp:simplePos x="0" y="0"/>
            <wp:positionH relativeFrom="page">
              <wp:align>center</wp:align>
            </wp:positionH>
            <wp:positionV relativeFrom="page">
              <wp:align>center</wp:align>
            </wp:positionV>
            <wp:extent cx="9636760" cy="5830570"/>
            <wp:effectExtent l="0" t="0" r="2540" b="177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9636760" cy="5830570"/>
                    </a:xfrm>
                    <a:prstGeom prst="rect">
                      <a:avLst/>
                    </a:prstGeom>
                    <a:noFill/>
                    <a:ln>
                      <a:noFill/>
                    </a:ln>
                  </pic:spPr>
                </pic:pic>
              </a:graphicData>
            </a:graphic>
            <wp14:sizeRelH relativeFrom="page">
              <wp14:pctWidth>80000</wp14:pctWidth>
            </wp14:sizeRelH>
            <wp14:sizeRelV relativeFrom="page">
              <wp14:pctHeight>80000</wp14:pctHeight>
            </wp14:sizeRelV>
          </wp:anchor>
        </w:drawing>
      </w:r>
    </w:p>
    <w:p>
      <w:pPr>
        <w:pStyle w:val="11"/>
        <w:autoSpaceDE w:val="0"/>
        <w:spacing w:before="0" w:beforeAutospacing="0" w:line="600" w:lineRule="exact"/>
        <w:rPr>
          <w:rFonts w:ascii="方正仿宋_GBK" w:hAnsi="方正仿宋_GBK" w:eastAsia="方正仿宋_GBK" w:cs="方正仿宋_GBK"/>
          <w:sz w:val="32"/>
          <w:szCs w:val="32"/>
          <w:shd w:val="clear" w:color="auto" w:fill="FFFFFF"/>
          <w:lang w:bidi="ar"/>
        </w:rPr>
      </w:pPr>
    </w:p>
    <w:p>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pPr>
        <w:pStyle w:val="10"/>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0"/>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pPr>
        <w:pStyle w:val="5"/>
        <w:shd w:val="clear" w:color="auto" w:fill="FFFFFF"/>
        <w:rPr>
          <w:rStyle w:val="9"/>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 xml:space="preserve">  </w:t>
      </w:r>
      <w:r>
        <w:rPr>
          <w:rStyle w:val="9"/>
          <w:rFonts w:hint="eastAsia" w:ascii="方正仿宋_GBK" w:hAnsi="方正仿宋_GBK" w:eastAsia="方正仿宋_GBK" w:cs="方正仿宋_GBK"/>
          <w:sz w:val="32"/>
          <w:szCs w:val="32"/>
          <w:shd w:val="clear" w:color="auto" w:fill="FFFFFF"/>
          <w:lang w:val="en-US" w:eastAsia="zh-CN"/>
        </w:rPr>
        <w:t xml:space="preserve">  </w:t>
      </w:r>
      <w:r>
        <w:rPr>
          <w:rStyle w:val="9"/>
          <w:rFonts w:ascii="黑体" w:hAnsi="黑体" w:eastAsia="黑体" w:cs="黑体"/>
          <w:sz w:val="32"/>
          <w:szCs w:val="32"/>
          <w:shd w:val="clear" w:color="auto" w:fill="FFFFFF"/>
        </w:rPr>
        <w:t>六、专业名词解释</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rPr>
          <w:rStyle w:val="9"/>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 xml:space="preserve">  </w:t>
      </w:r>
      <w:r>
        <w:rPr>
          <w:rStyle w:val="9"/>
          <w:rFonts w:hint="eastAsia" w:ascii="方正仿宋_GBK" w:hAnsi="方正仿宋_GBK" w:eastAsia="方正仿宋_GBK" w:cs="方正仿宋_GBK"/>
          <w:sz w:val="32"/>
          <w:szCs w:val="32"/>
          <w:shd w:val="clear" w:color="auto" w:fill="FFFFFF"/>
          <w:lang w:val="en-US" w:eastAsia="zh-CN"/>
        </w:rPr>
        <w:t xml:space="preserve"> </w:t>
      </w:r>
      <w:r>
        <w:rPr>
          <w:rStyle w:val="9"/>
          <w:rFonts w:ascii="黑体" w:hAnsi="黑体" w:eastAsia="黑体" w:cs="黑体"/>
          <w:sz w:val="32"/>
          <w:szCs w:val="32"/>
          <w:shd w:val="clear" w:color="auto" w:fill="FFFFFF"/>
        </w:rPr>
        <w:t>七、决算公开联系方式及信息反馈渠道</w:t>
      </w:r>
    </w:p>
    <w:p>
      <w:pPr>
        <w:pStyle w:val="10"/>
        <w:autoSpaceDE w:val="0"/>
        <w:ind w:firstLine="0" w:firstLineChars="0"/>
        <w:rPr>
          <w:rStyle w:val="9"/>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本单位决算公开联系人：徐老师 联系电话：023-74512546</w:t>
      </w:r>
    </w:p>
    <w:p>
      <w:pPr>
        <w:pStyle w:val="10"/>
        <w:autoSpaceDE w:val="0"/>
        <w:ind w:firstLine="0" w:firstLineChars="0"/>
        <w:rPr>
          <w:rStyle w:val="9"/>
          <w:rFonts w:ascii="方正仿宋_GBK" w:hAnsi="方正仿宋_GBK" w:eastAsia="方正仿宋_GBK" w:cs="方正仿宋_GBK"/>
          <w:sz w:val="32"/>
          <w:szCs w:val="32"/>
          <w:shd w:val="clear" w:color="auto" w:fill="FFFF00"/>
        </w:rPr>
        <w:sectPr>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6"/>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公开单位：垫江县林业局（本级）</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3,733.87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179.97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13.33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777.32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2,746.66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15.41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3,733.87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3,733.87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3,733.87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3,733.87 </w:t>
            </w:r>
          </w:p>
        </w:tc>
      </w:tr>
    </w:tbl>
    <w:p>
      <w:pPr>
        <w:rPr>
          <w:rFonts w:hint="default" w:cs="宋体"/>
          <w:sz w:val="21"/>
          <w:szCs w:val="21"/>
          <w:lang w:bidi="ar"/>
        </w:rPr>
      </w:pPr>
      <w:r>
        <w:rPr>
          <w:rFonts w:cs="宋体"/>
          <w:sz w:val="21"/>
          <w:szCs w:val="21"/>
          <w:lang w:bidi="ar"/>
        </w:rPr>
        <w:t>备注：1.本表反映单位本年度的总收支和年末结转结余情况。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6"/>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公开单位：垫江县林业局（本级）</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3,733.87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3,733.87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179.97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179.97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0.44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0.44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0.44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0.44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129.94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129.94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15.56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15.56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83.13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83.13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49.59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49.59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47.63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47.63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在乡复员、退伍军人生活补助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777.32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777.32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自然生态保护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227.10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227.10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其他自然生态保护支出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227.10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227.10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天然林保护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255.50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255.50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其他天然林保护支出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255.50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255.50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退耕还林还草</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294.72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294.72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其他退耕还林还草支出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294.72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294.72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2,746.66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2,746.66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2,746.66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2,746.66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340.92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340.92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1,464.18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1,464.18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技术推广与转化</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森林资源管理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46.47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46.47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动植物保护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2130234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林业草原防灾减灾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87.15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87.15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其他林业和草原支出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691.28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691.28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备注：1.本表反映单位本年度取得的各项收入情况。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6"/>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 xml:space="preserve">垫江县林业局（本级）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3,733.87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548.41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3,185.45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179.97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177.58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129.94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129.94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83.13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83.13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49.59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47.63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47.63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47.63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在乡复员、退伍军人生活补助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777.32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777.32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自然生态保护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227.10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227.10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其他自然生态保护支出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227.10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227.10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天然林保护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其他天然林保护支出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退耕还林还草</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294.72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294.72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其他退耕还林还草支出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294.72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294.72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2,746.66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340.92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2,405.74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2,746.66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340.92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2,405.74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340.92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340.92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1,464.18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1,464.18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技术推广与转化</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森林资源管理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46.47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46.47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动植物保护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2130234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林业草原防灾减灾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87.15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87.15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其他林业和草原支出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691.28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691.28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6"/>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垫江县林业局（本级）</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3,733.87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179.97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179.97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13.33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13.33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777.32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777.32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2,746.66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2,746.66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15.41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15.41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3,733.87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3,733.87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3,733.87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3,733.87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3,733.87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3,733.87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6"/>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垫江县林业局（本级）</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3,733.87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548.41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3,185.45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179.97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177.58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0.44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0.44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0.44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0.44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129.94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129.94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31.25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31.25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15.56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15.56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83.13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83.13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49.59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47.63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47.63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47.63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在乡复员、退伍军人生活补助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1.95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1.95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13.33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13.33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13.33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13.33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13.33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13.33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777.32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777.32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自然生态保护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227.10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227.10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其他自然生态保护支出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227.10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227.10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天然林保护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255.50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255.50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其他天然林保护支出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255.50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255.50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退耕还林还草</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294.72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294.72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其他退耕还林还草支出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294.72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294.72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2,746.66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340.92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2,405.74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2,746.66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340.92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2,405.74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340.92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340.92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森林资源培育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1,464.18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1,464.18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技术推广与转化</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11.66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11.66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森林资源管理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46.47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46.47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动植物保护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2130234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林业草原防灾减灾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87.15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87.15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其他林业和草原支出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691.28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691.28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15.41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15.41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15.41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15.41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15.41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15.41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p>
    <w:tbl>
      <w:tblPr>
        <w:tblStyle w:val="6"/>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垫江县林业局（本级）</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336.19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80.08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78.13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11.05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51.67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123.43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0.80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31.25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10.19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15.56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6.63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13.33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4.19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15.41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4.12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0.41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2.88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132.14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0.77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47.63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73.97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5.14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12.70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5.53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11.90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10.76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468.33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80.08 </w:t>
            </w:r>
          </w:p>
        </w:tc>
      </w:tr>
    </w:tbl>
    <w:p>
      <w:pPr>
        <w:rPr>
          <w:rFonts w:hint="default" w:cs="宋体"/>
          <w:sz w:val="21"/>
          <w:szCs w:val="21"/>
        </w:rPr>
      </w:pPr>
      <w:r>
        <w:rPr>
          <w:rFonts w:cs="宋体"/>
          <w:sz w:val="21"/>
          <w:szCs w:val="21"/>
          <w:lang w:bidi="ar"/>
        </w:rPr>
        <w:t>备注：1.本表反映单位本年度一般公共预算财政拨款基本支出明细情况。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6"/>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垫江县林业局（本级）</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rPr>
      </w:pPr>
      <w:r>
        <w:rPr>
          <w:rFonts w:cs="宋体"/>
          <w:sz w:val="21"/>
          <w:szCs w:val="21"/>
          <w:lang w:bidi="ar"/>
        </w:rPr>
        <w:t>备注：本表反映单位本年度政府性基金预算财政拨款收入支出及结转和结余情况。本单位无政府性基金收支，故本表无数据。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6"/>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垫江县林业局（本级）</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lang w:bidi="ar"/>
        </w:rPr>
      </w:pPr>
      <w:r>
        <w:rPr>
          <w:rFonts w:cs="宋体"/>
          <w:sz w:val="21"/>
          <w:szCs w:val="21"/>
          <w:lang w:bidi="ar"/>
        </w:rPr>
        <w:t>备注：本表反映单位本年度国有资本经营预算财政拨款支出情况。本单位无国有资本经营收支，故本表无数据。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6"/>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垫江县林业局（本级）</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80.08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6.99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6.99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80.08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5.83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5.83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5.83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5.83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1.16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1.16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1.16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17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1,755.13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119.13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105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1,636.00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119.13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119.13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2.55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0"/>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rPr>
                          </w:pPr>
                          <w:r>
                            <w:fldChar w:fldCharType="begin"/>
                          </w:r>
                          <w:r>
                            <w:instrText xml:space="preserve"> PAGE  \* MERGEFORMAT </w:instrText>
                          </w:r>
                          <w:r>
                            <w:fldChar w:fldCharType="separate"/>
                          </w:r>
                          <w:r>
                            <w:rPr>
                              <w:rFonts w:hint="default"/>
                            </w:rP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YmI0YjkwMWY4NzQ4YThlMzFlY2IxMjg1ZmQyMmQifQ=="/>
  </w:docVars>
  <w:rsids>
    <w:rsidRoot w:val="00B03CCD"/>
    <w:rsid w:val="00055540"/>
    <w:rsid w:val="002B655F"/>
    <w:rsid w:val="00550ABE"/>
    <w:rsid w:val="007B419D"/>
    <w:rsid w:val="00845C28"/>
    <w:rsid w:val="00977087"/>
    <w:rsid w:val="009B67B8"/>
    <w:rsid w:val="00B03CCD"/>
    <w:rsid w:val="00C719E1"/>
    <w:rsid w:val="00DC35DD"/>
    <w:rsid w:val="00F51033"/>
    <w:rsid w:val="00F51D47"/>
    <w:rsid w:val="00F73F90"/>
    <w:rsid w:val="00F87A27"/>
    <w:rsid w:val="01474EBF"/>
    <w:rsid w:val="01F3521E"/>
    <w:rsid w:val="03B87EA0"/>
    <w:rsid w:val="03E3214F"/>
    <w:rsid w:val="042935D3"/>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15328D"/>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210ABF"/>
    <w:rsid w:val="2533755C"/>
    <w:rsid w:val="25791755"/>
    <w:rsid w:val="26396DF4"/>
    <w:rsid w:val="27167136"/>
    <w:rsid w:val="27B23302"/>
    <w:rsid w:val="29310A5F"/>
    <w:rsid w:val="29C37A35"/>
    <w:rsid w:val="2A076083"/>
    <w:rsid w:val="2A73162E"/>
    <w:rsid w:val="2B167953"/>
    <w:rsid w:val="2B200583"/>
    <w:rsid w:val="2B8209DE"/>
    <w:rsid w:val="2C636760"/>
    <w:rsid w:val="2C6762A3"/>
    <w:rsid w:val="2CB82C95"/>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B97053"/>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4FD16181"/>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80384D"/>
    <w:rsid w:val="5CF66BF3"/>
    <w:rsid w:val="5D290C69"/>
    <w:rsid w:val="5F2D4A41"/>
    <w:rsid w:val="60C74F6C"/>
    <w:rsid w:val="61025A59"/>
    <w:rsid w:val="613D5BBC"/>
    <w:rsid w:val="61536C39"/>
    <w:rsid w:val="62944DD7"/>
    <w:rsid w:val="6319381F"/>
    <w:rsid w:val="63C25DC5"/>
    <w:rsid w:val="63C62057"/>
    <w:rsid w:val="63DD1416"/>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17C0B"/>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2563</Words>
  <Characters>14614</Characters>
  <Lines>121</Lines>
  <Paragraphs>34</Paragraphs>
  <TotalTime>22</TotalTime>
  <ScaleCrop>false</ScaleCrop>
  <LinksUpToDate>false</LinksUpToDate>
  <CharactersWithSpaces>17143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2025-12-18T06:59:06Z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BB46EABDBB2749749395447164B066B3_12</vt:lpwstr>
  </property>
</Properties>
</file>