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垫江县湿地保护管理中心</w:t>
      </w:r>
      <w:r>
        <w:rPr>
          <w:rFonts w:ascii="方正小标宋_GBK" w:hAnsi="方正小标宋_GBK" w:eastAsia="方正小标宋_GBK" w:cs="方正小标宋_GBK"/>
          <w:sz w:val="44"/>
          <w:szCs w:val="44"/>
          <w:shd w:val="clear" w:color="auto" w:fill="FFFFFF"/>
        </w:rPr>
        <w:t>2024年</w:t>
      </w:r>
    </w:p>
    <w:p>
      <w:pPr>
        <w:pStyle w:val="7"/>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度决算公开说明</w:t>
      </w:r>
    </w:p>
    <w:p>
      <w:pPr>
        <w:pStyle w:val="7"/>
        <w:shd w:val="clear" w:color="auto" w:fill="FFFFFF"/>
        <w:ind w:firstLine="643" w:firstLineChars="200"/>
        <w:rPr>
          <w:rFonts w:hint="default" w:ascii="黑体" w:hAnsi="黑体" w:eastAsia="黑体" w:cs="黑体"/>
          <w:sz w:val="32"/>
          <w:szCs w:val="32"/>
        </w:rPr>
      </w:pPr>
      <w:r>
        <w:rPr>
          <w:rStyle w:val="9"/>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45" w:line="306" w:lineRule="auto"/>
        <w:ind w:left="19" w:right="244" w:firstLine="638"/>
        <w:rPr>
          <w:rFonts w:hint="default"/>
          <w:spacing w:val="2"/>
          <w:sz w:val="32"/>
          <w:szCs w:val="32"/>
          <w:lang w:eastAsia="zh-CN"/>
        </w:rPr>
      </w:pPr>
      <w:r>
        <w:rPr>
          <w:rStyle w:val="9"/>
          <w:sz w:val="32"/>
          <w:szCs w:val="32"/>
          <w:shd w:val="clear" w:color="auto" w:fill="FFFFFF"/>
          <w:lang w:eastAsia="zh-CN"/>
        </w:rPr>
        <w:t>1、</w:t>
      </w:r>
      <w:r>
        <w:rPr>
          <w:sz w:val="32"/>
          <w:szCs w:val="32"/>
          <w:lang w:eastAsia="zh-CN"/>
        </w:rPr>
        <w:t>贯彻执行有关湿地保护的法律、法规、规章和方针、</w:t>
      </w:r>
      <w:r>
        <w:rPr>
          <w:spacing w:val="15"/>
          <w:sz w:val="32"/>
          <w:szCs w:val="32"/>
          <w:lang w:eastAsia="zh-CN"/>
        </w:rPr>
        <w:t xml:space="preserve"> </w:t>
      </w:r>
      <w:r>
        <w:rPr>
          <w:spacing w:val="2"/>
          <w:sz w:val="32"/>
          <w:szCs w:val="32"/>
          <w:lang w:eastAsia="zh-CN"/>
        </w:rPr>
        <w:t>政策，进行湿地资源保护的宣传教育。</w:t>
      </w:r>
    </w:p>
    <w:p>
      <w:pPr>
        <w:pStyle w:val="2"/>
        <w:spacing w:before="30" w:line="237" w:lineRule="auto"/>
        <w:ind w:left="660"/>
        <w:rPr>
          <w:rFonts w:hint="default"/>
          <w:sz w:val="32"/>
          <w:szCs w:val="32"/>
          <w:lang w:eastAsia="zh-CN"/>
        </w:rPr>
      </w:pPr>
      <w:r>
        <w:rPr>
          <w:spacing w:val="2"/>
          <w:sz w:val="32"/>
          <w:szCs w:val="32"/>
          <w:lang w:eastAsia="zh-CN"/>
        </w:rPr>
        <w:t>2、研究拟定湿地保护的有关技术标准和规范。</w:t>
      </w:r>
    </w:p>
    <w:p>
      <w:pPr>
        <w:pStyle w:val="2"/>
        <w:spacing w:before="146" w:line="307" w:lineRule="auto"/>
        <w:ind w:left="45" w:right="228" w:firstLine="612"/>
        <w:rPr>
          <w:rFonts w:hint="default"/>
          <w:sz w:val="32"/>
          <w:szCs w:val="32"/>
          <w:lang w:eastAsia="zh-CN"/>
        </w:rPr>
      </w:pPr>
      <w:r>
        <w:rPr>
          <w:spacing w:val="3"/>
          <w:sz w:val="32"/>
          <w:szCs w:val="32"/>
          <w:lang w:eastAsia="zh-CN"/>
        </w:rPr>
        <w:t>3.统一管理、监督和综合协调湿地保护区的规划、建设</w:t>
      </w:r>
      <w:r>
        <w:rPr>
          <w:sz w:val="32"/>
          <w:szCs w:val="32"/>
          <w:lang w:eastAsia="zh-CN"/>
        </w:rPr>
        <w:t xml:space="preserve"> 和保护工作。</w:t>
      </w:r>
    </w:p>
    <w:p>
      <w:pPr>
        <w:pStyle w:val="2"/>
        <w:spacing w:before="29" w:line="307" w:lineRule="auto"/>
        <w:ind w:left="659" w:right="1217"/>
        <w:rPr>
          <w:sz w:val="32"/>
          <w:szCs w:val="32"/>
          <w:lang w:eastAsia="zh-CN"/>
        </w:rPr>
      </w:pPr>
      <w:r>
        <w:rPr>
          <w:spacing w:val="4"/>
          <w:sz w:val="32"/>
          <w:szCs w:val="32"/>
          <w:lang w:eastAsia="zh-CN"/>
        </w:rPr>
        <w:t>4.负责在履行国际湿地公约方面的履约工作。</w:t>
      </w:r>
      <w:r>
        <w:rPr>
          <w:sz w:val="32"/>
          <w:szCs w:val="32"/>
          <w:lang w:eastAsia="zh-CN"/>
        </w:rPr>
        <w:t xml:space="preserve">  </w:t>
      </w:r>
      <w:r>
        <w:rPr>
          <w:spacing w:val="1"/>
          <w:sz w:val="32"/>
          <w:szCs w:val="32"/>
          <w:lang w:eastAsia="zh-CN"/>
        </w:rPr>
        <w:t>5.组织协调湿地保护的对外合作与交流等</w:t>
      </w:r>
      <w:r>
        <w:rPr>
          <w:sz w:val="32"/>
          <w:szCs w:val="32"/>
          <w:lang w:eastAsia="zh-CN"/>
        </w:rPr>
        <w:t xml:space="preserve">作。 </w:t>
      </w:r>
    </w:p>
    <w:p>
      <w:pPr>
        <w:pStyle w:val="2"/>
        <w:spacing w:before="29" w:line="307" w:lineRule="auto"/>
        <w:ind w:left="659" w:right="1217"/>
        <w:rPr>
          <w:rFonts w:hint="default"/>
          <w:sz w:val="32"/>
          <w:szCs w:val="32"/>
          <w:lang w:eastAsia="zh-CN"/>
        </w:rPr>
      </w:pPr>
      <w:r>
        <w:rPr>
          <w:spacing w:val="2"/>
          <w:sz w:val="32"/>
          <w:szCs w:val="32"/>
          <w:lang w:eastAsia="zh-CN"/>
        </w:rPr>
        <w:t>6.开展湿地资源调查、动态监测和统计。</w:t>
      </w:r>
    </w:p>
    <w:p>
      <w:pPr>
        <w:pStyle w:val="2"/>
        <w:spacing w:before="145" w:line="306" w:lineRule="auto"/>
        <w:ind w:left="19" w:right="244" w:firstLine="638"/>
        <w:rPr>
          <w:rFonts w:hint="default"/>
          <w:spacing w:val="2"/>
          <w:sz w:val="32"/>
          <w:szCs w:val="32"/>
          <w:lang w:eastAsia="zh-CN"/>
        </w:rPr>
      </w:pPr>
      <w:r>
        <w:rPr>
          <w:spacing w:val="2"/>
          <w:sz w:val="32"/>
          <w:szCs w:val="32"/>
          <w:lang w:eastAsia="zh-CN"/>
        </w:rPr>
        <w:t>7.监督在湿地内开展的参观、旅游等活动，组织或者协</w:t>
      </w:r>
      <w:r>
        <w:rPr>
          <w:spacing w:val="16"/>
          <w:sz w:val="32"/>
          <w:szCs w:val="32"/>
          <w:lang w:eastAsia="zh-CN"/>
        </w:rPr>
        <w:t xml:space="preserve"> </w:t>
      </w:r>
      <w:r>
        <w:rPr>
          <w:spacing w:val="3"/>
          <w:sz w:val="32"/>
          <w:szCs w:val="32"/>
          <w:lang w:eastAsia="zh-CN"/>
        </w:rPr>
        <w:t>调有关部门开展湿地保护区的科学研究工作。</w:t>
      </w:r>
    </w:p>
    <w:p>
      <w:pPr>
        <w:pStyle w:val="7"/>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2"/>
        <w:spacing w:before="150" w:line="236" w:lineRule="auto"/>
        <w:ind w:left="657"/>
        <w:rPr>
          <w:rFonts w:hint="default"/>
          <w:sz w:val="32"/>
          <w:szCs w:val="32"/>
          <w:lang w:eastAsia="zh-CN"/>
        </w:rPr>
      </w:pPr>
      <w:r>
        <w:rPr>
          <w:sz w:val="32"/>
          <w:szCs w:val="32"/>
          <w:lang w:eastAsia="zh-CN"/>
        </w:rPr>
        <w:t>1.机构规格：相当于行政股级。</w:t>
      </w:r>
    </w:p>
    <w:p>
      <w:pPr>
        <w:pStyle w:val="2"/>
        <w:spacing w:before="146" w:line="237" w:lineRule="auto"/>
        <w:ind w:left="633"/>
        <w:rPr>
          <w:rFonts w:hint="default"/>
          <w:sz w:val="32"/>
          <w:szCs w:val="32"/>
          <w:lang w:eastAsia="zh-CN"/>
        </w:rPr>
      </w:pPr>
      <w:r>
        <w:rPr>
          <w:spacing w:val="2"/>
          <w:sz w:val="32"/>
          <w:szCs w:val="32"/>
          <w:lang w:eastAsia="zh-CN"/>
        </w:rPr>
        <w:t>2.经费形式：财政全额拨款二级预算单位。</w:t>
      </w:r>
    </w:p>
    <w:p>
      <w:pPr>
        <w:pStyle w:val="2"/>
        <w:spacing w:before="148" w:line="305" w:lineRule="auto"/>
        <w:ind w:left="23" w:right="354" w:firstLine="608"/>
        <w:rPr>
          <w:rFonts w:hint="default"/>
          <w:sz w:val="32"/>
          <w:szCs w:val="32"/>
          <w:lang w:eastAsia="zh-CN"/>
        </w:rPr>
      </w:pPr>
      <w:r>
        <w:rPr>
          <w:spacing w:val="4"/>
          <w:sz w:val="32"/>
          <w:szCs w:val="32"/>
          <w:lang w:eastAsia="zh-CN"/>
        </w:rPr>
        <w:t>3.人员编制：核定事业编制6名，现有在职在编职工</w:t>
      </w:r>
      <w:r>
        <w:rPr>
          <w:spacing w:val="-43"/>
          <w:sz w:val="32"/>
          <w:szCs w:val="32"/>
          <w:lang w:eastAsia="zh-CN"/>
        </w:rPr>
        <w:t xml:space="preserve"> </w:t>
      </w:r>
      <w:r>
        <w:rPr>
          <w:spacing w:val="4"/>
          <w:sz w:val="32"/>
          <w:szCs w:val="32"/>
          <w:lang w:eastAsia="zh-CN"/>
        </w:rPr>
        <w:t>5</w:t>
      </w:r>
      <w:r>
        <w:rPr>
          <w:sz w:val="32"/>
          <w:szCs w:val="32"/>
          <w:lang w:eastAsia="zh-CN"/>
        </w:rPr>
        <w:t xml:space="preserve"> </w:t>
      </w:r>
      <w:r>
        <w:rPr>
          <w:spacing w:val="1"/>
          <w:sz w:val="32"/>
          <w:szCs w:val="32"/>
          <w:lang w:eastAsia="zh-CN"/>
        </w:rPr>
        <w:t>名，无退休职工。</w:t>
      </w:r>
    </w:p>
    <w:p>
      <w:pPr>
        <w:pStyle w:val="7"/>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2024年度收入总计129.56万元，支出总计</w:t>
      </w:r>
      <w:r>
        <w:rPr>
          <w:rFonts w:ascii="方正仿宋_GBK" w:hAnsi="方正仿宋_GBK" w:eastAsia="方正仿宋_GBK" w:cs="方正仿宋_GBK"/>
          <w:sz w:val="32"/>
          <w:szCs w:val="32"/>
        </w:rPr>
        <w:t>129.56</w:t>
      </w:r>
      <w:r>
        <w:rPr>
          <w:rFonts w:ascii="方正仿宋_GBK" w:hAnsi="方正仿宋_GBK" w:eastAsia="方正仿宋_GBK" w:cs="方正仿宋_GBK"/>
          <w:sz w:val="32"/>
          <w:szCs w:val="32"/>
          <w:shd w:val="clear" w:color="auto" w:fill="FFFFFF"/>
        </w:rPr>
        <w:t>万元。收、支与2023年度相比，减少112.89万元，下降46.56%，主要原因是项目资金增减少。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2024年度收入合计129.56万元，与2023年度相比，减少112.89万元，下降46.56%，主要原因是项目资金增减少。其中：财政拨款收入</w:t>
      </w:r>
      <w:r>
        <w:rPr>
          <w:rFonts w:ascii="方正仿宋_GBK" w:hAnsi="方正仿宋_GBK" w:eastAsia="方正仿宋_GBK" w:cs="方正仿宋_GBK"/>
          <w:sz w:val="32"/>
          <w:szCs w:val="32"/>
        </w:rPr>
        <w:t>129.56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129.56</w:t>
      </w:r>
      <w:r>
        <w:rPr>
          <w:rFonts w:ascii="方正仿宋_GBK" w:hAnsi="方正仿宋_GBK" w:eastAsia="方正仿宋_GBK" w:cs="方正仿宋_GBK"/>
          <w:sz w:val="32"/>
          <w:szCs w:val="32"/>
          <w:shd w:val="clear" w:color="auto" w:fill="FFFFFF"/>
        </w:rPr>
        <w:t>万元，与2023年度相比，减少112.89万元，下降46.56%，主要原因是项目资金增减少。其中：基本支出</w:t>
      </w:r>
      <w:r>
        <w:rPr>
          <w:rFonts w:ascii="方正仿宋_GBK" w:hAnsi="方正仿宋_GBK" w:eastAsia="方正仿宋_GBK" w:cs="方正仿宋_GBK"/>
          <w:sz w:val="32"/>
          <w:szCs w:val="32"/>
        </w:rPr>
        <w:t>119.56</w:t>
      </w:r>
      <w:r>
        <w:rPr>
          <w:rFonts w:ascii="方正仿宋_GBK" w:hAnsi="方正仿宋_GBK" w:eastAsia="方正仿宋_GBK" w:cs="方正仿宋_GBK"/>
          <w:sz w:val="32"/>
          <w:szCs w:val="32"/>
          <w:shd w:val="clear" w:color="auto" w:fill="FFFFFF"/>
        </w:rPr>
        <w:t>万元，占92.28%；项目支出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万元，占7.72%；经营支出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2024年度财政拨款收、支总计129.56万元。与2023年相比，财政拨款收、支总计各减少112.89万元，下降46.56%。主要原因是项目资金增减少。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129.56</w:t>
      </w:r>
      <w:r>
        <w:rPr>
          <w:rFonts w:ascii="方正仿宋_GBK" w:hAnsi="方正仿宋_GBK" w:eastAsia="方正仿宋_GBK" w:cs="方正仿宋_GBK"/>
          <w:sz w:val="32"/>
          <w:szCs w:val="32"/>
          <w:shd w:val="clear" w:color="auto" w:fill="FFFFFF"/>
        </w:rPr>
        <w:t>万元，与2023年度相比，减少112.89万元，下降46.56%。主要原因是项目资金增减少。较年初预算数增加16.01万元，增长14.10%。主要原因是项目资金增减少。此外，年初财政拨款结转和结余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129.56</w:t>
      </w:r>
      <w:r>
        <w:rPr>
          <w:rFonts w:ascii="方正仿宋_GBK" w:hAnsi="方正仿宋_GBK" w:eastAsia="方正仿宋_GBK" w:cs="方正仿宋_GBK"/>
          <w:sz w:val="32"/>
          <w:szCs w:val="32"/>
          <w:shd w:val="clear" w:color="auto" w:fill="FFFFFF"/>
        </w:rPr>
        <w:t>万元，与2023年度相比，减少112.89万元，下降46.56%。主要原因是项目资金增减少。较年初预算数增加16.01万元，增长14.10%。主要原因是人员增加。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w:t>
      </w:r>
      <w:r>
        <w:rPr>
          <w:rFonts w:ascii="Times New Roman" w:hAnsi="Times New Roman" w:eastAsia="方正仿宋_GBK"/>
          <w:sz w:val="32"/>
          <w:szCs w:val="32"/>
          <w:shd w:val="clear" w:color="auto" w:fill="FFFFFF"/>
        </w:rPr>
        <w:t>本年度与上年度均无结转结余。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%，较年初预算数减少0.02万元，下降6.25%，主要原因是严格按照中央八项规定精神，减少支出。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15.45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11.92</w:t>
      </w:r>
      <w:r>
        <w:rPr>
          <w:rFonts w:ascii="方正仿宋_GBK" w:hAnsi="方正仿宋_GBK" w:eastAsia="方正仿宋_GBK" w:cs="方正仿宋_GBK"/>
          <w:sz w:val="32"/>
          <w:szCs w:val="32"/>
          <w:shd w:val="clear" w:color="auto" w:fill="FFFFFF"/>
        </w:rPr>
        <w:t>%，较年初预算数增加5.18万元，增长50.44%，主要原因是</w:t>
      </w:r>
      <w:r>
        <w:rPr>
          <w:rFonts w:ascii="方正仿宋_GBK" w:hAnsi="方正仿宋_GBK" w:eastAsia="方正仿宋_GBK" w:cs="方正仿宋_GBK"/>
          <w:sz w:val="32"/>
          <w:szCs w:val="32"/>
        </w:rPr>
        <w:t>补缴2022-2023年养老保险和职业年金，2024年社会保险基数增加。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4.62</w:t>
      </w:r>
      <w:r>
        <w:rPr>
          <w:rFonts w:ascii="方正仿宋_GBK" w:hAnsi="方正仿宋_GBK" w:eastAsia="方正仿宋_GBK" w:cs="方正仿宋_GBK"/>
          <w:sz w:val="32"/>
          <w:szCs w:val="32"/>
          <w:shd w:val="clear" w:color="auto" w:fill="FFFFFF"/>
        </w:rPr>
        <w:t>%，较年初预算数增加1.71万元，增长39.95%，主要原因是2024年社会保险基数增加。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7.72</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sz w:val="32"/>
          <w:szCs w:val="32"/>
          <w:shd w:val="clear" w:color="auto" w:fill="FFFFFF"/>
        </w:rPr>
        <w:t>主要是</w:t>
      </w:r>
      <w:r>
        <w:rPr>
          <w:rFonts w:ascii="方正仿宋_GBK" w:hAnsi="方正仿宋_GBK" w:eastAsia="方正仿宋_GBK" w:cs="方正仿宋_GBK"/>
          <w:sz w:val="32"/>
          <w:szCs w:val="32"/>
          <w:shd w:val="clear" w:color="auto" w:fill="FFFFFF"/>
        </w:rPr>
        <w:t>严格</w:t>
      </w:r>
      <w:r>
        <w:rPr>
          <w:rFonts w:hint="default" w:ascii="方正仿宋_GBK" w:hAnsi="方正仿宋_GBK" w:eastAsia="方正仿宋_GBK" w:cs="方正仿宋_GBK"/>
          <w:sz w:val="32"/>
          <w:szCs w:val="32"/>
          <w:shd w:val="clear" w:color="auto" w:fill="FFFFFF"/>
        </w:rPr>
        <w:t>预算支出</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（5）农林水支出</w:t>
      </w:r>
      <w:r>
        <w:rPr>
          <w:rFonts w:ascii="方正仿宋_GBK" w:hAnsi="方正仿宋_GBK" w:eastAsia="方正仿宋_GBK" w:cs="方正仿宋_GBK"/>
          <w:sz w:val="32"/>
          <w:szCs w:val="32"/>
        </w:rPr>
        <w:t>90.65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69.97</w:t>
      </w:r>
      <w:r>
        <w:rPr>
          <w:rFonts w:ascii="方正仿宋_GBK" w:hAnsi="方正仿宋_GBK" w:eastAsia="方正仿宋_GBK" w:cs="方正仿宋_GBK"/>
          <w:sz w:val="32"/>
          <w:szCs w:val="32"/>
          <w:shd w:val="clear" w:color="auto" w:fill="FFFFFF"/>
        </w:rPr>
        <w:t>%，较年初预算数增加7.10万元，增长8.50%，主要原因是单位9月调进一人，11月离职一人，经费增加。</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住房保障支出7.18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5.54</w:t>
      </w:r>
      <w:r>
        <w:rPr>
          <w:rFonts w:ascii="方正仿宋_GBK" w:hAnsi="方正仿宋_GBK" w:eastAsia="方正仿宋_GBK" w:cs="方正仿宋_GBK"/>
          <w:sz w:val="32"/>
          <w:szCs w:val="32"/>
          <w:shd w:val="clear" w:color="auto" w:fill="FFFFFF"/>
        </w:rPr>
        <w:t>%，较年初预算数增加2.04万元，增长39.69%，主要原因是人员正常工资晋升，住房公积金基数增加。</w:t>
      </w:r>
    </w:p>
    <w:p>
      <w:pPr>
        <w:pStyle w:val="12"/>
        <w:autoSpaceDE w:val="0"/>
        <w:ind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119.56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112.75</w:t>
      </w:r>
      <w:r>
        <w:rPr>
          <w:rFonts w:ascii="方正仿宋_GBK" w:hAnsi="方正仿宋_GBK" w:eastAsia="方正仿宋_GBK" w:cs="方正仿宋_GBK"/>
          <w:sz w:val="32"/>
          <w:szCs w:val="32"/>
          <w:shd w:val="clear" w:color="auto" w:fill="FFFFFF"/>
        </w:rPr>
        <w:t>万元，与2023年度相比，增加7.76万元，增长7.39%，主要原因是人员正常工资晋升增加。人员经费用途主要包括工资福利支出、对人和家庭的补助收入。公用经费</w:t>
      </w:r>
      <w:r>
        <w:rPr>
          <w:rFonts w:ascii="方正仿宋_GBK" w:hAnsi="方正仿宋_GBK" w:eastAsia="方正仿宋_GBK" w:cs="方正仿宋_GBK"/>
          <w:sz w:val="32"/>
          <w:szCs w:val="32"/>
        </w:rPr>
        <w:t>6.80</w:t>
      </w:r>
      <w:r>
        <w:rPr>
          <w:rFonts w:ascii="方正仿宋_GBK" w:hAnsi="方正仿宋_GBK" w:eastAsia="方正仿宋_GBK" w:cs="方正仿宋_GBK"/>
          <w:sz w:val="32"/>
          <w:szCs w:val="32"/>
          <w:shd w:val="clear" w:color="auto" w:fill="FFFFFF"/>
        </w:rPr>
        <w:t>万元，与2023年度相比，减少9.07万元，下降57.15%，主要原因是严格按照中央八项规定精神，减少支出，公用经费用途主要包括办公费、差旅费和公务用车运行维护费。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ind w:firstLine="643" w:firstLineChars="200"/>
        <w:rPr>
          <w:rStyle w:val="9"/>
          <w:rFonts w:hint="default" w:ascii="黑体" w:hAnsi="黑体" w:eastAsia="黑体" w:cs="黑体"/>
          <w:sz w:val="32"/>
          <w:szCs w:val="32"/>
          <w:shd w:val="clear" w:color="auto" w:fill="FFFFFF"/>
        </w:rPr>
      </w:pPr>
      <w:bookmarkStart w:id="0" w:name="_GoBack"/>
      <w:r>
        <w:rPr>
          <w:rStyle w:val="9"/>
          <w:rFonts w:ascii="黑体" w:hAnsi="黑体" w:eastAsia="黑体" w:cs="黑体"/>
          <w:sz w:val="32"/>
          <w:szCs w:val="32"/>
          <w:shd w:val="clear" w:color="auto" w:fill="FFFFFF"/>
        </w:rPr>
        <w:t>三、财政拨款“三公”经费情况说明</w:t>
      </w:r>
    </w:p>
    <w:bookmarkEnd w:id="0"/>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万元，较年初预算数减少0.10万元，下降100.00%，主要原因是我单位202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车购置费0.00万元。费用支出较年初预算数无增减，主要原因是年初预算未安排且本年未发生公务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车购置费用。较上年支出数无增减，主要原因是上年和本年均未发生公务车购置费用。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万元，费用支出较年初预算数减少0.10万元，下降100.00%，</w:t>
      </w:r>
      <w:r>
        <w:rPr>
          <w:rFonts w:ascii="方正仿宋_GBK" w:eastAsia="方正仿宋_GBK"/>
          <w:sz w:val="32"/>
          <w:szCs w:val="32"/>
        </w:rPr>
        <w:t>主要原因是本年未发生公务接待费用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万元，与2023年度相比，增加0.27万元，增长900.00%，主要原因是</w:t>
      </w:r>
      <w:r>
        <w:rPr>
          <w:rFonts w:hint="default" w:ascii="方正仿宋_GBK" w:hAnsi="方正仿宋_GBK" w:eastAsia="方正仿宋_GBK" w:cs="方正仿宋_GBK"/>
          <w:sz w:val="32"/>
          <w:szCs w:val="32"/>
          <w:shd w:val="clear" w:color="auto" w:fill="FFFFFF"/>
        </w:rPr>
        <w:t>按照本年度文件要求本单位职工参加培训。</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spacing w:before="121" w:line="420" w:lineRule="auto"/>
        <w:ind w:left="55" w:right="498" w:firstLine="50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方正仿宋_GBK" w:hAnsi="方正仿宋_GBK" w:eastAsia="方正仿宋_GBK" w:cs="方正仿宋_GBK"/>
          <w:color w:val="FF0000"/>
          <w:sz w:val="32"/>
          <w:szCs w:val="32"/>
          <w:shd w:val="clear" w:color="auto" w:fill="FFFFFF"/>
        </w:rPr>
      </w:pPr>
      <w:r>
        <w:rPr>
          <w:rFonts w:hint="eastAsia" w:ascii="楷体" w:hAnsi="楷体" w:eastAsia="楷体" w:cs="楷体"/>
          <w:b/>
          <w:bCs/>
          <w:sz w:val="32"/>
          <w:szCs w:val="32"/>
          <w:shd w:val="clear" w:color="auto" w:fill="FFFFFF"/>
        </w:rPr>
        <w:t>（四）政府采购支出情况说明</w:t>
      </w:r>
      <w:r>
        <w:rPr>
          <w:rFonts w:hint="eastAsia" w:ascii="方正仿宋_GBK" w:hAnsi="方正仿宋_GBK" w:eastAsia="方正仿宋_GBK" w:cs="方正仿宋_GBK"/>
          <w:color w:val="FF0000"/>
          <w:sz w:val="32"/>
          <w:szCs w:val="32"/>
          <w:shd w:val="clear" w:color="auto" w:fill="FFFFFF"/>
        </w:rPr>
        <w:t xml:space="preserve"> </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7"/>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五、2024年度预算绩效管理情况说明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480" w:firstLineChars="200"/>
        <w:rPr>
          <w:rFonts w:hint="eastAsia" w:ascii="方正仿宋_GBK" w:hAnsi="方正仿宋_GBK" w:eastAsia="方正仿宋_GBK" w:cs="方正仿宋_GBK"/>
          <w:sz w:val="32"/>
          <w:szCs w:val="32"/>
          <w:shd w:val="clear" w:color="auto" w:fill="FFFFFF"/>
          <w:lang w:bidi="ar"/>
        </w:rPr>
      </w:pPr>
      <w:r>
        <w:drawing>
          <wp:anchor distT="0" distB="0" distL="114300" distR="114300" simplePos="0" relativeHeight="251659264" behindDoc="1" locked="0" layoutInCell="1" allowOverlap="1">
            <wp:simplePos x="0" y="0"/>
            <wp:positionH relativeFrom="column">
              <wp:posOffset>-499110</wp:posOffset>
            </wp:positionH>
            <wp:positionV relativeFrom="paragraph">
              <wp:posOffset>856615</wp:posOffset>
            </wp:positionV>
            <wp:extent cx="6316345" cy="6149340"/>
            <wp:effectExtent l="0" t="0" r="8255" b="0"/>
            <wp:wrapTight wrapText="bothSides">
              <wp:wrapPolygon>
                <wp:start x="0" y="0"/>
                <wp:lineTo x="0" y="21546"/>
                <wp:lineTo x="21563" y="21546"/>
                <wp:lineTo x="21563" y="0"/>
                <wp:lineTo x="0" y="0"/>
              </wp:wrapPolygon>
            </wp:wrapTight>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6316345" cy="6149340"/>
                    </a:xfrm>
                    <a:prstGeom prst="rect">
                      <a:avLst/>
                    </a:prstGeom>
                    <a:noFill/>
                    <a:ln>
                      <a:noFill/>
                    </a:ln>
                  </pic:spPr>
                </pic:pic>
              </a:graphicData>
            </a:graphic>
          </wp:anchor>
        </w:drawing>
      </w:r>
      <w:r>
        <w:rPr>
          <w:rFonts w:hint="eastAsia" w:ascii="方正仿宋_GBK" w:hAnsi="方正仿宋_GBK" w:eastAsia="方正仿宋_GBK" w:cs="方正仿宋_GBK"/>
          <w:sz w:val="32"/>
          <w:szCs w:val="32"/>
          <w:shd w:val="clear" w:color="auto" w:fill="FFFFFF"/>
          <w:lang w:bidi="ar"/>
        </w:rPr>
        <w:t>根据预算绩效管理要求，我单位对1个二级项目开展了绩效自评，涉及财政拨款项目支出资金10.0万元。</w:t>
      </w:r>
    </w:p>
    <w:p>
      <w:pPr>
        <w:pStyle w:val="13"/>
        <w:autoSpaceDE w:val="0"/>
        <w:spacing w:before="0" w:beforeAutospacing="0" w:line="600" w:lineRule="exact"/>
        <w:rPr>
          <w:rFonts w:ascii="方正仿宋_GBK" w:hAnsi="方正仿宋_GBK" w:eastAsia="方正仿宋_GBK" w:cs="方正仿宋_GBK"/>
          <w:sz w:val="32"/>
          <w:szCs w:val="32"/>
          <w:shd w:val="clear" w:color="auto" w:fill="FFFFFF"/>
          <w:lang w:bidi="ar"/>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2"/>
        <w:autoSpaceDE w:val="0"/>
        <w:ind w:left="0" w:leftChars="0"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7"/>
        <w:autoSpaceDE w:val="0"/>
        <w:ind w:firstLine="960" w:firstLineChars="3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我单位未组织开展了绩效评价。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7"/>
        <w:autoSpaceDE w:val="0"/>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县财政局未委托第三方对我单位开展了绩效评价。</w:t>
      </w:r>
    </w:p>
    <w:p>
      <w:pPr>
        <w:pStyle w:val="7"/>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  六、专业名词解释</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七、决算公开联系方式及信息反馈渠道</w:t>
      </w: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周老师-74512546</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垫江县湿地保护管理中心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垫江县湿地保护管理中心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129.56</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129.56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垫江县湿地保护管理中心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129.56</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119.56</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垫江县湿地保护管理中心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垫江县湿地保护管理中心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129.56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119.56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5.24</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垫江县湿地保护管理中心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112.75</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垫江县湿地保护管理中心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垫江县湿地保护管理中心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垫江县湿地保护管理中心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文本框 1" o:spid="_x0000_s2060"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7jXufx4CAAAc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9" o:spid="_x0000_s205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C2A71"/>
    <w:rsid w:val="001D3BB7"/>
    <w:rsid w:val="00202210"/>
    <w:rsid w:val="00254272"/>
    <w:rsid w:val="0029649F"/>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33B73"/>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035FA8"/>
    <w:rsid w:val="1CA55E64"/>
    <w:rsid w:val="1D014A01"/>
    <w:rsid w:val="1D022362"/>
    <w:rsid w:val="1D1B04B0"/>
    <w:rsid w:val="1DA52501"/>
    <w:rsid w:val="1DBD6767"/>
    <w:rsid w:val="1DC52125"/>
    <w:rsid w:val="1DD26311"/>
    <w:rsid w:val="1E2F1B89"/>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155BC"/>
    <w:rsid w:val="32AA0460"/>
    <w:rsid w:val="32AE2639"/>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2A267E"/>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D71CB0"/>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0F81BD1"/>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332142"/>
    <w:rsid w:val="6A6C7940"/>
    <w:rsid w:val="6A9F1565"/>
    <w:rsid w:val="6AAD2300"/>
    <w:rsid w:val="6B474EF5"/>
    <w:rsid w:val="6BC938E5"/>
    <w:rsid w:val="6C0A5AC5"/>
    <w:rsid w:val="6C507A16"/>
    <w:rsid w:val="6C560CAE"/>
    <w:rsid w:val="6C576495"/>
    <w:rsid w:val="6D903FF5"/>
    <w:rsid w:val="6DA955B8"/>
    <w:rsid w:val="6DE346AB"/>
    <w:rsid w:val="6DE5391A"/>
    <w:rsid w:val="6EFD1324"/>
    <w:rsid w:val="6F271042"/>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855DD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8"/>
    <w:qFormat/>
    <w:uiPriority w:val="0"/>
    <w:rPr>
      <w:rFonts w:ascii="方正仿宋_GBK" w:hAnsi="方正仿宋_GBK" w:eastAsia="方正仿宋_GBK" w:cs="方正仿宋_GBK"/>
      <w:sz w:val="31"/>
      <w:szCs w:val="31"/>
      <w:lang w:eastAsia="en-US"/>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character" w:customStyle="1" w:styleId="18">
    <w:name w:val="正文文本 字符"/>
    <w:basedOn w:val="8"/>
    <w:link w:val="2"/>
    <w:qFormat/>
    <w:uiPriority w:val="0"/>
    <w:rPr>
      <w:rFonts w:ascii="方正仿宋_GBK" w:hAnsi="方正仿宋_GBK" w:eastAsia="方正仿宋_GBK" w:cs="方正仿宋_GBK"/>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0"/>
    <customShpInfo spid="_x0000_s2059"/>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2098</Words>
  <Characters>11962</Characters>
  <Lines>99</Lines>
  <Paragraphs>28</Paragraphs>
  <TotalTime>3</TotalTime>
  <ScaleCrop>false</ScaleCrop>
  <LinksUpToDate>false</LinksUpToDate>
  <CharactersWithSpaces>14032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2025-12-18T07:12:21Z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