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600F">
      <w:pPr>
        <w:snapToGrid w:val="0"/>
        <w:spacing w:after="63" w:afterLines="10" w:line="800" w:lineRule="exact"/>
        <w:ind w:right="-214" w:rightChars="-67"/>
        <w:jc w:val="center"/>
        <w:rPr>
          <w:rFonts w:hint="default" w:ascii="Times New Roman" w:hAnsi="Times New Roman" w:eastAsia="方正小标宋_GBK" w:cs="Times New Roman"/>
          <w:color w:val="FF0000"/>
          <w:spacing w:val="80"/>
          <w:sz w:val="66"/>
          <w:szCs w:val="66"/>
          <w:lang w:val="en-US" w:eastAsia="zh-CN"/>
        </w:rPr>
      </w:pPr>
      <w:r>
        <w:rPr>
          <w:rFonts w:hint="default" w:ascii="Times New Roman" w:hAnsi="Times New Roman" w:eastAsia="方正小标宋_GBK" w:cs="Times New Roman"/>
          <w:color w:val="FF0000"/>
          <w:spacing w:val="80"/>
          <w:sz w:val="66"/>
          <w:szCs w:val="66"/>
        </w:rPr>
        <w:t>垫江县民政局电子来文</w:t>
      </w:r>
      <w:r>
        <w:rPr>
          <w:rFonts w:hint="default" w:ascii="Times New Roman" w:hAnsi="Times New Roman" w:eastAsia="方正小标宋_GBK" w:cs="Times New Roman"/>
          <w:color w:val="FF0000"/>
          <w:spacing w:val="80"/>
          <w:sz w:val="66"/>
          <w:szCs w:val="66"/>
          <w:lang w:val="en-US" w:eastAsia="zh-CN"/>
        </w:rPr>
        <w:t xml:space="preserve"> </w:t>
      </w:r>
    </w:p>
    <w:p w14:paraId="71C5549A">
      <w:pPr>
        <w:spacing w:line="100" w:lineRule="exact"/>
        <w:rPr>
          <w:rFonts w:hint="default" w:ascii="Times New Roman" w:hAnsi="Times New Roman" w:eastAsia="方正小标宋_GBK" w:cs="Times New Roman"/>
          <w:color w:val="FF0000"/>
        </w:rPr>
      </w:pPr>
      <w:r>
        <w:rPr>
          <w:rFonts w:hint="default" w:ascii="Times New Roman" w:hAnsi="Times New Roman" w:eastAsia="方正小标宋_GBK" w:cs="Times New Roman"/>
          <w:color w:val="FF0000"/>
          <w:sz w:val="20"/>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-15875</wp:posOffset>
                </wp:positionV>
                <wp:extent cx="5543550" cy="190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43550" cy="1905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6pt;margin-top:-1.25pt;height:1.5pt;width:436.5pt;z-index:251659264;mso-width-relative:page;mso-height-relative:page;" filled="f" stroked="t" coordsize="21600,21600" o:gfxdata="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ZKLc0gAAAAYBAAAPAAAAAAAAAAEAIAAAACIAAABkcnMvZG93bnJldi54bWxQSwECFAAU&#10;AAAACACHTuJAMnAbhPcBAADnAwAADgAAAAAAAAABACAAAAAhAQAAZHJzL2Uyb0RvYy54bWxQSwUG&#10;AAAAAAYABgBZAQAAigUAAAAA&#10;">
                <v:fill on="f" focussize="0,0"/>
                <v:stroke weight="2pt" color="#FF0000" joinstyle="round"/>
                <v:imagedata o:title=""/>
                <o:lock v:ext="edit" aspectratio="f"/>
              </v:line>
            </w:pict>
          </mc:Fallback>
        </mc:AlternateContent>
      </w:r>
    </w:p>
    <w:p w14:paraId="1194F77D">
      <w:pPr>
        <w:keepNext w:val="0"/>
        <w:keepLines w:val="0"/>
        <w:pageBreakBefore w:val="0"/>
        <w:widowControl w:val="0"/>
        <w:kinsoku/>
        <w:wordWrap w:val="0"/>
        <w:overflowPunct/>
        <w:topLinePunct w:val="0"/>
        <w:autoSpaceDE/>
        <w:autoSpaceDN/>
        <w:bidi w:val="0"/>
        <w:adjustRightInd/>
        <w:snapToGrid/>
        <w:spacing w:line="720" w:lineRule="exact"/>
        <w:ind w:right="0" w:rightChars="0"/>
        <w:jc w:val="right"/>
        <w:textAlignment w:val="auto"/>
        <w:rPr>
          <w:rFonts w:hint="default" w:ascii="Times New Roman" w:hAnsi="Times New Roman" w:eastAsia="方正仿宋_GBK"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方正仿宋_GBK" w:cs="Times New Roman"/>
        </w:rPr>
        <w:t>垫江民政〔202</w:t>
      </w:r>
      <w:r>
        <w:rPr>
          <w:rFonts w:hint="default" w:ascii="Times New Roman" w:hAnsi="Times New Roman" w:cs="Times New Roman"/>
          <w:lang w:val="en-US" w:eastAsia="zh-CN"/>
        </w:rPr>
        <w:t>5</w:t>
      </w:r>
      <w:r>
        <w:rPr>
          <w:rFonts w:hint="default" w:ascii="Times New Roman" w:hAnsi="Times New Roman" w:eastAsia="方正仿宋_GBK" w:cs="Times New Roman"/>
        </w:rPr>
        <w:t>〕</w:t>
      </w:r>
      <w:r>
        <w:rPr>
          <w:rFonts w:hint="default" w:ascii="Times New Roman" w:hAnsi="Times New Roman" w:cs="Times New Roman"/>
          <w:lang w:val="en-US" w:eastAsia="zh-CN"/>
        </w:rPr>
        <w:t>26</w:t>
      </w:r>
      <w:r>
        <w:rPr>
          <w:rFonts w:hint="default" w:ascii="Times New Roman" w:hAnsi="Times New Roman" w:eastAsia="方正仿宋_GBK" w:cs="Times New Roman"/>
        </w:rPr>
        <w:t>号</w:t>
      </w:r>
    </w:p>
    <w:p w14:paraId="615881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小标宋_GBK" w:cs="Times New Roman"/>
          <w:w w:val="100"/>
          <w:sz w:val="44"/>
          <w:szCs w:val="44"/>
        </w:rPr>
      </w:pPr>
    </w:p>
    <w:p w14:paraId="14FB8A16">
      <w:pPr>
        <w:keepNext w:val="0"/>
        <w:keepLines w:val="0"/>
        <w:pageBreakBefore w:val="0"/>
        <w:widowControl w:val="0"/>
        <w:kinsoku/>
        <w:wordWrap/>
        <w:overflowPunct/>
        <w:topLinePunct w:val="0"/>
        <w:autoSpaceDE/>
        <w:autoSpaceDN/>
        <w:bidi w:val="0"/>
        <w:adjustRightInd/>
        <w:snapToGrid/>
        <w:spacing w:line="240" w:lineRule="exact"/>
        <w:ind w:left="0" w:right="0" w:rightChars="0"/>
        <w:jc w:val="center"/>
        <w:textAlignment w:val="auto"/>
        <w:rPr>
          <w:rFonts w:hint="default" w:ascii="Times New Roman" w:hAnsi="Times New Roman" w:eastAsia="方正小标宋_GBK" w:cs="Times New Roman"/>
          <w:w w:val="100"/>
          <w:sz w:val="44"/>
          <w:szCs w:val="44"/>
        </w:rPr>
      </w:pPr>
    </w:p>
    <w:p w14:paraId="61936415">
      <w:pPr>
        <w:keepNext w:val="0"/>
        <w:keepLines w:val="0"/>
        <w:pageBreakBefore w:val="0"/>
        <w:widowControl w:val="0"/>
        <w:kinsoku/>
        <w:wordWrap/>
        <w:overflowPunct/>
        <w:topLinePunct w:val="0"/>
        <w:autoSpaceDE/>
        <w:autoSpaceDN/>
        <w:bidi w:val="0"/>
        <w:adjustRightInd/>
        <w:snapToGrid/>
        <w:spacing w:line="594" w:lineRule="exact"/>
        <w:ind w:left="0" w:right="0" w:rightChars="0"/>
        <w:jc w:val="center"/>
        <w:textAlignment w:val="auto"/>
        <w:rPr>
          <w:rFonts w:hint="default" w:ascii="Times New Roman" w:hAnsi="Times New Roman" w:eastAsia="方正小标宋_GBK" w:cs="Times New Roman"/>
          <w:w w:val="100"/>
          <w:sz w:val="44"/>
          <w:szCs w:val="44"/>
        </w:rPr>
      </w:pPr>
      <w:bookmarkStart w:id="0" w:name="_GoBack"/>
      <w:r>
        <w:rPr>
          <w:rFonts w:hint="default" w:ascii="Times New Roman" w:hAnsi="Times New Roman" w:eastAsia="方正小标宋_GBK" w:cs="Times New Roman"/>
          <w:w w:val="100"/>
          <w:sz w:val="44"/>
          <w:szCs w:val="44"/>
        </w:rPr>
        <w:t>垫江县民政局</w:t>
      </w:r>
    </w:p>
    <w:p w14:paraId="41EFD99F">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rPr>
        <w:t>关于</w:t>
      </w:r>
      <w:r>
        <w:rPr>
          <w:rFonts w:hint="default" w:ascii="Times New Roman" w:hAnsi="Times New Roman" w:eastAsia="方正小标宋_GBK" w:cs="Times New Roman"/>
          <w:color w:val="000000"/>
          <w:kern w:val="0"/>
          <w:sz w:val="44"/>
          <w:szCs w:val="44"/>
          <w:lang w:val="en-US" w:eastAsia="zh-CN"/>
        </w:rPr>
        <w:t>印发《垫江县2025年度养老机构</w:t>
      </w:r>
      <w:r>
        <w:rPr>
          <w:rFonts w:hint="default"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rPr>
        <w:t>双随机、一公开</w:t>
      </w:r>
      <w:r>
        <w:rPr>
          <w:rFonts w:hint="default"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lang w:val="en-US" w:eastAsia="zh-CN"/>
        </w:rPr>
        <w:t>内部</w:t>
      </w:r>
      <w:r>
        <w:rPr>
          <w:rFonts w:hint="default" w:ascii="Times New Roman" w:hAnsi="Times New Roman" w:eastAsia="方正小标宋_GBK" w:cs="Times New Roman"/>
          <w:color w:val="000000"/>
          <w:kern w:val="0"/>
          <w:sz w:val="44"/>
          <w:szCs w:val="44"/>
        </w:rPr>
        <w:t>抽查</w:t>
      </w:r>
      <w:r>
        <w:rPr>
          <w:rFonts w:hint="default" w:ascii="Times New Roman" w:hAnsi="Times New Roman" w:eastAsia="方正小标宋_GBK" w:cs="Times New Roman"/>
          <w:color w:val="000000"/>
          <w:kern w:val="0"/>
          <w:sz w:val="44"/>
          <w:szCs w:val="44"/>
          <w:lang w:eastAsia="zh-CN"/>
        </w:rPr>
        <w:t>实施</w:t>
      </w:r>
      <w:r>
        <w:rPr>
          <w:rFonts w:hint="default" w:ascii="Times New Roman" w:hAnsi="Times New Roman" w:eastAsia="方正小标宋_GBK" w:cs="Times New Roman"/>
          <w:color w:val="000000"/>
          <w:kern w:val="0"/>
          <w:sz w:val="44"/>
          <w:szCs w:val="44"/>
          <w:lang w:val="en-US" w:eastAsia="zh-CN"/>
        </w:rPr>
        <w:t>方案》的通知</w:t>
      </w:r>
    </w:p>
    <w:bookmarkEnd w:id="0"/>
    <w:p w14:paraId="26768F13">
      <w:pPr>
        <w:keepNext w:val="0"/>
        <w:keepLines w:val="0"/>
        <w:pageBreakBefore w:val="0"/>
        <w:widowControl/>
        <w:shd w:val="clear" w:color="auto" w:fill="FFFFFF"/>
        <w:kinsoku/>
        <w:wordWrap/>
        <w:overflowPunct/>
        <w:topLinePunct w:val="0"/>
        <w:autoSpaceDE/>
        <w:autoSpaceDN/>
        <w:bidi w:val="0"/>
        <w:adjustRightInd/>
        <w:snapToGrid w:val="0"/>
        <w:spacing w:line="594" w:lineRule="exact"/>
        <w:ind w:left="0" w:leftChars="0" w:right="0" w:rightChars="0" w:firstLine="0" w:firstLineChars="0"/>
        <w:jc w:val="left"/>
        <w:textAlignment w:val="auto"/>
        <w:rPr>
          <w:rFonts w:hint="default" w:ascii="Times New Roman" w:hAnsi="Times New Roman" w:eastAsia="方正仿宋_GBK" w:cs="Times New Roman"/>
          <w:color w:val="auto"/>
          <w:sz w:val="32"/>
          <w:szCs w:val="32"/>
          <w:lang w:val="en-US" w:eastAsia="zh-CN"/>
        </w:rPr>
      </w:pPr>
    </w:p>
    <w:p w14:paraId="5DD8E271">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right="0" w:rightChars="0"/>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各有关科室</w:t>
      </w:r>
      <w:r>
        <w:rPr>
          <w:rFonts w:hint="default" w:ascii="Times New Roman" w:hAnsi="Times New Roman" w:eastAsia="方正仿宋_GBK" w:cs="Times New Roman"/>
          <w:sz w:val="32"/>
          <w:szCs w:val="32"/>
        </w:rPr>
        <w:t>：</w:t>
      </w:r>
    </w:p>
    <w:p w14:paraId="4E826CD0">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right="0" w:rightChars="0" w:firstLine="640" w:firstLineChars="200"/>
        <w:textAlignment w:val="center"/>
        <w:rPr>
          <w:rFonts w:hint="default" w:ascii="Times New Roman" w:hAnsi="Times New Roman" w:eastAsia="方正仿宋_GBK" w:cs="Times New Roman"/>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lang w:val="en-US" w:eastAsia="zh-CN"/>
        </w:rPr>
        <w:t>《垫江县2025年度养老机构</w:t>
      </w:r>
      <w:r>
        <w:rPr>
          <w:rFonts w:hint="default" w:ascii="Times New Roman" w:hAnsi="Times New Roman" w:eastAsia="方正仿宋_GBK" w:cs="Times New Roman"/>
          <w:sz w:val="32"/>
          <w:szCs w:val="32"/>
          <w:lang w:eastAsia="zh-CN"/>
        </w:rPr>
        <w:t>“双随机、一公开”</w:t>
      </w:r>
      <w:r>
        <w:rPr>
          <w:rFonts w:hint="default" w:ascii="Times New Roman" w:hAnsi="Times New Roman" w:eastAsia="方正仿宋_GBK" w:cs="Times New Roman"/>
          <w:sz w:val="32"/>
          <w:szCs w:val="32"/>
          <w:lang w:val="en-US" w:eastAsia="zh-CN"/>
        </w:rPr>
        <w:t>内部</w:t>
      </w:r>
      <w:r>
        <w:rPr>
          <w:rFonts w:hint="default" w:ascii="Times New Roman" w:hAnsi="Times New Roman" w:eastAsia="方正仿宋_GBK" w:cs="Times New Roman"/>
          <w:sz w:val="32"/>
          <w:szCs w:val="32"/>
          <w:lang w:eastAsia="zh-CN"/>
        </w:rPr>
        <w:t>抽查实施</w:t>
      </w:r>
      <w:r>
        <w:rPr>
          <w:rFonts w:hint="default" w:ascii="Times New Roman" w:hAnsi="Times New Roman" w:eastAsia="方正仿宋_GBK" w:cs="Times New Roman"/>
          <w:sz w:val="32"/>
          <w:szCs w:val="32"/>
          <w:lang w:val="en-US" w:eastAsia="zh-CN"/>
        </w:rPr>
        <w:t>方案》印</w:t>
      </w:r>
      <w:r>
        <w:rPr>
          <w:rFonts w:hint="default" w:ascii="Times New Roman" w:hAnsi="Times New Roman" w:eastAsia="方正仿宋_GBK" w:cs="Times New Roman"/>
          <w:sz w:val="32"/>
          <w:szCs w:val="32"/>
          <w:lang w:eastAsia="zh-CN"/>
        </w:rPr>
        <w:t>发你们，</w:t>
      </w:r>
      <w:r>
        <w:rPr>
          <w:rFonts w:hint="default" w:ascii="Times New Roman" w:hAnsi="Times New Roman" w:eastAsia="方正仿宋_GBK" w:cs="Times New Roman"/>
          <w:sz w:val="32"/>
          <w:szCs w:val="32"/>
        </w:rPr>
        <w:t>请结合实际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抓好贯彻落实。</w:t>
      </w:r>
    </w:p>
    <w:p w14:paraId="1A1CED10">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left="0" w:leftChars="0" w:right="0" w:rightChars="0" w:firstLine="5760" w:firstLineChars="1800"/>
        <w:textAlignment w:val="center"/>
        <w:rPr>
          <w:rFonts w:hint="default" w:ascii="Times New Roman" w:hAnsi="Times New Roman" w:eastAsia="方正仿宋_GBK" w:cs="Times New Roman"/>
        </w:rPr>
      </w:pPr>
    </w:p>
    <w:p w14:paraId="08C212A9">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left="0" w:leftChars="0" w:right="0" w:rightChars="0" w:firstLine="5760" w:firstLineChars="1800"/>
        <w:textAlignment w:val="center"/>
        <w:rPr>
          <w:rFonts w:hint="default" w:ascii="Times New Roman" w:hAnsi="Times New Roman" w:eastAsia="方正仿宋_GBK" w:cs="Times New Roman"/>
        </w:rPr>
      </w:pPr>
    </w:p>
    <w:p w14:paraId="09224278">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left="0" w:leftChars="0" w:right="0" w:rightChars="0" w:firstLine="5760" w:firstLineChars="1800"/>
        <w:textAlignment w:val="center"/>
        <w:rPr>
          <w:rFonts w:hint="default" w:ascii="Times New Roman" w:hAnsi="Times New Roman" w:eastAsia="方正仿宋_GBK" w:cs="Times New Roman"/>
        </w:rPr>
      </w:pPr>
    </w:p>
    <w:p w14:paraId="70772FF8">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left="0" w:leftChars="0" w:right="0" w:rightChars="0" w:firstLine="5760" w:firstLineChars="1800"/>
        <w:textAlignment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垫江县民政局</w:t>
      </w:r>
      <w:r>
        <w:rPr>
          <w:rFonts w:hint="default" w:ascii="Times New Roman" w:hAnsi="Times New Roman" w:eastAsia="方正仿宋_GBK" w:cs="Times New Roman"/>
          <w:lang w:val="en-US" w:eastAsia="zh-CN"/>
        </w:rPr>
        <w:t xml:space="preserve">                          </w:t>
      </w:r>
    </w:p>
    <w:p w14:paraId="1BA34F8B">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val="0"/>
        <w:snapToGrid w:val="0"/>
        <w:spacing w:line="594" w:lineRule="exact"/>
        <w:ind w:left="0" w:leftChars="0" w:right="0" w:rightChars="0" w:firstLine="5440" w:firstLineChars="1700"/>
        <w:textAlignment w:val="center"/>
        <w:rPr>
          <w:rFonts w:hint="default" w:ascii="Times New Roman" w:hAnsi="Times New Roman" w:eastAsia="方正仿宋_GBK" w:cs="Times New Roman"/>
        </w:rPr>
      </w:pP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年</w:t>
      </w:r>
      <w:r>
        <w:rPr>
          <w:rFonts w:hint="default" w:ascii="Times New Roman" w:hAnsi="Times New Roman" w:cs="Times New Roman"/>
          <w:lang w:val="en-US" w:eastAsia="zh-CN"/>
        </w:rPr>
        <w:t>6</w:t>
      </w:r>
      <w:r>
        <w:rPr>
          <w:rFonts w:hint="default" w:ascii="Times New Roman" w:hAnsi="Times New Roman" w:eastAsia="方正仿宋_GBK" w:cs="Times New Roman"/>
        </w:rPr>
        <w:t>月</w:t>
      </w:r>
      <w:r>
        <w:rPr>
          <w:rFonts w:hint="default" w:ascii="Times New Roman" w:hAnsi="Times New Roman" w:cs="Times New Roman"/>
          <w:lang w:val="en-US" w:eastAsia="zh-CN"/>
        </w:rPr>
        <w:t>18</w:t>
      </w:r>
      <w:r>
        <w:rPr>
          <w:rFonts w:hint="default" w:ascii="Times New Roman" w:hAnsi="Times New Roman" w:eastAsia="方正仿宋_GBK" w:cs="Times New Roman"/>
        </w:rPr>
        <w:t>日</w:t>
      </w:r>
    </w:p>
    <w:p w14:paraId="5AD998D9">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2EABA31">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0B869225">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DD9D434">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6B67D6A">
      <w:pPr>
        <w:pStyle w:val="14"/>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此件公开发布</w:t>
      </w:r>
    </w:p>
    <w:p w14:paraId="4566391B">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9AE3BD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sectPr>
          <w:pgSz w:w="11906" w:h="16838"/>
          <w:pgMar w:top="1984" w:right="1446" w:bottom="1644" w:left="1446" w:header="851" w:footer="992" w:gutter="0"/>
          <w:pgNumType w:fmt="decimal"/>
          <w:cols w:space="425" w:num="1"/>
          <w:docGrid w:type="lines" w:linePitch="312" w:charSpace="0"/>
        </w:sectPr>
      </w:pPr>
    </w:p>
    <w:p w14:paraId="2BAEDEE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p>
    <w:p w14:paraId="74ABFE4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i w:val="0"/>
          <w:caps w:val="0"/>
          <w:color w:val="000000"/>
          <w:spacing w:val="0"/>
          <w:kern w:val="0"/>
          <w:sz w:val="44"/>
          <w:szCs w:val="44"/>
          <w:shd w:val="clear" w:fill="FFFFFF"/>
          <w:lang w:val="en-US" w:eastAsia="zh-CN" w:bidi="ar"/>
        </w:rPr>
      </w:pPr>
      <w:r>
        <w:rPr>
          <w:rFonts w:hint="default" w:ascii="Times New Roman" w:hAnsi="Times New Roman" w:eastAsia="方正小标宋_GBK" w:cs="Times New Roman"/>
          <w:sz w:val="44"/>
          <w:szCs w:val="44"/>
          <w:lang w:val="en-US" w:eastAsia="zh-CN"/>
        </w:rPr>
        <w:t>垫江县2025年度养老机构</w:t>
      </w:r>
      <w:r>
        <w:rPr>
          <w:rFonts w:hint="default" w:ascii="Times New Roman" w:hAnsi="Times New Roman" w:eastAsia="方正小标宋_GBK" w:cs="Times New Roman"/>
          <w:sz w:val="44"/>
          <w:szCs w:val="44"/>
          <w:lang w:eastAsia="zh-CN"/>
        </w:rPr>
        <w:t>“双随机、一公开”</w:t>
      </w:r>
      <w:r>
        <w:rPr>
          <w:rFonts w:hint="default" w:ascii="Times New Roman" w:hAnsi="Times New Roman" w:eastAsia="方正小标宋_GBK" w:cs="Times New Roman"/>
          <w:sz w:val="44"/>
          <w:szCs w:val="44"/>
          <w:lang w:val="en-US" w:eastAsia="zh-CN"/>
        </w:rPr>
        <w:t>内部</w:t>
      </w:r>
      <w:r>
        <w:rPr>
          <w:rFonts w:hint="default" w:ascii="Times New Roman" w:hAnsi="Times New Roman" w:eastAsia="方正小标宋_GBK" w:cs="Times New Roman"/>
          <w:sz w:val="44"/>
          <w:szCs w:val="44"/>
          <w:lang w:eastAsia="zh-CN"/>
        </w:rPr>
        <w:t>抽查实施</w:t>
      </w:r>
      <w:r>
        <w:rPr>
          <w:rFonts w:hint="default" w:ascii="Times New Roman" w:hAnsi="Times New Roman" w:eastAsia="方正小标宋_GBK" w:cs="Times New Roman"/>
          <w:sz w:val="44"/>
          <w:szCs w:val="44"/>
          <w:lang w:val="en-US" w:eastAsia="zh-CN"/>
        </w:rPr>
        <w:t>方案</w:t>
      </w:r>
    </w:p>
    <w:p w14:paraId="6D204F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p>
    <w:p w14:paraId="1972DB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根据《重庆市民政局印发&lt;重庆市推进养老机构“双随机、一公开”监管实施办法&gt;的通知》（渝民发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年度垫江县市场监管领域部门联合“双随机、一公开”抽查计划》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rPr>
        <w:t>垫江监管联办〔20</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4〕3号</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val="en-US" w:eastAsia="zh-CN"/>
        </w:rPr>
        <w:t>等文件</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eastAsia="zh-CN"/>
        </w:rPr>
        <w:t>结合我县实际，决定</w:t>
      </w:r>
      <w:r>
        <w:rPr>
          <w:rFonts w:hint="default" w:ascii="Times New Roman" w:hAnsi="Times New Roman" w:eastAsia="方正仿宋_GBK" w:cs="Times New Roman"/>
          <w:sz w:val="32"/>
          <w:szCs w:val="32"/>
          <w:lang w:val="en-US" w:eastAsia="zh-CN"/>
        </w:rPr>
        <w:t>开展垫江县2025年度养老机构“双随机、一公开”内部抽查工作，特制订实施方案如下：</w:t>
      </w:r>
    </w:p>
    <w:p w14:paraId="5D902A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i w:val="0"/>
          <w:caps w:val="0"/>
          <w:color w:val="000000"/>
          <w:spacing w:val="0"/>
          <w:kern w:val="0"/>
          <w:sz w:val="32"/>
          <w:szCs w:val="32"/>
          <w:shd w:val="clear" w:fill="FFFFFF"/>
          <w:lang w:val="en-US" w:eastAsia="zh-CN" w:bidi="ar"/>
        </w:rPr>
      </w:pPr>
      <w:r>
        <w:rPr>
          <w:rFonts w:hint="default" w:ascii="Times New Roman" w:hAnsi="Times New Roman" w:eastAsia="黑体" w:cs="Times New Roman"/>
          <w:i w:val="0"/>
          <w:caps w:val="0"/>
          <w:color w:val="000000"/>
          <w:spacing w:val="0"/>
          <w:kern w:val="0"/>
          <w:sz w:val="32"/>
          <w:szCs w:val="32"/>
          <w:shd w:val="clear" w:fill="FFFFFF"/>
          <w:lang w:val="en-US" w:eastAsia="zh-CN" w:bidi="ar"/>
        </w:rPr>
        <w:t>一、抽查时间及对象</w:t>
      </w:r>
    </w:p>
    <w:p w14:paraId="6EEF0D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320" w:firstLineChars="1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楷体_GB2312" w:cs="Times New Roman"/>
          <w:i w:val="0"/>
          <w:caps w:val="0"/>
          <w:color w:val="000000"/>
          <w:spacing w:val="0"/>
          <w:kern w:val="0"/>
          <w:sz w:val="32"/>
          <w:szCs w:val="32"/>
          <w:shd w:val="clear" w:fill="FFFFFF"/>
          <w:lang w:val="en-US" w:eastAsia="zh-CN" w:bidi="ar"/>
        </w:rPr>
        <w:t>（一）抽查时间：</w:t>
      </w:r>
      <w:r>
        <w:rPr>
          <w:rFonts w:hint="default" w:ascii="Times New Roman" w:hAnsi="Times New Roman" w:eastAsia="方正仿宋_GBK" w:cs="Times New Roman"/>
          <w:sz w:val="32"/>
          <w:szCs w:val="32"/>
          <w:lang w:val="en-US" w:eastAsia="zh-CN"/>
        </w:rPr>
        <w:t>2025年6月9日至2025年9月9日</w:t>
      </w:r>
    </w:p>
    <w:p w14:paraId="2E7E2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default" w:ascii="Times New Roman" w:hAnsi="Times New Roman" w:eastAsia="方正仿宋_GBK" w:cs="Times New Roman"/>
          <w:i w:val="0"/>
          <w:caps w:val="0"/>
          <w:color w:val="000000"/>
          <w:spacing w:val="0"/>
          <w:sz w:val="31"/>
          <w:szCs w:val="31"/>
          <w:shd w:val="clear" w:fill="FFFFFF"/>
          <w:lang w:val="en-US" w:eastAsia="zh-CN"/>
        </w:rPr>
      </w:pPr>
      <w:r>
        <w:rPr>
          <w:rFonts w:hint="default" w:ascii="Times New Roman" w:hAnsi="Times New Roman" w:eastAsia="方正楷体_GB2312" w:cs="Times New Roman"/>
          <w:i w:val="0"/>
          <w:caps w:val="0"/>
          <w:color w:val="000000"/>
          <w:spacing w:val="0"/>
          <w:kern w:val="0"/>
          <w:sz w:val="32"/>
          <w:szCs w:val="32"/>
          <w:shd w:val="clear" w:fill="FFFFFF"/>
          <w:lang w:val="en-US" w:eastAsia="zh-CN" w:bidi="ar"/>
        </w:rPr>
        <w:t>（二）抽查对象：</w:t>
      </w:r>
      <w:r>
        <w:rPr>
          <w:rFonts w:hint="default" w:ascii="Times New Roman" w:hAnsi="Times New Roman" w:eastAsia="方正仿宋_GBK" w:cs="Times New Roman"/>
          <w:i w:val="0"/>
          <w:caps w:val="0"/>
          <w:color w:val="000000"/>
          <w:spacing w:val="0"/>
          <w:sz w:val="31"/>
          <w:szCs w:val="31"/>
          <w:shd w:val="clear" w:fill="FFFFFF"/>
          <w:lang w:val="en-US" w:eastAsia="zh-CN"/>
        </w:rPr>
        <w:t>全县养老机构</w:t>
      </w:r>
    </w:p>
    <w:p w14:paraId="5480DF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黑体_GBK" w:cs="Times New Roman"/>
          <w:i w:val="0"/>
          <w:caps w:val="0"/>
          <w:color w:val="333333"/>
          <w:spacing w:val="0"/>
          <w:sz w:val="24"/>
          <w:szCs w:val="24"/>
        </w:rPr>
      </w:pPr>
      <w:r>
        <w:rPr>
          <w:rFonts w:hint="default" w:ascii="Times New Roman" w:hAnsi="Times New Roman" w:eastAsia="方正黑体_GBK" w:cs="Times New Roman"/>
          <w:i w:val="0"/>
          <w:caps w:val="0"/>
          <w:color w:val="000000"/>
          <w:spacing w:val="0"/>
          <w:kern w:val="0"/>
          <w:sz w:val="32"/>
          <w:szCs w:val="32"/>
          <w:shd w:val="clear" w:fill="FFFFFF"/>
          <w:lang w:val="en-US" w:eastAsia="zh-CN" w:bidi="ar"/>
        </w:rPr>
        <w:t>二、抽查内容</w:t>
      </w:r>
    </w:p>
    <w:p w14:paraId="4C09BD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caps w:val="0"/>
          <w:color w:val="333333"/>
          <w:spacing w:val="0"/>
          <w:sz w:val="24"/>
          <w:szCs w:val="24"/>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按照《</w:t>
      </w:r>
      <w:r>
        <w:rPr>
          <w:rFonts w:hint="default" w:ascii="Times New Roman" w:hAnsi="Times New Roman" w:eastAsia="方正仿宋_GBK" w:cs="Times New Roman"/>
          <w:i w:val="0"/>
          <w:caps w:val="0"/>
          <w:color w:val="000000"/>
          <w:spacing w:val="0"/>
          <w:sz w:val="31"/>
          <w:szCs w:val="31"/>
          <w:shd w:val="clear" w:fill="FFFFFF"/>
          <w:lang w:val="en-US" w:eastAsia="zh-CN"/>
        </w:rPr>
        <w:t>2025</w:t>
      </w:r>
      <w:r>
        <w:rPr>
          <w:rFonts w:hint="default" w:ascii="Times New Roman" w:hAnsi="Times New Roman" w:eastAsia="方正仿宋_GBK" w:cs="Times New Roman"/>
          <w:i w:val="0"/>
          <w:caps w:val="0"/>
          <w:color w:val="000000"/>
          <w:spacing w:val="0"/>
          <w:sz w:val="31"/>
          <w:szCs w:val="31"/>
          <w:shd w:val="clear" w:fill="FFFFFF"/>
        </w:rPr>
        <w:t>年</w:t>
      </w:r>
      <w:r>
        <w:rPr>
          <w:rFonts w:hint="default" w:ascii="Times New Roman" w:hAnsi="Times New Roman" w:eastAsia="方正仿宋_GBK" w:cs="Times New Roman"/>
          <w:i w:val="0"/>
          <w:caps w:val="0"/>
          <w:color w:val="000000"/>
          <w:spacing w:val="0"/>
          <w:sz w:val="31"/>
          <w:szCs w:val="31"/>
          <w:shd w:val="clear" w:fill="FFFFFF"/>
          <w:lang w:eastAsia="zh-CN"/>
        </w:rPr>
        <w:t>垫江县</w:t>
      </w:r>
      <w:r>
        <w:rPr>
          <w:rFonts w:hint="default" w:ascii="Times New Roman" w:hAnsi="Times New Roman" w:eastAsia="方正仿宋_GBK" w:cs="Times New Roman"/>
          <w:i w:val="0"/>
          <w:caps w:val="0"/>
          <w:color w:val="000000"/>
          <w:spacing w:val="0"/>
          <w:sz w:val="31"/>
          <w:szCs w:val="31"/>
          <w:shd w:val="clear" w:fill="FFFFFF"/>
        </w:rPr>
        <w:t>养老机构</w:t>
      </w:r>
      <w:r>
        <w:rPr>
          <w:rFonts w:hint="default" w:ascii="Times New Roman" w:hAnsi="Times New Roman" w:eastAsia="方正仿宋_GBK" w:cs="Times New Roman"/>
          <w:i w:val="0"/>
          <w:caps w:val="0"/>
          <w:color w:val="000000"/>
          <w:spacing w:val="0"/>
          <w:sz w:val="31"/>
          <w:szCs w:val="31"/>
          <w:shd w:val="clear" w:fill="FFFFFF"/>
          <w:lang w:eastAsia="zh-CN"/>
        </w:rPr>
        <w:t>随机</w:t>
      </w:r>
      <w:r>
        <w:rPr>
          <w:rFonts w:hint="default" w:ascii="Times New Roman" w:hAnsi="Times New Roman" w:eastAsia="方正仿宋_GBK" w:cs="Times New Roman"/>
          <w:i w:val="0"/>
          <w:caps w:val="0"/>
          <w:color w:val="000000"/>
          <w:spacing w:val="0"/>
          <w:sz w:val="31"/>
          <w:szCs w:val="31"/>
          <w:shd w:val="clear" w:fill="FFFFFF"/>
        </w:rPr>
        <w:t>抽查事项清单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》，对清单中涉及养老机构的事项进行全覆盖检查。</w:t>
      </w:r>
    </w:p>
    <w:p w14:paraId="7483C5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方正黑体_GBK" w:cs="Times New Roman"/>
          <w:i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i w:val="0"/>
          <w:caps w:val="0"/>
          <w:color w:val="000000"/>
          <w:spacing w:val="0"/>
          <w:kern w:val="0"/>
          <w:sz w:val="32"/>
          <w:szCs w:val="32"/>
          <w:shd w:val="clear" w:fill="FFFFFF"/>
          <w:lang w:val="en-US" w:eastAsia="zh-CN" w:bidi="ar"/>
        </w:rPr>
        <w:t>三、执法人员</w:t>
      </w:r>
    </w:p>
    <w:p w14:paraId="460CB5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县民政局按照要求从本部门执法人员库中随机抽取执法检查人员，组成执法检查组，开展检查工作。</w:t>
      </w:r>
    </w:p>
    <w:p w14:paraId="34FECB8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黑体_GBK" w:cs="Times New Roman"/>
          <w:i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i w:val="0"/>
          <w:caps w:val="0"/>
          <w:color w:val="000000"/>
          <w:spacing w:val="0"/>
          <w:kern w:val="0"/>
          <w:sz w:val="32"/>
          <w:szCs w:val="32"/>
          <w:shd w:val="clear" w:fill="FFFFFF"/>
          <w:lang w:val="en-US" w:eastAsia="zh-CN" w:bidi="ar"/>
        </w:rPr>
        <w:t>抽查实施</w:t>
      </w:r>
    </w:p>
    <w:p w14:paraId="668E7225">
      <w:pPr>
        <w:tabs>
          <w:tab w:val="left" w:pos="729"/>
        </w:tabs>
        <w:bidi w:val="0"/>
        <w:ind w:firstLine="640" w:firstLineChars="200"/>
        <w:jc w:val="left"/>
        <w:rPr>
          <w:rFonts w:hint="default" w:ascii="Times New Roman" w:hAnsi="Times New Roman" w:eastAsia="方正仿宋_GBK" w:cs="Times New Roman"/>
          <w:lang w:val="en-US" w:eastAsia="zh-CN"/>
        </w:rPr>
      </w:pPr>
      <w:r>
        <w:rPr>
          <w:rFonts w:hint="default" w:ascii="Times New Roman" w:hAnsi="Times New Roman" w:eastAsia="方正楷体_GBK" w:cs="Times New Roman"/>
          <w:i w:val="0"/>
          <w:caps w:val="0"/>
          <w:color w:val="000000"/>
          <w:spacing w:val="0"/>
          <w:kern w:val="0"/>
          <w:sz w:val="32"/>
          <w:szCs w:val="32"/>
          <w:shd w:val="clear" w:fill="FFFFFF"/>
          <w:lang w:val="en-US" w:eastAsia="zh-CN" w:bidi="ar"/>
        </w:rPr>
        <w:t>（一）抽查方式。</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按照“双随机”抽查工作要求，在抽查工</w:t>
      </w:r>
    </w:p>
    <w:p w14:paraId="0F6574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i w:val="0"/>
          <w:caps w:val="0"/>
          <w:color w:val="333333"/>
          <w:spacing w:val="0"/>
          <w:sz w:val="24"/>
          <w:szCs w:val="24"/>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作平台随机抽取检查对象和检查人员，抽查对象不低于4家，</w:t>
      </w:r>
      <w:r>
        <w:rPr>
          <w:rFonts w:hint="default" w:ascii="Times New Roman" w:hAnsi="Times New Roman" w:eastAsia="方正仿宋_GBK" w:cs="Times New Roman"/>
          <w:sz w:val="32"/>
          <w:szCs w:val="32"/>
          <w:lang w:val="en-US" w:eastAsia="zh-CN"/>
        </w:rPr>
        <w:t>检查人员不少于2人</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p>
    <w:p w14:paraId="70768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333333"/>
          <w:spacing w:val="0"/>
          <w:sz w:val="24"/>
          <w:szCs w:val="24"/>
        </w:rPr>
      </w:pPr>
      <w:r>
        <w:rPr>
          <w:rFonts w:hint="default" w:ascii="Times New Roman" w:hAnsi="Times New Roman" w:eastAsia="方正楷体_GBK" w:cs="Times New Roman"/>
          <w:i w:val="0"/>
          <w:caps w:val="0"/>
          <w:color w:val="000000"/>
          <w:spacing w:val="0"/>
          <w:kern w:val="0"/>
          <w:sz w:val="32"/>
          <w:szCs w:val="32"/>
          <w:shd w:val="clear" w:fill="FFFFFF"/>
          <w:lang w:val="en-US" w:eastAsia="zh-CN" w:bidi="ar"/>
        </w:rPr>
        <w:t>（二）抽查公示。</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按照“谁登记、谁检查、谁录入、谁公开”的原则开展抽查工作，及时做好抽查结果记录及公示，确保随机抽查过程的公平、公正、公开和规范。</w:t>
      </w:r>
    </w:p>
    <w:p w14:paraId="3486F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i w:val="0"/>
          <w:caps w:val="0"/>
          <w:color w:val="000000"/>
          <w:spacing w:val="0"/>
          <w:kern w:val="0"/>
          <w:sz w:val="32"/>
          <w:szCs w:val="32"/>
          <w:shd w:val="clear" w:fill="FFFFFF"/>
          <w:lang w:val="en-US" w:eastAsia="zh-CN" w:bidi="ar"/>
        </w:rPr>
        <w:t>（三）抽查结果处理。</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对抽查发现违法、违规行为，依法依规严格惩处，及时向社会公开处理信息，属于其他部门管辖的，及时移送相关部门查处。</w:t>
      </w:r>
    </w:p>
    <w:p w14:paraId="3E4264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黑体_GBK" w:cs="Times New Roman"/>
          <w:i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i w:val="0"/>
          <w:caps w:val="0"/>
          <w:color w:val="000000"/>
          <w:spacing w:val="0"/>
          <w:kern w:val="0"/>
          <w:sz w:val="32"/>
          <w:szCs w:val="32"/>
          <w:shd w:val="clear" w:fill="FFFFFF"/>
          <w:lang w:val="en-US" w:eastAsia="zh-CN" w:bidi="ar"/>
        </w:rPr>
        <w:t>五、工作要求</w:t>
      </w:r>
    </w:p>
    <w:p w14:paraId="47DC80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i w:val="0"/>
          <w:caps w:val="0"/>
          <w:color w:val="000000"/>
          <w:spacing w:val="0"/>
          <w:kern w:val="0"/>
          <w:sz w:val="32"/>
          <w:szCs w:val="32"/>
          <w:shd w:val="clear" w:fill="FFFFFF"/>
          <w:lang w:val="en-US" w:eastAsia="zh-CN" w:bidi="ar"/>
        </w:rPr>
        <w:t>（一）真抓实干，力求实效。</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各相关科室要高度重视，认真配合开展“双随机、一公开”抽查工作，以进一步规范养老机构监管行为，促进养老机构规范有序发展，更好地为群众服务。</w:t>
      </w:r>
    </w:p>
    <w:p w14:paraId="63BE4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i w:val="0"/>
          <w:caps w:val="0"/>
          <w:color w:val="000000"/>
          <w:spacing w:val="0"/>
          <w:kern w:val="0"/>
          <w:sz w:val="32"/>
          <w:szCs w:val="32"/>
          <w:shd w:val="clear" w:fill="FFFFFF"/>
          <w:lang w:val="en-US" w:eastAsia="zh-CN" w:bidi="ar"/>
        </w:rPr>
        <w:t>（二）依法依规，力求规范。</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要根据法律法规开展工作，做到不越位、不缺位、不错位。在抽查过程中，注重服务与监管相结合，检查人员在检查中要廉政执法，依法行政。</w:t>
      </w:r>
    </w:p>
    <w:p w14:paraId="257F3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i w:val="0"/>
          <w:caps w:val="0"/>
          <w:color w:val="000000"/>
          <w:spacing w:val="0"/>
          <w:kern w:val="0"/>
          <w:sz w:val="32"/>
          <w:szCs w:val="32"/>
          <w:shd w:val="clear" w:fill="FFFFFF"/>
          <w:lang w:val="en-US" w:eastAsia="zh-CN" w:bidi="ar"/>
        </w:rPr>
        <w:t>（三）及时公示，促进监管。</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建立“一抽查一公示一通报”制度，对抽查中发现的违法违规行为，要及时予以通报，并移交问题线索，依法处理。</w:t>
      </w:r>
    </w:p>
    <w:p w14:paraId="385A685E">
      <w:pPr>
        <w:pStyle w:val="9"/>
        <w:ind w:right="360"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p>
    <w:p w14:paraId="4C5C14A1">
      <w:pPr>
        <w:pStyle w:val="9"/>
        <w:ind w:right="360" w:firstLine="640" w:firstLineChars="200"/>
        <w:jc w:val="both"/>
        <w:rPr>
          <w:rFonts w:hint="default" w:ascii="Times New Roman" w:hAnsi="Times New Roman" w:eastAsia="方正仿宋_GBK" w:cs="Times New Roman"/>
          <w:i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附件：</w:t>
      </w:r>
      <w:r>
        <w:rPr>
          <w:rFonts w:hint="default" w:ascii="Times New Roman" w:hAnsi="Times New Roman" w:eastAsia="方正仿宋_GBK" w:cs="Times New Roman"/>
          <w:i w:val="0"/>
          <w:caps w:val="0"/>
          <w:color w:val="000000"/>
          <w:spacing w:val="0"/>
          <w:sz w:val="31"/>
          <w:szCs w:val="31"/>
          <w:shd w:val="clear" w:fill="FFFFFF"/>
          <w:lang w:val="en-US" w:eastAsia="zh-CN"/>
        </w:rPr>
        <w:t>2025</w:t>
      </w:r>
      <w:r>
        <w:rPr>
          <w:rFonts w:hint="default" w:ascii="Times New Roman" w:hAnsi="Times New Roman" w:eastAsia="方正仿宋_GBK" w:cs="Times New Roman"/>
          <w:i w:val="0"/>
          <w:caps w:val="0"/>
          <w:color w:val="000000"/>
          <w:spacing w:val="0"/>
          <w:sz w:val="31"/>
          <w:szCs w:val="31"/>
          <w:shd w:val="clear" w:fill="FFFFFF"/>
        </w:rPr>
        <w:t>年</w:t>
      </w:r>
      <w:r>
        <w:rPr>
          <w:rFonts w:hint="default" w:ascii="Times New Roman" w:hAnsi="Times New Roman" w:eastAsia="方正仿宋_GBK" w:cs="Times New Roman"/>
          <w:i w:val="0"/>
          <w:caps w:val="0"/>
          <w:color w:val="000000"/>
          <w:spacing w:val="0"/>
          <w:sz w:val="31"/>
          <w:szCs w:val="31"/>
          <w:shd w:val="clear" w:fill="FFFFFF"/>
          <w:lang w:eastAsia="zh-CN"/>
        </w:rPr>
        <w:t>垫江县</w:t>
      </w:r>
      <w:r>
        <w:rPr>
          <w:rFonts w:hint="default" w:ascii="Times New Roman" w:hAnsi="Times New Roman" w:eastAsia="方正仿宋_GBK" w:cs="Times New Roman"/>
          <w:i w:val="0"/>
          <w:caps w:val="0"/>
          <w:color w:val="000000"/>
          <w:spacing w:val="0"/>
          <w:sz w:val="31"/>
          <w:szCs w:val="31"/>
          <w:shd w:val="clear" w:fill="FFFFFF"/>
        </w:rPr>
        <w:t>养老机构抽查</w:t>
      </w:r>
      <w:r>
        <w:rPr>
          <w:rStyle w:val="21"/>
          <w:rFonts w:hint="default" w:ascii="Times New Roman" w:hAnsi="Times New Roman" w:eastAsia="方正仿宋_GBK" w:cs="Times New Roman"/>
          <w:sz w:val="28"/>
        </w:rPr>
        <w:t>事项</w:t>
      </w:r>
      <w:r>
        <w:rPr>
          <w:rFonts w:hint="default" w:ascii="Times New Roman" w:hAnsi="Times New Roman" w:eastAsia="方正仿宋_GBK" w:cs="Times New Roman"/>
          <w:i w:val="0"/>
          <w:caps w:val="0"/>
          <w:color w:val="000000"/>
          <w:spacing w:val="0"/>
          <w:sz w:val="31"/>
          <w:szCs w:val="31"/>
          <w:shd w:val="clear" w:fill="FFFFFF"/>
        </w:rPr>
        <w:t>清单</w:t>
      </w:r>
    </w:p>
    <w:p w14:paraId="3B47452C">
      <w:pPr>
        <w:overflowPunct w:val="0"/>
        <w:adjustRightInd w:val="0"/>
        <w:snapToGrid w:val="0"/>
        <w:spacing w:line="579" w:lineRule="exact"/>
        <w:ind w:firstLine="6080" w:firstLineChars="1900"/>
        <w:jc w:val="both"/>
        <w:rPr>
          <w:rFonts w:hint="default" w:ascii="Times New Roman" w:hAnsi="Times New Roman" w:eastAsia="方正仿宋_GBK" w:cs="Times New Roman"/>
          <w:kern w:val="2"/>
          <w:sz w:val="32"/>
          <w:szCs w:val="32"/>
          <w:lang w:val="en-US" w:eastAsia="zh-CN" w:bidi="ar-SA"/>
        </w:rPr>
      </w:pPr>
    </w:p>
    <w:p w14:paraId="3AA42ED0">
      <w:pPr>
        <w:snapToGrid w:val="0"/>
        <w:rPr>
          <w:rFonts w:hint="default" w:ascii="Times New Roman" w:hAnsi="Times New Roman" w:eastAsia="方正黑体_GBK" w:cs="Times New Roman"/>
          <w:sz w:val="32"/>
          <w:szCs w:val="32"/>
        </w:rPr>
      </w:pPr>
    </w:p>
    <w:p w14:paraId="4B5F17E0">
      <w:pPr>
        <w:snapToGrid w:val="0"/>
        <w:rPr>
          <w:rFonts w:hint="default" w:ascii="Times New Roman" w:hAnsi="Times New Roman" w:eastAsia="方正黑体_GBK" w:cs="Times New Roman"/>
          <w:sz w:val="32"/>
          <w:szCs w:val="32"/>
        </w:rPr>
      </w:pPr>
    </w:p>
    <w:p w14:paraId="58926058">
      <w:pPr>
        <w:snapToGrid w:val="0"/>
        <w:rPr>
          <w:rFonts w:hint="default" w:ascii="Times New Roman" w:hAnsi="Times New Roman" w:eastAsia="方正黑体_GBK" w:cs="Times New Roman"/>
          <w:sz w:val="32"/>
          <w:szCs w:val="32"/>
        </w:rPr>
        <w:sectPr>
          <w:headerReference r:id="rId3" w:type="default"/>
          <w:footerReference r:id="rId4" w:type="default"/>
          <w:pgSz w:w="11906" w:h="16838"/>
          <w:pgMar w:top="2098" w:right="1474" w:bottom="1984" w:left="1587" w:header="850" w:footer="992" w:gutter="0"/>
          <w:pgNumType w:fmt="decimal"/>
          <w:cols w:space="0" w:num="1"/>
          <w:rtlGutter w:val="0"/>
          <w:docGrid w:type="lines" w:linePitch="442" w:charSpace="0"/>
        </w:sectPr>
      </w:pPr>
    </w:p>
    <w:p w14:paraId="7F78045B">
      <w:pPr>
        <w:snapToGrid w:val="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p>
    <w:p w14:paraId="0BA41554">
      <w:pPr>
        <w:snapToGrid w:val="0"/>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2025年</w:t>
      </w:r>
      <w:r>
        <w:rPr>
          <w:rFonts w:hint="default" w:ascii="Times New Roman" w:hAnsi="Times New Roman" w:eastAsia="方正黑体_GBK" w:cs="Times New Roman"/>
          <w:sz w:val="32"/>
          <w:szCs w:val="32"/>
          <w:lang w:eastAsia="zh-CN"/>
        </w:rPr>
        <w:t>垫江县</w:t>
      </w:r>
      <w:r>
        <w:rPr>
          <w:rFonts w:hint="default" w:ascii="Times New Roman" w:hAnsi="Times New Roman" w:eastAsia="方正黑体_GBK" w:cs="Times New Roman"/>
          <w:sz w:val="32"/>
          <w:szCs w:val="32"/>
        </w:rPr>
        <w:t>养老机构抽查事项清单</w:t>
      </w:r>
    </w:p>
    <w:tbl>
      <w:tblPr>
        <w:tblStyle w:val="18"/>
        <w:tblW w:w="14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07"/>
        <w:gridCol w:w="1665"/>
        <w:gridCol w:w="1187"/>
        <w:gridCol w:w="2323"/>
        <w:gridCol w:w="945"/>
        <w:gridCol w:w="4710"/>
        <w:gridCol w:w="1635"/>
      </w:tblGrid>
      <w:tr w14:paraId="2D44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61" w:type="dxa"/>
            <w:vAlign w:val="center"/>
          </w:tcPr>
          <w:p w14:paraId="60C04354">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序号</w:t>
            </w:r>
          </w:p>
        </w:tc>
        <w:tc>
          <w:tcPr>
            <w:tcW w:w="1107" w:type="dxa"/>
            <w:vAlign w:val="center"/>
          </w:tcPr>
          <w:p w14:paraId="5E4DB1BA">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检查类别</w:t>
            </w:r>
          </w:p>
        </w:tc>
        <w:tc>
          <w:tcPr>
            <w:tcW w:w="1665" w:type="dxa"/>
            <w:vAlign w:val="center"/>
          </w:tcPr>
          <w:p w14:paraId="0080A39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方正黑体_GBK" w:cs="Times New Roman"/>
                <w:sz w:val="18"/>
                <w:szCs w:val="18"/>
              </w:rPr>
              <w:t>检查事项</w:t>
            </w:r>
          </w:p>
        </w:tc>
        <w:tc>
          <w:tcPr>
            <w:tcW w:w="1187" w:type="dxa"/>
            <w:vAlign w:val="center"/>
          </w:tcPr>
          <w:p w14:paraId="6943C27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事项类别</w:t>
            </w:r>
          </w:p>
        </w:tc>
        <w:tc>
          <w:tcPr>
            <w:tcW w:w="2323" w:type="dxa"/>
            <w:vAlign w:val="center"/>
          </w:tcPr>
          <w:p w14:paraId="46B6F0CC">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检查依据</w:t>
            </w:r>
          </w:p>
        </w:tc>
        <w:tc>
          <w:tcPr>
            <w:tcW w:w="945" w:type="dxa"/>
            <w:vAlign w:val="center"/>
          </w:tcPr>
          <w:p w14:paraId="016AE2E4">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检查</w:t>
            </w:r>
          </w:p>
          <w:p w14:paraId="23E4C876">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主体</w:t>
            </w:r>
          </w:p>
        </w:tc>
        <w:tc>
          <w:tcPr>
            <w:tcW w:w="4710" w:type="dxa"/>
            <w:vAlign w:val="center"/>
          </w:tcPr>
          <w:p w14:paraId="24E40A33">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检查内容</w:t>
            </w:r>
          </w:p>
        </w:tc>
        <w:tc>
          <w:tcPr>
            <w:tcW w:w="1635" w:type="dxa"/>
            <w:vAlign w:val="center"/>
          </w:tcPr>
          <w:p w14:paraId="3B892A57">
            <w:pPr>
              <w:keepNext w:val="0"/>
              <w:keepLines w:val="0"/>
              <w:suppressLineNumbers w:val="0"/>
              <w:overflowPunct w:val="0"/>
              <w:adjustRightInd w:val="0"/>
              <w:snapToGrid w:val="0"/>
              <w:spacing w:before="0" w:beforeAutospacing="0" w:after="0" w:afterAutospacing="0"/>
              <w:ind w:left="0" w:right="0"/>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检查方式</w:t>
            </w:r>
          </w:p>
        </w:tc>
      </w:tr>
      <w:tr w14:paraId="6DB3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61" w:type="dxa"/>
            <w:vMerge w:val="restart"/>
            <w:vAlign w:val="center"/>
          </w:tcPr>
          <w:p w14:paraId="2D3261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p>
        </w:tc>
        <w:tc>
          <w:tcPr>
            <w:tcW w:w="1107" w:type="dxa"/>
            <w:vMerge w:val="restart"/>
            <w:vAlign w:val="center"/>
          </w:tcPr>
          <w:p w14:paraId="48EDCA8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服务质量安全检查</w:t>
            </w:r>
          </w:p>
        </w:tc>
        <w:tc>
          <w:tcPr>
            <w:tcW w:w="1665" w:type="dxa"/>
            <w:vAlign w:val="center"/>
          </w:tcPr>
          <w:p w14:paraId="53D1E3A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安全标志使用情况的检查</w:t>
            </w:r>
          </w:p>
        </w:tc>
        <w:tc>
          <w:tcPr>
            <w:tcW w:w="1187" w:type="dxa"/>
            <w:vMerge w:val="restart"/>
            <w:vAlign w:val="center"/>
          </w:tcPr>
          <w:p w14:paraId="78F8208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重点检查</w:t>
            </w:r>
          </w:p>
          <w:p w14:paraId="08CBD7A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事项</w:t>
            </w:r>
          </w:p>
        </w:tc>
        <w:tc>
          <w:tcPr>
            <w:tcW w:w="2323" w:type="dxa"/>
            <w:vMerge w:val="restart"/>
            <w:vAlign w:val="center"/>
          </w:tcPr>
          <w:p w14:paraId="445E229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《中华人民共和国老年人权益保障法》</w:t>
            </w:r>
          </w:p>
          <w:p w14:paraId="1732513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《中华人民共和国安全生产法》</w:t>
            </w:r>
          </w:p>
          <w:p w14:paraId="46F8AA0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《重庆市老年人权益保障条例》</w:t>
            </w:r>
          </w:p>
          <w:p w14:paraId="29888EF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《养老机构管理办法》</w:t>
            </w:r>
          </w:p>
          <w:p w14:paraId="16B6A17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《养老机构服务安全基本规范》</w:t>
            </w:r>
          </w:p>
          <w:p w14:paraId="334355D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《重庆市养老机构管理办法》</w:t>
            </w:r>
          </w:p>
          <w:p w14:paraId="276534B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restart"/>
            <w:vAlign w:val="center"/>
          </w:tcPr>
          <w:p w14:paraId="39129F5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县民政</w:t>
            </w:r>
            <w:r>
              <w:rPr>
                <w:rFonts w:hint="default" w:ascii="Times New Roman" w:hAnsi="Times New Roman" w:cs="Times New Roman"/>
                <w:sz w:val="18"/>
                <w:szCs w:val="18"/>
                <w:lang w:eastAsia="zh-CN"/>
              </w:rPr>
              <w:t>局</w:t>
            </w:r>
          </w:p>
        </w:tc>
        <w:tc>
          <w:tcPr>
            <w:tcW w:w="4710" w:type="dxa"/>
            <w:vAlign w:val="center"/>
          </w:tcPr>
          <w:p w14:paraId="1065A4E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是否有醒目、规范、易懂的标志标识。</w:t>
            </w:r>
          </w:p>
        </w:tc>
        <w:tc>
          <w:tcPr>
            <w:tcW w:w="1635" w:type="dxa"/>
            <w:vAlign w:val="center"/>
          </w:tcPr>
          <w:p w14:paraId="1C6EAAA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按标准实地检查。</w:t>
            </w:r>
          </w:p>
        </w:tc>
      </w:tr>
      <w:tr w14:paraId="2B78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26AE41C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36C1C5F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5D30D14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养老护理员培训情况的检查</w:t>
            </w:r>
          </w:p>
        </w:tc>
        <w:tc>
          <w:tcPr>
            <w:tcW w:w="1187" w:type="dxa"/>
            <w:vMerge w:val="continue"/>
            <w:vAlign w:val="center"/>
          </w:tcPr>
          <w:p w14:paraId="1843B74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05C9A42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63687B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5DD42DE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定期开展人员培训，新入职养老护理员应接受岗前培训，所有养老护理员须经过专业技能培训合格，符合条件的需持有养老护理员职业技能等级认定证书。</w:t>
            </w:r>
          </w:p>
        </w:tc>
        <w:tc>
          <w:tcPr>
            <w:tcW w:w="1635" w:type="dxa"/>
            <w:vAlign w:val="center"/>
          </w:tcPr>
          <w:p w14:paraId="380A1EE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查看结业证、培训记录，询问养老护理员或对技能考评。</w:t>
            </w:r>
          </w:p>
        </w:tc>
      </w:tr>
      <w:tr w14:paraId="49D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656A9FA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04BC9C0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04D0368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昼夜巡查、交接班制度实施情况的检查</w:t>
            </w:r>
          </w:p>
        </w:tc>
        <w:tc>
          <w:tcPr>
            <w:tcW w:w="1187" w:type="dxa"/>
            <w:vMerge w:val="continue"/>
            <w:vAlign w:val="center"/>
          </w:tcPr>
          <w:p w14:paraId="4774E3A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11D38D8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7431DA6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5659A6D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应制定昼夜巡查、交接班制度，并对检查、服务开展情况进行记录。</w:t>
            </w:r>
          </w:p>
        </w:tc>
        <w:tc>
          <w:tcPr>
            <w:tcW w:w="1635" w:type="dxa"/>
            <w:vAlign w:val="center"/>
          </w:tcPr>
          <w:p w14:paraId="515D96D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查看制度、记录，询问服务人员、老年人。</w:t>
            </w:r>
          </w:p>
        </w:tc>
      </w:tr>
      <w:tr w14:paraId="214A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61" w:type="dxa"/>
            <w:vMerge w:val="continue"/>
            <w:vAlign w:val="center"/>
          </w:tcPr>
          <w:p w14:paraId="29963BC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C45C1C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10BDF52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老年人个人信息和监控内容保密制度实施情况的检查</w:t>
            </w:r>
          </w:p>
        </w:tc>
        <w:tc>
          <w:tcPr>
            <w:tcW w:w="1187" w:type="dxa"/>
            <w:vMerge w:val="continue"/>
            <w:vAlign w:val="center"/>
          </w:tcPr>
          <w:p w14:paraId="4EE991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5224EC8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42D6A19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59D8A96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是否制定老年人个人信息和监控内容保密制度，并予以执行。</w:t>
            </w:r>
          </w:p>
        </w:tc>
        <w:tc>
          <w:tcPr>
            <w:tcW w:w="1635" w:type="dxa"/>
            <w:vAlign w:val="center"/>
          </w:tcPr>
          <w:p w14:paraId="7A64225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查看制度、资料。</w:t>
            </w:r>
          </w:p>
        </w:tc>
      </w:tr>
      <w:tr w14:paraId="1CC2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7C291CE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2AAE654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25DDCA6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防止兜售保健食品、药品措施的检查</w:t>
            </w:r>
          </w:p>
        </w:tc>
        <w:tc>
          <w:tcPr>
            <w:tcW w:w="1187" w:type="dxa"/>
            <w:vMerge w:val="continue"/>
            <w:vAlign w:val="center"/>
          </w:tcPr>
          <w:p w14:paraId="07FC0F0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22F4DFE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0203FE2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10CB69A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机构内是否设有展示柜、销售点，或张贴散发广告等。机构内是否以讲座、展销、健康检查等形式开展销售活动。主管部门或媒体是否接到过老人或相关第三方的有关反映或举报。</w:t>
            </w:r>
          </w:p>
        </w:tc>
        <w:tc>
          <w:tcPr>
            <w:tcW w:w="1635" w:type="dxa"/>
            <w:vAlign w:val="center"/>
          </w:tcPr>
          <w:p w14:paraId="3AF2E0C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查看制度、现场查看、询问老人。</w:t>
            </w:r>
          </w:p>
        </w:tc>
      </w:tr>
      <w:tr w14:paraId="0EEF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4DC4AD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CF839F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63D5410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污染织物单独清洗、消毒、处置情况的检查</w:t>
            </w:r>
          </w:p>
        </w:tc>
        <w:tc>
          <w:tcPr>
            <w:tcW w:w="1187" w:type="dxa"/>
            <w:vMerge w:val="continue"/>
            <w:vAlign w:val="center"/>
          </w:tcPr>
          <w:p w14:paraId="5E26DD8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0096699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03D551F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325794F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被体液、血液、排泄物、尿液、粪便等污染的织物应在指定地点收集，单独且封闭运输，单独清洗，洗涤过程采用消毒－清洗－消毒的顺序，有消毒记录。外包洗涤服务的机构，外包服务协议应遵守此要求。</w:t>
            </w:r>
          </w:p>
        </w:tc>
        <w:tc>
          <w:tcPr>
            <w:tcW w:w="1635" w:type="dxa"/>
            <w:vAlign w:val="center"/>
          </w:tcPr>
          <w:p w14:paraId="5EE2F61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现场查看、查看消毒记录、询问服务人员。</w:t>
            </w:r>
          </w:p>
        </w:tc>
      </w:tr>
      <w:tr w14:paraId="15A7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2FD0C9F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5BA33A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29E4F9C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老年人生活、活动区域禁止吸烟情况的检查</w:t>
            </w:r>
          </w:p>
        </w:tc>
        <w:tc>
          <w:tcPr>
            <w:tcW w:w="1187" w:type="dxa"/>
            <w:vMerge w:val="continue"/>
            <w:vAlign w:val="center"/>
          </w:tcPr>
          <w:p w14:paraId="374E869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20A490C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71E3D40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628CE9B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老年人生活、活动区域包括居室、就餐空间、活动空间等室内场所和室外老年人集中活动区域设有禁烟标识。在起居室无卧床吸烟现象。</w:t>
            </w:r>
          </w:p>
        </w:tc>
        <w:tc>
          <w:tcPr>
            <w:tcW w:w="1635" w:type="dxa"/>
            <w:vAlign w:val="center"/>
          </w:tcPr>
          <w:p w14:paraId="4F5F15F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现场查看、查看禁烟标识、询问老人及服务人员。</w:t>
            </w:r>
          </w:p>
        </w:tc>
      </w:tr>
      <w:tr w14:paraId="529E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661" w:type="dxa"/>
            <w:vMerge w:val="restart"/>
            <w:vAlign w:val="center"/>
          </w:tcPr>
          <w:p w14:paraId="4C85C8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1</w:t>
            </w:r>
          </w:p>
        </w:tc>
        <w:tc>
          <w:tcPr>
            <w:tcW w:w="1107" w:type="dxa"/>
            <w:vMerge w:val="restart"/>
            <w:vAlign w:val="center"/>
          </w:tcPr>
          <w:p w14:paraId="00F2F6F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服务质量安全检查</w:t>
            </w:r>
          </w:p>
        </w:tc>
        <w:tc>
          <w:tcPr>
            <w:tcW w:w="1665" w:type="dxa"/>
            <w:vAlign w:val="center"/>
          </w:tcPr>
          <w:p w14:paraId="339C89C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入住养老机构服务安全风险评估情况的检查</w:t>
            </w:r>
          </w:p>
        </w:tc>
        <w:tc>
          <w:tcPr>
            <w:tcW w:w="1187" w:type="dxa"/>
            <w:vMerge w:val="restart"/>
            <w:vAlign w:val="center"/>
          </w:tcPr>
          <w:p w14:paraId="739448F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重点检查</w:t>
            </w:r>
          </w:p>
          <w:p w14:paraId="50C29ED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事项</w:t>
            </w:r>
          </w:p>
        </w:tc>
        <w:tc>
          <w:tcPr>
            <w:tcW w:w="2323" w:type="dxa"/>
            <w:vMerge w:val="restart"/>
            <w:vAlign w:val="center"/>
          </w:tcPr>
          <w:p w14:paraId="2196532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《中华人民共和国老年人权益保障法》</w:t>
            </w:r>
          </w:p>
          <w:p w14:paraId="0077810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《中华人民共和国安全生产法》</w:t>
            </w:r>
          </w:p>
          <w:p w14:paraId="015CD50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《重庆市老年人权益保障条例》</w:t>
            </w:r>
          </w:p>
          <w:p w14:paraId="57D00B9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《养老机构管理办法》</w:t>
            </w:r>
          </w:p>
          <w:p w14:paraId="6B04CB7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《养老机构服务安全基本规范》</w:t>
            </w:r>
          </w:p>
          <w:p w14:paraId="46F1ADE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《重庆市养老机构管理办法》</w:t>
            </w:r>
          </w:p>
        </w:tc>
        <w:tc>
          <w:tcPr>
            <w:tcW w:w="945" w:type="dxa"/>
            <w:vMerge w:val="restart"/>
            <w:vAlign w:val="center"/>
          </w:tcPr>
          <w:p w14:paraId="19EA0C6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县民政</w:t>
            </w:r>
            <w:r>
              <w:rPr>
                <w:rFonts w:hint="default" w:ascii="Times New Roman" w:hAnsi="Times New Roman" w:cs="Times New Roman"/>
                <w:sz w:val="18"/>
                <w:szCs w:val="18"/>
                <w:lang w:eastAsia="zh-CN"/>
              </w:rPr>
              <w:t>局</w:t>
            </w:r>
          </w:p>
          <w:p w14:paraId="2A7076E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69BCD3E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采用科学服务安全风险评估量表开展入院老年人综合评估，老人身体健康状况发生重大变化时即时开展评估，应保证每年至少开展一次阶段性评估。根据不同风险的等级制定采取针对性防护措施，制定照护计划应充分考虑风险等级。</w:t>
            </w:r>
          </w:p>
        </w:tc>
        <w:tc>
          <w:tcPr>
            <w:tcW w:w="1635" w:type="dxa"/>
            <w:vAlign w:val="center"/>
          </w:tcPr>
          <w:p w14:paraId="462856F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查看评估记录。</w:t>
            </w:r>
          </w:p>
        </w:tc>
      </w:tr>
      <w:tr w14:paraId="7E84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61" w:type="dxa"/>
            <w:vMerge w:val="continue"/>
            <w:vAlign w:val="center"/>
          </w:tcPr>
          <w:p w14:paraId="0125800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0E7E50C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5AEE334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防噎食措施的检查</w:t>
            </w:r>
          </w:p>
        </w:tc>
        <w:tc>
          <w:tcPr>
            <w:tcW w:w="1187" w:type="dxa"/>
            <w:vMerge w:val="continue"/>
            <w:vAlign w:val="center"/>
          </w:tcPr>
          <w:p w14:paraId="376835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1687B2B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0A1F09A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024ABDD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应制定服务操作手册或流程，并予以执行。制定应急处理方案和流程。相关风险发生处置记录。</w:t>
            </w:r>
          </w:p>
        </w:tc>
        <w:tc>
          <w:tcPr>
            <w:tcW w:w="1635" w:type="dxa"/>
            <w:vAlign w:val="center"/>
          </w:tcPr>
          <w:p w14:paraId="0A15DEB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现场查看老人、查看照护记录、询问服务人员。</w:t>
            </w:r>
          </w:p>
        </w:tc>
      </w:tr>
      <w:tr w14:paraId="4180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61" w:type="dxa"/>
            <w:vMerge w:val="continue"/>
            <w:vAlign w:val="center"/>
          </w:tcPr>
          <w:p w14:paraId="64FB93D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3076C6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00990F1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防食品药品误食措施的检查</w:t>
            </w:r>
          </w:p>
        </w:tc>
        <w:tc>
          <w:tcPr>
            <w:tcW w:w="1187" w:type="dxa"/>
            <w:vMerge w:val="continue"/>
            <w:vAlign w:val="center"/>
          </w:tcPr>
          <w:p w14:paraId="3B08E2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01A227C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25E1F9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27EF95D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随机抽查老人保存食品，照护记录应有定期检查清理记录，应制定服务操作手册或流程，并予以执行。有服药管理制度。有食品药品误食应急处理流程和报告制度。有情况报告及处理记录。与老人或相关第三方签订服药管理协议。服务人员摆药发药“三查八对”，有药品发放登记表。</w:t>
            </w:r>
          </w:p>
        </w:tc>
        <w:tc>
          <w:tcPr>
            <w:tcW w:w="1635" w:type="dxa"/>
            <w:vAlign w:val="center"/>
          </w:tcPr>
          <w:p w14:paraId="1D57089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查看制度、流程、现场提问。</w:t>
            </w:r>
          </w:p>
        </w:tc>
      </w:tr>
      <w:tr w14:paraId="4495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continue"/>
            <w:vAlign w:val="center"/>
          </w:tcPr>
          <w:p w14:paraId="6E0342E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415FD6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1B7F94D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防压疮措施的检查</w:t>
            </w:r>
          </w:p>
        </w:tc>
        <w:tc>
          <w:tcPr>
            <w:tcW w:w="1187" w:type="dxa"/>
            <w:vMerge w:val="continue"/>
            <w:vAlign w:val="center"/>
          </w:tcPr>
          <w:p w14:paraId="54D13FB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1A7661D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023D767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6A62BA0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应建立翻身记录表。床单元环境检查记录。照护记录应有定时检查记录。应制定服务操作手册或流程，并予以执行。</w:t>
            </w:r>
          </w:p>
        </w:tc>
        <w:tc>
          <w:tcPr>
            <w:tcW w:w="1635" w:type="dxa"/>
            <w:vAlign w:val="center"/>
          </w:tcPr>
          <w:p w14:paraId="1A07DBA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现场查看老人、查看记录。</w:t>
            </w:r>
          </w:p>
        </w:tc>
      </w:tr>
      <w:tr w14:paraId="2406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61" w:type="dxa"/>
            <w:vMerge w:val="continue"/>
            <w:vAlign w:val="center"/>
          </w:tcPr>
          <w:p w14:paraId="5A49275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5179CE5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31DBF3D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防烫伤措施的检查</w:t>
            </w:r>
          </w:p>
        </w:tc>
        <w:tc>
          <w:tcPr>
            <w:tcW w:w="1187" w:type="dxa"/>
            <w:vMerge w:val="continue"/>
            <w:vAlign w:val="center"/>
          </w:tcPr>
          <w:p w14:paraId="5DB5DD3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6763962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7187641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6393A63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制定服务操作手册或流程，并予以执行。开水炉等高温设施设备避免放置在走廊、公共卫生间、单元起居厅等老人易发生直接接触的位置。有高温防烫警告标志标识。使用取暖物的，服务人员应牢记相关注意事项和记录。</w:t>
            </w:r>
          </w:p>
        </w:tc>
        <w:tc>
          <w:tcPr>
            <w:tcW w:w="1635" w:type="dxa"/>
            <w:vAlign w:val="center"/>
          </w:tcPr>
          <w:p w14:paraId="3CD97A2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现场查看、询问服务人员。</w:t>
            </w:r>
          </w:p>
        </w:tc>
      </w:tr>
      <w:tr w14:paraId="545C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04C50B3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5D4907F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13FA005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防坠床措施的检查</w:t>
            </w:r>
          </w:p>
        </w:tc>
        <w:tc>
          <w:tcPr>
            <w:tcW w:w="1187" w:type="dxa"/>
            <w:vMerge w:val="continue"/>
            <w:vAlign w:val="center"/>
          </w:tcPr>
          <w:p w14:paraId="0B093C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21798D0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F3E553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7AD768C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应制定服务操作手册或流程，并予以执行。有巡查记录，报告及处理记录。设置相关防范设备，如离床感应系统。床单元环境检查记录。</w:t>
            </w:r>
          </w:p>
        </w:tc>
        <w:tc>
          <w:tcPr>
            <w:tcW w:w="1635" w:type="dxa"/>
            <w:vAlign w:val="center"/>
          </w:tcPr>
          <w:p w14:paraId="307F1CF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现场查看、查看制度、询问服务人员。</w:t>
            </w:r>
          </w:p>
        </w:tc>
      </w:tr>
      <w:tr w14:paraId="312F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61" w:type="dxa"/>
            <w:vMerge w:val="restart"/>
            <w:vAlign w:val="center"/>
          </w:tcPr>
          <w:p w14:paraId="01B560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p>
        </w:tc>
        <w:tc>
          <w:tcPr>
            <w:tcW w:w="1107" w:type="dxa"/>
            <w:vMerge w:val="restart"/>
            <w:vAlign w:val="center"/>
          </w:tcPr>
          <w:p w14:paraId="769B67E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服务质量安全检查</w:t>
            </w:r>
          </w:p>
        </w:tc>
        <w:tc>
          <w:tcPr>
            <w:tcW w:w="1665" w:type="dxa"/>
            <w:vAlign w:val="center"/>
          </w:tcPr>
          <w:p w14:paraId="76BE368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防跌倒措施的检查</w:t>
            </w:r>
          </w:p>
        </w:tc>
        <w:tc>
          <w:tcPr>
            <w:tcW w:w="1187" w:type="dxa"/>
            <w:vMerge w:val="restart"/>
            <w:vAlign w:val="center"/>
          </w:tcPr>
          <w:p w14:paraId="49EBB9C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重点检查</w:t>
            </w:r>
          </w:p>
          <w:p w14:paraId="5DF08E0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事项</w:t>
            </w:r>
          </w:p>
        </w:tc>
        <w:tc>
          <w:tcPr>
            <w:tcW w:w="2323" w:type="dxa"/>
            <w:vMerge w:val="restart"/>
            <w:vAlign w:val="center"/>
          </w:tcPr>
          <w:p w14:paraId="7AAFBDB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《中华人民共和国老年人权益保障法》</w:t>
            </w:r>
          </w:p>
          <w:p w14:paraId="095AAB5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《中华人民共和国安全生产法》</w:t>
            </w:r>
          </w:p>
          <w:p w14:paraId="0208C4B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《重庆市老年人权益保障条例》</w:t>
            </w:r>
          </w:p>
          <w:p w14:paraId="43B867B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《养老机构管理办法》</w:t>
            </w:r>
          </w:p>
          <w:p w14:paraId="4D3039F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《养老机构服务安全基本规范》</w:t>
            </w:r>
          </w:p>
          <w:p w14:paraId="55B3AAF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《重庆市养老机构管理办法》</w:t>
            </w:r>
          </w:p>
        </w:tc>
        <w:tc>
          <w:tcPr>
            <w:tcW w:w="945" w:type="dxa"/>
            <w:vMerge w:val="restart"/>
            <w:vAlign w:val="center"/>
          </w:tcPr>
          <w:p w14:paraId="479E177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县民政</w:t>
            </w:r>
            <w:r>
              <w:rPr>
                <w:rFonts w:hint="default" w:ascii="Times New Roman" w:hAnsi="Times New Roman" w:cs="Times New Roman"/>
                <w:sz w:val="18"/>
                <w:szCs w:val="18"/>
                <w:lang w:eastAsia="zh-CN"/>
              </w:rPr>
              <w:t>局</w:t>
            </w:r>
          </w:p>
        </w:tc>
        <w:tc>
          <w:tcPr>
            <w:tcW w:w="4710" w:type="dxa"/>
            <w:vAlign w:val="center"/>
          </w:tcPr>
          <w:p w14:paraId="64FA959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保持地面干燥、无障碍物，地面保洁等清洁服务实施前及过程中应放置安全标志。应制定服务操作手册或流程，并予以执行。配备一定数量助行器。相关标识规范使用放置。</w:t>
            </w:r>
          </w:p>
        </w:tc>
        <w:tc>
          <w:tcPr>
            <w:tcW w:w="1635" w:type="dxa"/>
            <w:vAlign w:val="center"/>
          </w:tcPr>
          <w:p w14:paraId="283A9EA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现场查看、询问服务人员。</w:t>
            </w:r>
          </w:p>
        </w:tc>
      </w:tr>
      <w:tr w14:paraId="7006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61" w:type="dxa"/>
            <w:vMerge w:val="continue"/>
            <w:vAlign w:val="center"/>
          </w:tcPr>
          <w:p w14:paraId="6181D6E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B0C7AC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25E3148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防他伤和自伤措施的检查</w:t>
            </w:r>
          </w:p>
        </w:tc>
        <w:tc>
          <w:tcPr>
            <w:tcW w:w="1187" w:type="dxa"/>
            <w:vMerge w:val="continue"/>
            <w:vAlign w:val="center"/>
          </w:tcPr>
          <w:p w14:paraId="2FFC476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288F92F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0214D39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09B2509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应专人管理易燃易爆、有毒有害、尖锐物品以及吸烟火种。有应急处理方案和流程。应有报告和处理记录。告知第三方应有相关记录。</w:t>
            </w:r>
          </w:p>
        </w:tc>
        <w:tc>
          <w:tcPr>
            <w:tcW w:w="1635" w:type="dxa"/>
            <w:vAlign w:val="center"/>
          </w:tcPr>
          <w:p w14:paraId="628E0E3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现场查看、查看制度、记录。</w:t>
            </w:r>
          </w:p>
        </w:tc>
      </w:tr>
      <w:tr w14:paraId="2570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61" w:type="dxa"/>
            <w:vMerge w:val="continue"/>
            <w:vAlign w:val="center"/>
          </w:tcPr>
          <w:p w14:paraId="375F4B9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04AC572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40639C3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防走失措施的检查</w:t>
            </w:r>
          </w:p>
        </w:tc>
        <w:tc>
          <w:tcPr>
            <w:tcW w:w="1187" w:type="dxa"/>
            <w:vMerge w:val="continue"/>
            <w:vAlign w:val="center"/>
          </w:tcPr>
          <w:p w14:paraId="440BFF6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0EEBAC4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A74C02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11D9A92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应有巡查记录。交接班记录是否有观察记录。应有老年人办理外出手续记录。</w:t>
            </w:r>
          </w:p>
        </w:tc>
        <w:tc>
          <w:tcPr>
            <w:tcW w:w="1635" w:type="dxa"/>
            <w:vAlign w:val="center"/>
          </w:tcPr>
          <w:p w14:paraId="50A7C05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查看巡查、交接班及老人外出记录。</w:t>
            </w:r>
          </w:p>
        </w:tc>
      </w:tr>
      <w:tr w14:paraId="05F2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1" w:type="dxa"/>
            <w:vMerge w:val="continue"/>
            <w:vAlign w:val="center"/>
          </w:tcPr>
          <w:p w14:paraId="4A61388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31A1387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7145854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防文娱活动意外措施的检查</w:t>
            </w:r>
          </w:p>
        </w:tc>
        <w:tc>
          <w:tcPr>
            <w:tcW w:w="1187" w:type="dxa"/>
            <w:vMerge w:val="continue"/>
            <w:vAlign w:val="center"/>
          </w:tcPr>
          <w:p w14:paraId="6D4F493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502D833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007CDDC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6769572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对活动场所进行地面防滑、墙壁和家具边角防护处理，应制定服务操作手册或流程，并予以执行。</w:t>
            </w:r>
          </w:p>
        </w:tc>
        <w:tc>
          <w:tcPr>
            <w:tcW w:w="1635" w:type="dxa"/>
            <w:vAlign w:val="center"/>
          </w:tcPr>
          <w:p w14:paraId="53FB3A8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现场查看、询问服务人员。</w:t>
            </w:r>
          </w:p>
        </w:tc>
      </w:tr>
      <w:tr w14:paraId="447A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1" w:type="dxa"/>
            <w:vMerge w:val="continue"/>
            <w:vAlign w:val="center"/>
          </w:tcPr>
          <w:p w14:paraId="5C3A634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11B2F6F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3213F75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服务安全风险防范评价工作的检查</w:t>
            </w:r>
          </w:p>
        </w:tc>
        <w:tc>
          <w:tcPr>
            <w:tcW w:w="1187" w:type="dxa"/>
            <w:vMerge w:val="continue"/>
            <w:vAlign w:val="center"/>
          </w:tcPr>
          <w:p w14:paraId="3FE0401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1E9119E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2663C5A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7ED9617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机构自评或委托相关专业机构开展情况。</w:t>
            </w:r>
          </w:p>
        </w:tc>
        <w:tc>
          <w:tcPr>
            <w:tcW w:w="1635" w:type="dxa"/>
            <w:vAlign w:val="center"/>
          </w:tcPr>
          <w:p w14:paraId="49A8CDC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查看评价报告。</w:t>
            </w:r>
          </w:p>
        </w:tc>
      </w:tr>
      <w:tr w14:paraId="10B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1" w:type="dxa"/>
            <w:vMerge w:val="continue"/>
            <w:vAlign w:val="center"/>
          </w:tcPr>
          <w:p w14:paraId="162C324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2E7E951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497E969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安全隐患排查整改情况的检查</w:t>
            </w:r>
          </w:p>
        </w:tc>
        <w:tc>
          <w:tcPr>
            <w:tcW w:w="1187" w:type="dxa"/>
            <w:vMerge w:val="continue"/>
            <w:vAlign w:val="center"/>
          </w:tcPr>
          <w:p w14:paraId="37E6661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0345583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3AFB610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0F46C6C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应有整改措施报告和记录。</w:t>
            </w:r>
          </w:p>
        </w:tc>
        <w:tc>
          <w:tcPr>
            <w:tcW w:w="1635" w:type="dxa"/>
            <w:vAlign w:val="center"/>
          </w:tcPr>
          <w:p w14:paraId="7AB247A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查看整改措施、报告。</w:t>
            </w:r>
          </w:p>
        </w:tc>
      </w:tr>
      <w:tr w14:paraId="0CA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61" w:type="dxa"/>
            <w:vMerge w:val="continue"/>
            <w:vAlign w:val="center"/>
          </w:tcPr>
          <w:p w14:paraId="3A9959D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1107" w:type="dxa"/>
            <w:vMerge w:val="continue"/>
            <w:vAlign w:val="center"/>
          </w:tcPr>
          <w:p w14:paraId="02C55F1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3766091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安全教育开展情况的检查</w:t>
            </w:r>
          </w:p>
        </w:tc>
        <w:tc>
          <w:tcPr>
            <w:tcW w:w="1187" w:type="dxa"/>
            <w:vMerge w:val="continue"/>
            <w:vAlign w:val="center"/>
          </w:tcPr>
          <w:p w14:paraId="5AC05A5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4E4B0F0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A9AB9B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5843251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应制定教育计划，并予以执行。查看培训教程是否合理。应有培训记录。有安全教育记录和考核试题。应有开展安全宣传教育记录、安全注意事项文本。</w:t>
            </w:r>
          </w:p>
        </w:tc>
        <w:tc>
          <w:tcPr>
            <w:tcW w:w="1635" w:type="dxa"/>
            <w:vAlign w:val="center"/>
          </w:tcPr>
          <w:p w14:paraId="5A55904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查看文本、记录、询问老人。</w:t>
            </w:r>
          </w:p>
        </w:tc>
      </w:tr>
      <w:tr w14:paraId="4EB1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61" w:type="dxa"/>
            <w:vAlign w:val="center"/>
          </w:tcPr>
          <w:p w14:paraId="0CA51F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2</w:t>
            </w:r>
          </w:p>
        </w:tc>
        <w:tc>
          <w:tcPr>
            <w:tcW w:w="1107" w:type="dxa"/>
            <w:vMerge w:val="restart"/>
            <w:vAlign w:val="center"/>
          </w:tcPr>
          <w:p w14:paraId="5545E86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资金安全监督检查</w:t>
            </w:r>
          </w:p>
        </w:tc>
        <w:tc>
          <w:tcPr>
            <w:tcW w:w="1665" w:type="dxa"/>
            <w:vAlign w:val="center"/>
          </w:tcPr>
          <w:p w14:paraId="3A11D86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涉嫌非法集资行为的检查</w:t>
            </w:r>
          </w:p>
        </w:tc>
        <w:tc>
          <w:tcPr>
            <w:tcW w:w="1187" w:type="dxa"/>
            <w:vMerge w:val="restart"/>
            <w:vAlign w:val="center"/>
          </w:tcPr>
          <w:p w14:paraId="7FF395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一般检查</w:t>
            </w:r>
          </w:p>
          <w:p w14:paraId="55BF088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事项</w:t>
            </w:r>
          </w:p>
          <w:p w14:paraId="3BF913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restart"/>
            <w:vAlign w:val="center"/>
          </w:tcPr>
          <w:p w14:paraId="2862801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《防范和处置非法集资条例》</w:t>
            </w:r>
          </w:p>
          <w:p w14:paraId="5F31FA4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《重庆市老年人权益保障条例》</w:t>
            </w:r>
          </w:p>
          <w:p w14:paraId="46AEF7A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《养老机构管理办法》</w:t>
            </w:r>
          </w:p>
        </w:tc>
        <w:tc>
          <w:tcPr>
            <w:tcW w:w="945" w:type="dxa"/>
            <w:vMerge w:val="restart"/>
            <w:vAlign w:val="center"/>
          </w:tcPr>
          <w:p w14:paraId="46CAAEB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县民政</w:t>
            </w:r>
            <w:r>
              <w:rPr>
                <w:rFonts w:hint="default" w:ascii="Times New Roman" w:hAnsi="Times New Roman" w:cs="Times New Roman"/>
                <w:sz w:val="18"/>
                <w:szCs w:val="18"/>
                <w:lang w:eastAsia="zh-CN"/>
              </w:rPr>
              <w:t>局</w:t>
            </w:r>
          </w:p>
          <w:p w14:paraId="75FC96A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581D7EBA">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不应违规收取大额费用，收费是否用于养老服务；不应开展虚假宣传、欺诈宣传；不应以投资回报方式吸纳老年人资金；无非法销售保健品、预售床位等行为。</w:t>
            </w:r>
          </w:p>
        </w:tc>
        <w:tc>
          <w:tcPr>
            <w:tcW w:w="1635" w:type="dxa"/>
            <w:vAlign w:val="center"/>
          </w:tcPr>
          <w:p w14:paraId="0D3B812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查看养老服务合同或协议、询问休养老年人。</w:t>
            </w:r>
          </w:p>
        </w:tc>
      </w:tr>
      <w:tr w14:paraId="7062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61" w:type="dxa"/>
            <w:vAlign w:val="center"/>
          </w:tcPr>
          <w:p w14:paraId="16C71E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p>
        </w:tc>
        <w:tc>
          <w:tcPr>
            <w:tcW w:w="1107" w:type="dxa"/>
            <w:vMerge w:val="continue"/>
            <w:vAlign w:val="center"/>
          </w:tcPr>
          <w:p w14:paraId="6F75DD7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1665" w:type="dxa"/>
            <w:vAlign w:val="center"/>
          </w:tcPr>
          <w:p w14:paraId="5A5FEAB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预收费行为的检查</w:t>
            </w:r>
          </w:p>
        </w:tc>
        <w:tc>
          <w:tcPr>
            <w:tcW w:w="1187" w:type="dxa"/>
            <w:vMerge w:val="continue"/>
            <w:vAlign w:val="center"/>
          </w:tcPr>
          <w:p w14:paraId="3FE3F7E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5EB018A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4B4AA5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208F586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现已收取的保证金或押金金额是否严格按照条例要求不超过老年人月服务费用的6倍，并建立专用账户存储等情况。</w:t>
            </w:r>
          </w:p>
        </w:tc>
        <w:tc>
          <w:tcPr>
            <w:tcW w:w="1635" w:type="dxa"/>
            <w:vAlign w:val="center"/>
          </w:tcPr>
          <w:p w14:paraId="50449F6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查看养老服务合同协议、询问休养老年人。</w:t>
            </w:r>
          </w:p>
        </w:tc>
      </w:tr>
      <w:tr w14:paraId="481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0FFE4F4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w:t>
            </w:r>
          </w:p>
        </w:tc>
        <w:tc>
          <w:tcPr>
            <w:tcW w:w="2772" w:type="dxa"/>
            <w:gridSpan w:val="2"/>
            <w:vAlign w:val="center"/>
          </w:tcPr>
          <w:p w14:paraId="3D8F35E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突发事件应对监督检查</w:t>
            </w:r>
          </w:p>
        </w:tc>
        <w:tc>
          <w:tcPr>
            <w:tcW w:w="1187" w:type="dxa"/>
            <w:vMerge w:val="continue"/>
            <w:vAlign w:val="center"/>
          </w:tcPr>
          <w:p w14:paraId="32EC29F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restart"/>
            <w:vAlign w:val="center"/>
          </w:tcPr>
          <w:p w14:paraId="2639796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《养老机构管理办法》</w:t>
            </w:r>
          </w:p>
          <w:p w14:paraId="4BCD1DA9">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《重庆市养老机构管理办法》</w:t>
            </w:r>
          </w:p>
          <w:p w14:paraId="326225D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6C93DDBC">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061EA42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制定“九防”等突发事件应急预案，并每年至少演练1次，演练应有文字和图片记录。配备应急救援设备、设施，定期开展突发事件应急演练情况的检查。制定突发事件报告程序，并予以执行。</w:t>
            </w:r>
          </w:p>
        </w:tc>
        <w:tc>
          <w:tcPr>
            <w:tcW w:w="1635" w:type="dxa"/>
            <w:vAlign w:val="center"/>
          </w:tcPr>
          <w:p w14:paraId="520688C4">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现场检查、书面检查。</w:t>
            </w:r>
          </w:p>
        </w:tc>
      </w:tr>
      <w:tr w14:paraId="148D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61" w:type="dxa"/>
            <w:vAlign w:val="center"/>
          </w:tcPr>
          <w:p w14:paraId="103456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4</w:t>
            </w:r>
          </w:p>
        </w:tc>
        <w:tc>
          <w:tcPr>
            <w:tcW w:w="2772" w:type="dxa"/>
            <w:gridSpan w:val="2"/>
            <w:vAlign w:val="center"/>
          </w:tcPr>
          <w:p w14:paraId="23C1EE7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从业人员监督检查</w:t>
            </w:r>
          </w:p>
        </w:tc>
        <w:tc>
          <w:tcPr>
            <w:tcW w:w="1187" w:type="dxa"/>
            <w:vMerge w:val="continue"/>
            <w:vAlign w:val="center"/>
          </w:tcPr>
          <w:p w14:paraId="6A14B98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rPr>
            </w:pPr>
          </w:p>
        </w:tc>
        <w:tc>
          <w:tcPr>
            <w:tcW w:w="2323" w:type="dxa"/>
            <w:vMerge w:val="continue"/>
            <w:vAlign w:val="center"/>
          </w:tcPr>
          <w:p w14:paraId="0BA1CDE6">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945" w:type="dxa"/>
            <w:vMerge w:val="continue"/>
            <w:vAlign w:val="center"/>
          </w:tcPr>
          <w:p w14:paraId="5FECC3F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p>
        </w:tc>
        <w:tc>
          <w:tcPr>
            <w:tcW w:w="4710" w:type="dxa"/>
            <w:vAlign w:val="center"/>
          </w:tcPr>
          <w:p w14:paraId="795B7DC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从事医疗、康复、消防等服务的人员应取得相应执业证书或专业资格证书。餐饮人员应持有健康合格证。特种设备管理人员应具备相应上岗资质。</w:t>
            </w:r>
          </w:p>
        </w:tc>
        <w:tc>
          <w:tcPr>
            <w:tcW w:w="1635" w:type="dxa"/>
            <w:vAlign w:val="center"/>
          </w:tcPr>
          <w:p w14:paraId="6A1FDCC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现场检查、书面检查。</w:t>
            </w:r>
          </w:p>
        </w:tc>
      </w:tr>
      <w:tr w14:paraId="4E1F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661" w:type="dxa"/>
            <w:vAlign w:val="center"/>
          </w:tcPr>
          <w:p w14:paraId="1ED1F5A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2772" w:type="dxa"/>
            <w:gridSpan w:val="2"/>
            <w:vAlign w:val="center"/>
          </w:tcPr>
          <w:p w14:paraId="1528A9C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eastAsia="zh-CN"/>
              </w:rPr>
              <w:t>建筑安全、基本消防设施设备</w:t>
            </w:r>
          </w:p>
        </w:tc>
        <w:tc>
          <w:tcPr>
            <w:tcW w:w="1187" w:type="dxa"/>
            <w:vAlign w:val="center"/>
          </w:tcPr>
          <w:p w14:paraId="3656C50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一般检查</w:t>
            </w:r>
          </w:p>
          <w:p w14:paraId="26AA02A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eastAsia="zh-CN"/>
              </w:rPr>
              <w:t>事项</w:t>
            </w:r>
          </w:p>
        </w:tc>
        <w:tc>
          <w:tcPr>
            <w:tcW w:w="2323" w:type="dxa"/>
            <w:vAlign w:val="center"/>
          </w:tcPr>
          <w:p w14:paraId="30CC2FE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《中华人民共和国建筑法》</w:t>
            </w:r>
          </w:p>
          <w:p w14:paraId="2A36825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eastAsia="zh-CN"/>
              </w:rPr>
              <w:t>《中华人民共和国消防法》</w:t>
            </w:r>
          </w:p>
        </w:tc>
        <w:tc>
          <w:tcPr>
            <w:tcW w:w="945" w:type="dxa"/>
            <w:vAlign w:val="center"/>
          </w:tcPr>
          <w:p w14:paraId="7C7EB18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eastAsia="zh-CN"/>
              </w:rPr>
              <w:t>县民政局</w:t>
            </w:r>
          </w:p>
        </w:tc>
        <w:tc>
          <w:tcPr>
            <w:tcW w:w="4710" w:type="dxa"/>
            <w:vAlign w:val="center"/>
          </w:tcPr>
          <w:p w14:paraId="3CCAE567">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eastAsia="zh-CN"/>
              </w:rPr>
              <w:t>取得合法建筑资格，建筑物是否临近滑坡、临江、临岩等情况，建筑物是否改建，建筑物是否存在安全隐患；是否有应急灯、安全出口、安全指示标识，消防设备设施、标识是否合理设置、未超过有效期，消防应急通道是否畅通、是否有消防设备设施检查维修保养记录。</w:t>
            </w:r>
          </w:p>
        </w:tc>
        <w:tc>
          <w:tcPr>
            <w:tcW w:w="1635" w:type="dxa"/>
            <w:vAlign w:val="center"/>
          </w:tcPr>
          <w:p w14:paraId="19C9235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现场检查、书面检查。</w:t>
            </w:r>
          </w:p>
        </w:tc>
      </w:tr>
    </w:tbl>
    <w:p w14:paraId="67D750F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056FD25">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EF1DE01">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6A72E7F">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EA797AA">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0867E1A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sectPr>
          <w:footerReference r:id="rId5" w:type="default"/>
          <w:pgSz w:w="16838" w:h="11906" w:orient="landscape"/>
          <w:pgMar w:top="1587" w:right="2098" w:bottom="1474" w:left="1984" w:header="850" w:footer="992" w:gutter="0"/>
          <w:pgNumType w:fmt="decimal"/>
          <w:cols w:space="0" w:num="1"/>
          <w:rtlGutter w:val="0"/>
          <w:docGrid w:type="lines" w:linePitch="442" w:charSpace="0"/>
        </w:sectPr>
      </w:pPr>
    </w:p>
    <w:p w14:paraId="122B6AED">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3DB7460">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42190A2">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1FDC613">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6107254">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023B986F">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032314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5028E8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360BB65">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454A46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63071E1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2BFFB19">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6B81F3C">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6EECB384">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C599F5F">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37123D5B">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0BCBE6B3">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6B5FF66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553FA75">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F01F792">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E40D1C2">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CA5F4E1">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25A19CF">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CC5AD3C">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17CE452">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3845D8A4">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94E1F3E">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F41936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39CB378B">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2943E29">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0021574">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6B9EBBF3">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AFB93D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47986C6">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6840E650">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6080783">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47B75DE">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8DAF67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391AC295">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582F6DC">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DD75826">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2921C65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3CF5748C">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990C21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165BAAAD">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3C6D7B3C">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AD3EBE4">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79211398">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456D6092">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61D4AD7">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方正黑体_GBK" w:cs="Times New Roman"/>
          <w:sz w:val="32"/>
          <w:szCs w:val="32"/>
          <w:lang w:val="en-US" w:eastAsia="zh-CN"/>
        </w:rPr>
      </w:pPr>
    </w:p>
    <w:p w14:paraId="5564169C">
      <w:pPr>
        <w:pBdr>
          <w:top w:val="single" w:color="auto" w:sz="4" w:space="1"/>
          <w:bottom w:val="single" w:color="auto" w:sz="8" w:space="1"/>
        </w:pBdr>
        <w:ind w:firstLine="280" w:firstLineChars="100"/>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w:t xml:space="preserve">垫江县民政局办公室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18</w:t>
      </w:r>
      <w:r>
        <w:rPr>
          <w:rFonts w:hint="default" w:ascii="Times New Roman" w:hAnsi="Times New Roman" w:cs="Times New Roman"/>
          <w:sz w:val="28"/>
          <w:szCs w:val="28"/>
        </w:rPr>
        <w:t>日印发</w:t>
      </w:r>
    </w:p>
    <w:sectPr>
      <w:footerReference r:id="rId6" w:type="default"/>
      <w:pgSz w:w="11906" w:h="16838"/>
      <w:pgMar w:top="2098" w:right="1474" w:bottom="1984" w:left="1587" w:header="850"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Times New Roman"/>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E39B">
    <w:pPr>
      <w:pStyle w:val="9"/>
      <w:tabs>
        <w:tab w:val="left" w:pos="333"/>
        <w:tab w:val="left" w:pos="354"/>
        <w:tab w:val="left" w:pos="965"/>
      </w:tabs>
      <w:ind w:right="360"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-211455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A08FC">
                          <w:pPr>
                            <w:pStyle w:val="9"/>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65pt;height:144pt;width:144pt;mso-position-horizontal:outside;mso-position-horizontal-relative:margin;mso-wrap-style:none;z-index:251660288;mso-width-relative:page;mso-height-relative:page;" filled="f" stroked="f" coordsize="21600,21600" o:gfxdata="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ERkjr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28EA08FC">
                    <w:pPr>
                      <w:pStyle w:val="9"/>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r>
      <w:rPr>
        <w:rFonts w:hint="eastAsia"/>
        <w:sz w:val="28"/>
        <w:lang w:eastAsia="zh-CN"/>
      </w:rPr>
      <w:tab/>
    </w:r>
    <w:r>
      <w:rPr>
        <w:rFonts w:hint="eastAsia"/>
        <w:sz w:val="28"/>
        <w:lang w:eastAsia="zh-CN"/>
      </w:rPr>
      <w:tab/>
    </w:r>
    <w:r>
      <w:rPr>
        <w:rFonts w:hint="eastAsia"/>
        <w:sz w:val="28"/>
        <w:lang w:eastAsia="zh-CN"/>
      </w:rPr>
      <w:tab/>
    </w:r>
    <w:r>
      <w:rPr>
        <w:rFonts w:hint="eastAsia"/>
        <w:sz w:val="28"/>
      </w:rPr>
      <w:tab/>
    </w:r>
    <w:r>
      <w:rPr>
        <w:rFonts w:hint="eastAsia"/>
        <w:sz w:val="28"/>
      </w:rPr>
      <w:tab/>
    </w:r>
    <w:r>
      <w:rPr>
        <w:rFonts w:hint="eastAsia"/>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B1A4">
    <w:pPr>
      <w:pStyle w:val="9"/>
      <w:tabs>
        <w:tab w:val="left" w:pos="333"/>
        <w:tab w:val="left" w:pos="354"/>
        <w:tab w:val="left" w:pos="965"/>
      </w:tabs>
      <w:ind w:right="360" w:firstLine="360"/>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-211455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6A52">
                          <w:pPr>
                            <w:pStyle w:val="9"/>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65pt;height:144pt;width:144pt;mso-position-horizontal:outside;mso-position-horizontal-relative:margin;mso-wrap-style:none;z-index:251661312;mso-width-relative:page;mso-height-relative:page;" filled="f" stroked="f" coordsize="21600,21600" o:gfxdata="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ERk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9526A52">
                    <w:pPr>
                      <w:pStyle w:val="9"/>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r>
      <w:rPr>
        <w:rFonts w:hint="eastAsia"/>
        <w:sz w:val="28"/>
        <w:lang w:eastAsia="zh-CN"/>
      </w:rPr>
      <w:tab/>
    </w:r>
    <w:r>
      <w:rPr>
        <w:rFonts w:hint="eastAsia"/>
        <w:sz w:val="28"/>
        <w:lang w:eastAsia="zh-CN"/>
      </w:rPr>
      <w:tab/>
    </w:r>
    <w:r>
      <w:rPr>
        <w:rFonts w:hint="eastAsia"/>
        <w:sz w:val="28"/>
        <w:lang w:eastAsia="zh-CN"/>
      </w:rPr>
      <w:tab/>
    </w:r>
    <w:r>
      <w:rPr>
        <w:rFonts w:hint="eastAsia"/>
        <w:sz w:val="28"/>
      </w:rPr>
      <w:tab/>
    </w:r>
    <w:r>
      <w:rPr>
        <w:rFonts w:hint="eastAsia"/>
        <w:sz w:val="28"/>
      </w:rPr>
      <w:tab/>
    </w:r>
    <w:r>
      <w:rPr>
        <w:rFonts w:hint="eastAsia"/>
        <w:sz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1BBF">
    <w:pPr>
      <w:pStyle w:val="9"/>
      <w:tabs>
        <w:tab w:val="left" w:pos="333"/>
        <w:tab w:val="left" w:pos="354"/>
        <w:tab w:val="left" w:pos="965"/>
      </w:tabs>
      <w:ind w:right="360" w:firstLine="360"/>
      <w:rPr>
        <w:sz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-211455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69BDA">
                          <w:pPr>
                            <w:pStyle w:val="9"/>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6.65pt;height:144pt;width:144pt;mso-position-horizontal-relative:margin;mso-wrap-style:none;z-index:251662336;mso-width-relative:page;mso-height-relative:page;" filled="f" stroked="f" coordsize="21600,21600" o:gfxdata="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ERkjr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67D69BDA">
                    <w:pPr>
                      <w:pStyle w:val="9"/>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r>
      <w:rPr>
        <w:rFonts w:hint="eastAsia"/>
        <w:sz w:val="28"/>
        <w:lang w:eastAsia="zh-CN"/>
      </w:rPr>
      <w:tab/>
    </w:r>
    <w:r>
      <w:rPr>
        <w:rFonts w:hint="eastAsia"/>
        <w:sz w:val="28"/>
        <w:lang w:eastAsia="zh-CN"/>
      </w:rPr>
      <w:tab/>
    </w:r>
    <w:r>
      <w:rPr>
        <w:rFonts w:hint="eastAsia"/>
        <w:sz w:val="28"/>
        <w:lang w:eastAsia="zh-CN"/>
      </w:rPr>
      <w:tab/>
    </w:r>
    <w:r>
      <w:rPr>
        <w:rFonts w:hint="eastAsia"/>
        <w:sz w:val="28"/>
      </w:rPr>
      <w:tab/>
    </w:r>
    <w:r>
      <w:rPr>
        <w:rFonts w:hint="eastAsia"/>
        <w:sz w:val="28"/>
      </w:rPr>
      <w:tab/>
    </w:r>
    <w:r>
      <w:rPr>
        <w:rFonts w:hint="eastAsia"/>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BC8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eastAsia="方正小标宋_GBK"/>
        <w:sz w:val="44"/>
        <w:szCs w:val="44"/>
      </w:rPr>
    </w:pPr>
  </w:p>
  <w:p w14:paraId="07D5523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E78B"/>
    <w:multiLevelType w:val="singleLevel"/>
    <w:tmpl w:val="91FCE7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HorizontalSpacing w:val="320"/>
  <w:drawingGridVerticalSpacing w:val="22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mFhZWE3OWQ2MDEwM2EzODVhMzk1MDZlY2UyMjQifQ=="/>
  </w:docVars>
  <w:rsids>
    <w:rsidRoot w:val="3137656E"/>
    <w:rsid w:val="0017439A"/>
    <w:rsid w:val="00490B57"/>
    <w:rsid w:val="006D6F3B"/>
    <w:rsid w:val="0074596D"/>
    <w:rsid w:val="0076413D"/>
    <w:rsid w:val="00790D6D"/>
    <w:rsid w:val="00791660"/>
    <w:rsid w:val="00864F94"/>
    <w:rsid w:val="008B7566"/>
    <w:rsid w:val="00AC0C4D"/>
    <w:rsid w:val="00AC20E9"/>
    <w:rsid w:val="00D57B9D"/>
    <w:rsid w:val="00D64AE1"/>
    <w:rsid w:val="00DA3EA5"/>
    <w:rsid w:val="00E05FBF"/>
    <w:rsid w:val="00E938F8"/>
    <w:rsid w:val="00F523EA"/>
    <w:rsid w:val="00FF56BA"/>
    <w:rsid w:val="01064C9A"/>
    <w:rsid w:val="01A65ED7"/>
    <w:rsid w:val="01BD6172"/>
    <w:rsid w:val="01C20073"/>
    <w:rsid w:val="01C31768"/>
    <w:rsid w:val="01C436B3"/>
    <w:rsid w:val="01C55775"/>
    <w:rsid w:val="020411DA"/>
    <w:rsid w:val="0204567E"/>
    <w:rsid w:val="027120EE"/>
    <w:rsid w:val="02AF383B"/>
    <w:rsid w:val="02BA4D88"/>
    <w:rsid w:val="02BF15A4"/>
    <w:rsid w:val="02D768EE"/>
    <w:rsid w:val="03157416"/>
    <w:rsid w:val="03184D93"/>
    <w:rsid w:val="03203777"/>
    <w:rsid w:val="032633D2"/>
    <w:rsid w:val="03271B39"/>
    <w:rsid w:val="033E4BBF"/>
    <w:rsid w:val="03773C2D"/>
    <w:rsid w:val="03B24C65"/>
    <w:rsid w:val="03E644F5"/>
    <w:rsid w:val="042652DF"/>
    <w:rsid w:val="044E4A09"/>
    <w:rsid w:val="04640655"/>
    <w:rsid w:val="046E64F8"/>
    <w:rsid w:val="04A153D9"/>
    <w:rsid w:val="04A647CA"/>
    <w:rsid w:val="04AC47DB"/>
    <w:rsid w:val="04D31337"/>
    <w:rsid w:val="04E377CC"/>
    <w:rsid w:val="04F31198"/>
    <w:rsid w:val="04FE2C63"/>
    <w:rsid w:val="053F077B"/>
    <w:rsid w:val="057D3E97"/>
    <w:rsid w:val="058707EC"/>
    <w:rsid w:val="05B76E15"/>
    <w:rsid w:val="05D90BCF"/>
    <w:rsid w:val="05FB7140"/>
    <w:rsid w:val="065A1D10"/>
    <w:rsid w:val="06646EA0"/>
    <w:rsid w:val="06A116ED"/>
    <w:rsid w:val="06C54CB0"/>
    <w:rsid w:val="071B4038"/>
    <w:rsid w:val="0782379F"/>
    <w:rsid w:val="07996868"/>
    <w:rsid w:val="07C2421F"/>
    <w:rsid w:val="07DD0873"/>
    <w:rsid w:val="07E31891"/>
    <w:rsid w:val="082239DA"/>
    <w:rsid w:val="083775DB"/>
    <w:rsid w:val="08762705"/>
    <w:rsid w:val="08AF5C17"/>
    <w:rsid w:val="08AF788B"/>
    <w:rsid w:val="0902043D"/>
    <w:rsid w:val="09044FB9"/>
    <w:rsid w:val="095A5F44"/>
    <w:rsid w:val="09895742"/>
    <w:rsid w:val="09AD65FB"/>
    <w:rsid w:val="09E3790D"/>
    <w:rsid w:val="09F95DFF"/>
    <w:rsid w:val="0A00672A"/>
    <w:rsid w:val="0A552C51"/>
    <w:rsid w:val="0A5627EE"/>
    <w:rsid w:val="0A6411CC"/>
    <w:rsid w:val="0A64315D"/>
    <w:rsid w:val="0AC37758"/>
    <w:rsid w:val="0B285B4E"/>
    <w:rsid w:val="0B441E89"/>
    <w:rsid w:val="0B6947A3"/>
    <w:rsid w:val="0B7F1942"/>
    <w:rsid w:val="0BE300B2"/>
    <w:rsid w:val="0C5536A7"/>
    <w:rsid w:val="0CAC0DEC"/>
    <w:rsid w:val="0D0B3D64"/>
    <w:rsid w:val="0D442DD2"/>
    <w:rsid w:val="0D780CCE"/>
    <w:rsid w:val="0DDA7292"/>
    <w:rsid w:val="0DDC64D3"/>
    <w:rsid w:val="0DEE1A67"/>
    <w:rsid w:val="0E29415B"/>
    <w:rsid w:val="0E3222C0"/>
    <w:rsid w:val="0E572FD9"/>
    <w:rsid w:val="0E601E8E"/>
    <w:rsid w:val="0E736559"/>
    <w:rsid w:val="0E7B0A75"/>
    <w:rsid w:val="0E8D3969"/>
    <w:rsid w:val="0E9D6C3E"/>
    <w:rsid w:val="0ED14B39"/>
    <w:rsid w:val="0EDD11E2"/>
    <w:rsid w:val="0EEF4405"/>
    <w:rsid w:val="0F3155D8"/>
    <w:rsid w:val="0F827BE2"/>
    <w:rsid w:val="101B43D4"/>
    <w:rsid w:val="104B091B"/>
    <w:rsid w:val="106223E3"/>
    <w:rsid w:val="10C3249E"/>
    <w:rsid w:val="10CA5CE4"/>
    <w:rsid w:val="10CD5E81"/>
    <w:rsid w:val="11366ED6"/>
    <w:rsid w:val="114A29CE"/>
    <w:rsid w:val="1173782E"/>
    <w:rsid w:val="119D0D03"/>
    <w:rsid w:val="11AB78C4"/>
    <w:rsid w:val="11CC7D75"/>
    <w:rsid w:val="11EE7856"/>
    <w:rsid w:val="12011292"/>
    <w:rsid w:val="12132537"/>
    <w:rsid w:val="125D0492"/>
    <w:rsid w:val="127A2C5D"/>
    <w:rsid w:val="131016E2"/>
    <w:rsid w:val="131B2827"/>
    <w:rsid w:val="131E5E73"/>
    <w:rsid w:val="134358DA"/>
    <w:rsid w:val="135D406B"/>
    <w:rsid w:val="13C702B9"/>
    <w:rsid w:val="13E175CD"/>
    <w:rsid w:val="140E2549"/>
    <w:rsid w:val="14217500"/>
    <w:rsid w:val="143F42F3"/>
    <w:rsid w:val="14992283"/>
    <w:rsid w:val="14A405FA"/>
    <w:rsid w:val="14E12B21"/>
    <w:rsid w:val="158521DA"/>
    <w:rsid w:val="15D8055B"/>
    <w:rsid w:val="15FE56FF"/>
    <w:rsid w:val="164D7377"/>
    <w:rsid w:val="1665608A"/>
    <w:rsid w:val="168461FE"/>
    <w:rsid w:val="16B831D5"/>
    <w:rsid w:val="173739A8"/>
    <w:rsid w:val="1752258F"/>
    <w:rsid w:val="17B9616B"/>
    <w:rsid w:val="17C56129"/>
    <w:rsid w:val="17F9141B"/>
    <w:rsid w:val="18194E5B"/>
    <w:rsid w:val="1857436B"/>
    <w:rsid w:val="18846FC8"/>
    <w:rsid w:val="18BB389F"/>
    <w:rsid w:val="18D07C94"/>
    <w:rsid w:val="18DF7E53"/>
    <w:rsid w:val="18FE652B"/>
    <w:rsid w:val="190C61BF"/>
    <w:rsid w:val="19322678"/>
    <w:rsid w:val="193A32DB"/>
    <w:rsid w:val="1977452F"/>
    <w:rsid w:val="19F704E3"/>
    <w:rsid w:val="1AE96A11"/>
    <w:rsid w:val="1AEB2C3A"/>
    <w:rsid w:val="1B106E04"/>
    <w:rsid w:val="1B1F585B"/>
    <w:rsid w:val="1B903686"/>
    <w:rsid w:val="1BB657A2"/>
    <w:rsid w:val="1BCA1D07"/>
    <w:rsid w:val="1C286DBE"/>
    <w:rsid w:val="1C770EE0"/>
    <w:rsid w:val="1CD51AF8"/>
    <w:rsid w:val="1D135AC2"/>
    <w:rsid w:val="1D275BA2"/>
    <w:rsid w:val="1D4806BC"/>
    <w:rsid w:val="1D7E5172"/>
    <w:rsid w:val="1DE96E93"/>
    <w:rsid w:val="1E380731"/>
    <w:rsid w:val="1E3D1DFA"/>
    <w:rsid w:val="1EDB2542"/>
    <w:rsid w:val="1F1D16D5"/>
    <w:rsid w:val="1F677C24"/>
    <w:rsid w:val="1F784B5D"/>
    <w:rsid w:val="1F805A08"/>
    <w:rsid w:val="1F892A98"/>
    <w:rsid w:val="1F8D3952"/>
    <w:rsid w:val="1FAF67D1"/>
    <w:rsid w:val="1FB02549"/>
    <w:rsid w:val="1FB929EB"/>
    <w:rsid w:val="1FDF0814"/>
    <w:rsid w:val="1FF42436"/>
    <w:rsid w:val="1FFF171B"/>
    <w:rsid w:val="204A677B"/>
    <w:rsid w:val="206261AF"/>
    <w:rsid w:val="20CC6F0F"/>
    <w:rsid w:val="20F2001C"/>
    <w:rsid w:val="211014F1"/>
    <w:rsid w:val="21366A7E"/>
    <w:rsid w:val="21690C01"/>
    <w:rsid w:val="21871AA8"/>
    <w:rsid w:val="21C12E45"/>
    <w:rsid w:val="22087EDE"/>
    <w:rsid w:val="22140AA7"/>
    <w:rsid w:val="223C00C4"/>
    <w:rsid w:val="22617B2B"/>
    <w:rsid w:val="229D2256"/>
    <w:rsid w:val="23133519"/>
    <w:rsid w:val="231B291A"/>
    <w:rsid w:val="23367751"/>
    <w:rsid w:val="233B65CE"/>
    <w:rsid w:val="23563407"/>
    <w:rsid w:val="236002D8"/>
    <w:rsid w:val="23633A21"/>
    <w:rsid w:val="23650768"/>
    <w:rsid w:val="23767606"/>
    <w:rsid w:val="239C739F"/>
    <w:rsid w:val="23A007F3"/>
    <w:rsid w:val="23B81AA9"/>
    <w:rsid w:val="23C30EB3"/>
    <w:rsid w:val="2406098A"/>
    <w:rsid w:val="242F7EE0"/>
    <w:rsid w:val="244B45EE"/>
    <w:rsid w:val="24977834"/>
    <w:rsid w:val="24C37F0D"/>
    <w:rsid w:val="24E707BB"/>
    <w:rsid w:val="25137802"/>
    <w:rsid w:val="25242366"/>
    <w:rsid w:val="257F7B89"/>
    <w:rsid w:val="25DF7BEE"/>
    <w:rsid w:val="25F25C5C"/>
    <w:rsid w:val="262D48F3"/>
    <w:rsid w:val="26471757"/>
    <w:rsid w:val="264A7435"/>
    <w:rsid w:val="26527EB6"/>
    <w:rsid w:val="26D42A9F"/>
    <w:rsid w:val="27194E78"/>
    <w:rsid w:val="272D20E0"/>
    <w:rsid w:val="273B179F"/>
    <w:rsid w:val="27883C92"/>
    <w:rsid w:val="278C564A"/>
    <w:rsid w:val="27E92788"/>
    <w:rsid w:val="282C2852"/>
    <w:rsid w:val="287F0D0A"/>
    <w:rsid w:val="292C0E92"/>
    <w:rsid w:val="293568E9"/>
    <w:rsid w:val="293A110E"/>
    <w:rsid w:val="294576ED"/>
    <w:rsid w:val="29695C42"/>
    <w:rsid w:val="29752839"/>
    <w:rsid w:val="297B2A1B"/>
    <w:rsid w:val="29817026"/>
    <w:rsid w:val="298E38FB"/>
    <w:rsid w:val="29924DE9"/>
    <w:rsid w:val="299952A1"/>
    <w:rsid w:val="2A1451EB"/>
    <w:rsid w:val="2A4D57CE"/>
    <w:rsid w:val="2AC8356D"/>
    <w:rsid w:val="2AF70DC8"/>
    <w:rsid w:val="2B0674C1"/>
    <w:rsid w:val="2B932756"/>
    <w:rsid w:val="2BAE2033"/>
    <w:rsid w:val="2BCF1FA9"/>
    <w:rsid w:val="2BD31A99"/>
    <w:rsid w:val="2BEA0B91"/>
    <w:rsid w:val="2BF5596C"/>
    <w:rsid w:val="2C043570"/>
    <w:rsid w:val="2C063C1D"/>
    <w:rsid w:val="2C077995"/>
    <w:rsid w:val="2C101DD5"/>
    <w:rsid w:val="2C136339"/>
    <w:rsid w:val="2C1520B2"/>
    <w:rsid w:val="2C5A2723"/>
    <w:rsid w:val="2C984F64"/>
    <w:rsid w:val="2CA61384"/>
    <w:rsid w:val="2CAD3CDB"/>
    <w:rsid w:val="2CC0026E"/>
    <w:rsid w:val="2D665AAE"/>
    <w:rsid w:val="2DA06573"/>
    <w:rsid w:val="2DCF7D6F"/>
    <w:rsid w:val="2DFF0476"/>
    <w:rsid w:val="2E304F81"/>
    <w:rsid w:val="2E7035CF"/>
    <w:rsid w:val="2E9F3EB4"/>
    <w:rsid w:val="2ED8727D"/>
    <w:rsid w:val="2EE92541"/>
    <w:rsid w:val="2F065CE2"/>
    <w:rsid w:val="2F1A353B"/>
    <w:rsid w:val="2F3A598B"/>
    <w:rsid w:val="2F5A6DBC"/>
    <w:rsid w:val="2F8135BA"/>
    <w:rsid w:val="2F9E7071"/>
    <w:rsid w:val="2FC75471"/>
    <w:rsid w:val="2FDD7663"/>
    <w:rsid w:val="2FE2381D"/>
    <w:rsid w:val="2FEA73B1"/>
    <w:rsid w:val="303B7C0D"/>
    <w:rsid w:val="30484BF7"/>
    <w:rsid w:val="30890A59"/>
    <w:rsid w:val="309C4B4F"/>
    <w:rsid w:val="30C714A1"/>
    <w:rsid w:val="30D03DCE"/>
    <w:rsid w:val="30F46B5D"/>
    <w:rsid w:val="3137656E"/>
    <w:rsid w:val="313A6212"/>
    <w:rsid w:val="316A69FC"/>
    <w:rsid w:val="31BF2A89"/>
    <w:rsid w:val="31D9592F"/>
    <w:rsid w:val="32445604"/>
    <w:rsid w:val="326E7E26"/>
    <w:rsid w:val="3276318B"/>
    <w:rsid w:val="329C0475"/>
    <w:rsid w:val="32D210D5"/>
    <w:rsid w:val="32E86094"/>
    <w:rsid w:val="32EB30F1"/>
    <w:rsid w:val="33632BD4"/>
    <w:rsid w:val="33B10912"/>
    <w:rsid w:val="33B45D0C"/>
    <w:rsid w:val="341E2F07"/>
    <w:rsid w:val="34480B4A"/>
    <w:rsid w:val="34596DEA"/>
    <w:rsid w:val="347E742F"/>
    <w:rsid w:val="34A51AF9"/>
    <w:rsid w:val="34AC10D9"/>
    <w:rsid w:val="34C2028A"/>
    <w:rsid w:val="34E63DE8"/>
    <w:rsid w:val="35305866"/>
    <w:rsid w:val="35593D47"/>
    <w:rsid w:val="35D30C5A"/>
    <w:rsid w:val="35F66AB0"/>
    <w:rsid w:val="36202A7A"/>
    <w:rsid w:val="362D7FF8"/>
    <w:rsid w:val="368F2A60"/>
    <w:rsid w:val="36930B8F"/>
    <w:rsid w:val="36C50230"/>
    <w:rsid w:val="370A71B7"/>
    <w:rsid w:val="37461780"/>
    <w:rsid w:val="37465D69"/>
    <w:rsid w:val="37734130"/>
    <w:rsid w:val="37A84C03"/>
    <w:rsid w:val="37BE35FD"/>
    <w:rsid w:val="37D506EA"/>
    <w:rsid w:val="37D66DB2"/>
    <w:rsid w:val="38080991"/>
    <w:rsid w:val="38325A36"/>
    <w:rsid w:val="384517E7"/>
    <w:rsid w:val="384E6C88"/>
    <w:rsid w:val="384F06F9"/>
    <w:rsid w:val="385161C0"/>
    <w:rsid w:val="38BB3F25"/>
    <w:rsid w:val="38C5276A"/>
    <w:rsid w:val="39137979"/>
    <w:rsid w:val="392F4087"/>
    <w:rsid w:val="39317D53"/>
    <w:rsid w:val="393328E5"/>
    <w:rsid w:val="39761CFA"/>
    <w:rsid w:val="398C7AA5"/>
    <w:rsid w:val="3AC84000"/>
    <w:rsid w:val="3ACA4067"/>
    <w:rsid w:val="3AED09BD"/>
    <w:rsid w:val="3B520363"/>
    <w:rsid w:val="3B7D37CF"/>
    <w:rsid w:val="3BD4002F"/>
    <w:rsid w:val="3C7060DA"/>
    <w:rsid w:val="3CA77C1C"/>
    <w:rsid w:val="3CD51A38"/>
    <w:rsid w:val="3D5347E8"/>
    <w:rsid w:val="3D6876EE"/>
    <w:rsid w:val="3D6A7DDF"/>
    <w:rsid w:val="3DD671C7"/>
    <w:rsid w:val="3E0B50C2"/>
    <w:rsid w:val="3E3A5BA6"/>
    <w:rsid w:val="3E5B7AE8"/>
    <w:rsid w:val="3EB20134"/>
    <w:rsid w:val="3F0B7101"/>
    <w:rsid w:val="3F243709"/>
    <w:rsid w:val="3F4975B1"/>
    <w:rsid w:val="3FA96941"/>
    <w:rsid w:val="3FB13E83"/>
    <w:rsid w:val="3FBF43B6"/>
    <w:rsid w:val="3FEC41EA"/>
    <w:rsid w:val="401472CD"/>
    <w:rsid w:val="403326AF"/>
    <w:rsid w:val="403A232C"/>
    <w:rsid w:val="404B5C4A"/>
    <w:rsid w:val="405A40DF"/>
    <w:rsid w:val="406D3E12"/>
    <w:rsid w:val="40736F4F"/>
    <w:rsid w:val="40774F01"/>
    <w:rsid w:val="407F3B46"/>
    <w:rsid w:val="40CD665F"/>
    <w:rsid w:val="40E20083"/>
    <w:rsid w:val="41610106"/>
    <w:rsid w:val="41635215"/>
    <w:rsid w:val="418C0054"/>
    <w:rsid w:val="41FE4420"/>
    <w:rsid w:val="42383FAC"/>
    <w:rsid w:val="42A93600"/>
    <w:rsid w:val="42AE426E"/>
    <w:rsid w:val="42B82EF2"/>
    <w:rsid w:val="42EC395B"/>
    <w:rsid w:val="42FA5706"/>
    <w:rsid w:val="43452E25"/>
    <w:rsid w:val="43882D11"/>
    <w:rsid w:val="439E68F2"/>
    <w:rsid w:val="44CC46FC"/>
    <w:rsid w:val="44FF0DB1"/>
    <w:rsid w:val="45260A34"/>
    <w:rsid w:val="45624364"/>
    <w:rsid w:val="4577128F"/>
    <w:rsid w:val="45991206"/>
    <w:rsid w:val="45C80AE4"/>
    <w:rsid w:val="45CC1657"/>
    <w:rsid w:val="45EF52CA"/>
    <w:rsid w:val="462428E8"/>
    <w:rsid w:val="462774C4"/>
    <w:rsid w:val="463B050F"/>
    <w:rsid w:val="468A764A"/>
    <w:rsid w:val="46AC4F69"/>
    <w:rsid w:val="46B5206F"/>
    <w:rsid w:val="46F616C5"/>
    <w:rsid w:val="47172AAD"/>
    <w:rsid w:val="473467DE"/>
    <w:rsid w:val="475A1DD4"/>
    <w:rsid w:val="475F19DB"/>
    <w:rsid w:val="47AE3002"/>
    <w:rsid w:val="47C02A7A"/>
    <w:rsid w:val="480510B4"/>
    <w:rsid w:val="48537D92"/>
    <w:rsid w:val="48877A3B"/>
    <w:rsid w:val="48AB197C"/>
    <w:rsid w:val="48E629B4"/>
    <w:rsid w:val="49B854B0"/>
    <w:rsid w:val="49C56A6D"/>
    <w:rsid w:val="4A1942B8"/>
    <w:rsid w:val="4A201538"/>
    <w:rsid w:val="4A394B84"/>
    <w:rsid w:val="4A4E2452"/>
    <w:rsid w:val="4A704559"/>
    <w:rsid w:val="4A881578"/>
    <w:rsid w:val="4B0E1D4E"/>
    <w:rsid w:val="4B9506C1"/>
    <w:rsid w:val="4BA40904"/>
    <w:rsid w:val="4C564E25"/>
    <w:rsid w:val="4CAA71CD"/>
    <w:rsid w:val="4CEA2347"/>
    <w:rsid w:val="4CEC60BF"/>
    <w:rsid w:val="4D752558"/>
    <w:rsid w:val="4D8602C2"/>
    <w:rsid w:val="4D926C66"/>
    <w:rsid w:val="4E012AAB"/>
    <w:rsid w:val="4E6F51FA"/>
    <w:rsid w:val="4E802F63"/>
    <w:rsid w:val="4EAB26B3"/>
    <w:rsid w:val="4EB96D85"/>
    <w:rsid w:val="4EC217CD"/>
    <w:rsid w:val="4ECA0682"/>
    <w:rsid w:val="4F05790C"/>
    <w:rsid w:val="4F097EF7"/>
    <w:rsid w:val="4F5367BD"/>
    <w:rsid w:val="4F8F6AD2"/>
    <w:rsid w:val="4F916D8B"/>
    <w:rsid w:val="4FB8497E"/>
    <w:rsid w:val="4FFA6FC7"/>
    <w:rsid w:val="504925C9"/>
    <w:rsid w:val="506143EC"/>
    <w:rsid w:val="506224F5"/>
    <w:rsid w:val="5072729D"/>
    <w:rsid w:val="50CF3478"/>
    <w:rsid w:val="511300BE"/>
    <w:rsid w:val="513B7BF1"/>
    <w:rsid w:val="51C13FBE"/>
    <w:rsid w:val="51E92084"/>
    <w:rsid w:val="51F86E32"/>
    <w:rsid w:val="521333B4"/>
    <w:rsid w:val="523227C6"/>
    <w:rsid w:val="52CF270B"/>
    <w:rsid w:val="531311CB"/>
    <w:rsid w:val="531E13F7"/>
    <w:rsid w:val="545253A1"/>
    <w:rsid w:val="54534C76"/>
    <w:rsid w:val="545D5EF6"/>
    <w:rsid w:val="54776BB6"/>
    <w:rsid w:val="54940BBB"/>
    <w:rsid w:val="54DD4607"/>
    <w:rsid w:val="551B089D"/>
    <w:rsid w:val="553B7BE4"/>
    <w:rsid w:val="56324B78"/>
    <w:rsid w:val="56476CB9"/>
    <w:rsid w:val="566F6BDB"/>
    <w:rsid w:val="567A5B3E"/>
    <w:rsid w:val="56D71B8E"/>
    <w:rsid w:val="570B48A6"/>
    <w:rsid w:val="570C0ECF"/>
    <w:rsid w:val="576C64AD"/>
    <w:rsid w:val="57925AB5"/>
    <w:rsid w:val="57A624DB"/>
    <w:rsid w:val="57DF13CA"/>
    <w:rsid w:val="57E24C8E"/>
    <w:rsid w:val="57F90E6C"/>
    <w:rsid w:val="58054EEA"/>
    <w:rsid w:val="58134E48"/>
    <w:rsid w:val="584E0616"/>
    <w:rsid w:val="584E24A9"/>
    <w:rsid w:val="58607961"/>
    <w:rsid w:val="58DD7837"/>
    <w:rsid w:val="59855253"/>
    <w:rsid w:val="59922F80"/>
    <w:rsid w:val="599965EC"/>
    <w:rsid w:val="599C2C1B"/>
    <w:rsid w:val="59A65848"/>
    <w:rsid w:val="59B368E2"/>
    <w:rsid w:val="59E75E4D"/>
    <w:rsid w:val="59E81E53"/>
    <w:rsid w:val="59FD5DAF"/>
    <w:rsid w:val="5A6E4EEC"/>
    <w:rsid w:val="5A7238F3"/>
    <w:rsid w:val="5A830731"/>
    <w:rsid w:val="5ABD197B"/>
    <w:rsid w:val="5B0942E0"/>
    <w:rsid w:val="5B3E042E"/>
    <w:rsid w:val="5B436457"/>
    <w:rsid w:val="5C0C4088"/>
    <w:rsid w:val="5C0F5926"/>
    <w:rsid w:val="5C3D2493"/>
    <w:rsid w:val="5C4E0A18"/>
    <w:rsid w:val="5C597739"/>
    <w:rsid w:val="5C5A6673"/>
    <w:rsid w:val="5C886944"/>
    <w:rsid w:val="5C9A1694"/>
    <w:rsid w:val="5CBB7163"/>
    <w:rsid w:val="5CC33006"/>
    <w:rsid w:val="5CDB3A5A"/>
    <w:rsid w:val="5CFC234E"/>
    <w:rsid w:val="5CFF599B"/>
    <w:rsid w:val="5D072BD7"/>
    <w:rsid w:val="5DE51034"/>
    <w:rsid w:val="5DEF11E6"/>
    <w:rsid w:val="5DFF45F0"/>
    <w:rsid w:val="5E3014CA"/>
    <w:rsid w:val="5E3653EC"/>
    <w:rsid w:val="5ECC3FA2"/>
    <w:rsid w:val="5EF12152"/>
    <w:rsid w:val="5F0817B9"/>
    <w:rsid w:val="5F3533B2"/>
    <w:rsid w:val="5F4FE570"/>
    <w:rsid w:val="5FB24F46"/>
    <w:rsid w:val="5FB578C1"/>
    <w:rsid w:val="5FBF9C70"/>
    <w:rsid w:val="5FC86518"/>
    <w:rsid w:val="5FE377F5"/>
    <w:rsid w:val="6028345A"/>
    <w:rsid w:val="60B67291"/>
    <w:rsid w:val="60FD6695"/>
    <w:rsid w:val="61176028"/>
    <w:rsid w:val="61187144"/>
    <w:rsid w:val="61932B55"/>
    <w:rsid w:val="61C15914"/>
    <w:rsid w:val="61C94242"/>
    <w:rsid w:val="62353C0D"/>
    <w:rsid w:val="62471D12"/>
    <w:rsid w:val="624B3430"/>
    <w:rsid w:val="625B3673"/>
    <w:rsid w:val="6280132C"/>
    <w:rsid w:val="628F156F"/>
    <w:rsid w:val="63043D0B"/>
    <w:rsid w:val="630F7A14"/>
    <w:rsid w:val="631F5D8A"/>
    <w:rsid w:val="632778C4"/>
    <w:rsid w:val="6333694F"/>
    <w:rsid w:val="634609AE"/>
    <w:rsid w:val="6353259C"/>
    <w:rsid w:val="63544C1A"/>
    <w:rsid w:val="63715118"/>
    <w:rsid w:val="63732C3E"/>
    <w:rsid w:val="6388493C"/>
    <w:rsid w:val="63B24C9F"/>
    <w:rsid w:val="6405684B"/>
    <w:rsid w:val="640D4E41"/>
    <w:rsid w:val="64526BE0"/>
    <w:rsid w:val="64616F3B"/>
    <w:rsid w:val="64665A47"/>
    <w:rsid w:val="64A24362"/>
    <w:rsid w:val="64AF10A6"/>
    <w:rsid w:val="65362175"/>
    <w:rsid w:val="65454EE9"/>
    <w:rsid w:val="654B3E73"/>
    <w:rsid w:val="65534AD5"/>
    <w:rsid w:val="65956E9C"/>
    <w:rsid w:val="660538B3"/>
    <w:rsid w:val="66506135"/>
    <w:rsid w:val="66A001EE"/>
    <w:rsid w:val="66BC2B4E"/>
    <w:rsid w:val="66D439F4"/>
    <w:rsid w:val="670D0014"/>
    <w:rsid w:val="676254A4"/>
    <w:rsid w:val="67697BA3"/>
    <w:rsid w:val="677156E7"/>
    <w:rsid w:val="67991EE1"/>
    <w:rsid w:val="679C4117"/>
    <w:rsid w:val="6827272B"/>
    <w:rsid w:val="68A4615A"/>
    <w:rsid w:val="68D91796"/>
    <w:rsid w:val="68EC255A"/>
    <w:rsid w:val="6945507D"/>
    <w:rsid w:val="69B071F3"/>
    <w:rsid w:val="69BC12CC"/>
    <w:rsid w:val="69D501AF"/>
    <w:rsid w:val="6A1862EE"/>
    <w:rsid w:val="6A2133F4"/>
    <w:rsid w:val="6A405F4B"/>
    <w:rsid w:val="6A576E16"/>
    <w:rsid w:val="6A902328"/>
    <w:rsid w:val="6AB23C73"/>
    <w:rsid w:val="6AFF5D05"/>
    <w:rsid w:val="6B086362"/>
    <w:rsid w:val="6B0E522A"/>
    <w:rsid w:val="6B2E0A99"/>
    <w:rsid w:val="6B9F73E7"/>
    <w:rsid w:val="6BA31452"/>
    <w:rsid w:val="6BA95681"/>
    <w:rsid w:val="6C021003"/>
    <w:rsid w:val="6C2B0740"/>
    <w:rsid w:val="6C85443B"/>
    <w:rsid w:val="6C9F4AA4"/>
    <w:rsid w:val="6CC62031"/>
    <w:rsid w:val="6CC938CF"/>
    <w:rsid w:val="6CE64481"/>
    <w:rsid w:val="6CF42BA6"/>
    <w:rsid w:val="6D394EF9"/>
    <w:rsid w:val="6D9D5488"/>
    <w:rsid w:val="6DA52295"/>
    <w:rsid w:val="6DE9247B"/>
    <w:rsid w:val="6E22598D"/>
    <w:rsid w:val="6E276AFF"/>
    <w:rsid w:val="6EAE2A57"/>
    <w:rsid w:val="6F1C418A"/>
    <w:rsid w:val="6F775999"/>
    <w:rsid w:val="6FD435EC"/>
    <w:rsid w:val="6FEC6C4A"/>
    <w:rsid w:val="6FF7503E"/>
    <w:rsid w:val="6FFB46E7"/>
    <w:rsid w:val="6FFD045F"/>
    <w:rsid w:val="70054354"/>
    <w:rsid w:val="702D6086"/>
    <w:rsid w:val="70313C65"/>
    <w:rsid w:val="709D579F"/>
    <w:rsid w:val="70C42D2B"/>
    <w:rsid w:val="70D26C29"/>
    <w:rsid w:val="70EC1961"/>
    <w:rsid w:val="713779A1"/>
    <w:rsid w:val="71940698"/>
    <w:rsid w:val="71C254BD"/>
    <w:rsid w:val="71E13006"/>
    <w:rsid w:val="721E50A1"/>
    <w:rsid w:val="722241AD"/>
    <w:rsid w:val="72273572"/>
    <w:rsid w:val="73DA31F2"/>
    <w:rsid w:val="73DE4104"/>
    <w:rsid w:val="73FE0302"/>
    <w:rsid w:val="740C191A"/>
    <w:rsid w:val="74510D7A"/>
    <w:rsid w:val="747800B5"/>
    <w:rsid w:val="74911176"/>
    <w:rsid w:val="74942A15"/>
    <w:rsid w:val="74964724"/>
    <w:rsid w:val="74C3179F"/>
    <w:rsid w:val="74FB2A94"/>
    <w:rsid w:val="755F4B32"/>
    <w:rsid w:val="7583043A"/>
    <w:rsid w:val="75830558"/>
    <w:rsid w:val="75D43A11"/>
    <w:rsid w:val="75D532E5"/>
    <w:rsid w:val="75E55C1E"/>
    <w:rsid w:val="76571BB5"/>
    <w:rsid w:val="765E777E"/>
    <w:rsid w:val="76644FD0"/>
    <w:rsid w:val="76874EE2"/>
    <w:rsid w:val="76E950B1"/>
    <w:rsid w:val="7715608F"/>
    <w:rsid w:val="771C566F"/>
    <w:rsid w:val="77617976"/>
    <w:rsid w:val="776C3D51"/>
    <w:rsid w:val="777811F1"/>
    <w:rsid w:val="777A0A13"/>
    <w:rsid w:val="777D33A9"/>
    <w:rsid w:val="77950F7E"/>
    <w:rsid w:val="77BC650A"/>
    <w:rsid w:val="77F060A1"/>
    <w:rsid w:val="78104AA8"/>
    <w:rsid w:val="78300956"/>
    <w:rsid w:val="78410AE3"/>
    <w:rsid w:val="78656868"/>
    <w:rsid w:val="78854641"/>
    <w:rsid w:val="789D27E0"/>
    <w:rsid w:val="78A163D8"/>
    <w:rsid w:val="78A87E00"/>
    <w:rsid w:val="78EA354B"/>
    <w:rsid w:val="795D5ACB"/>
    <w:rsid w:val="798E64A4"/>
    <w:rsid w:val="79B53E29"/>
    <w:rsid w:val="79C8388C"/>
    <w:rsid w:val="7A772BBC"/>
    <w:rsid w:val="7A9B4AFD"/>
    <w:rsid w:val="7AB23BF5"/>
    <w:rsid w:val="7AB71D4F"/>
    <w:rsid w:val="7AD661E7"/>
    <w:rsid w:val="7AD96B4C"/>
    <w:rsid w:val="7B1448AF"/>
    <w:rsid w:val="7B15036A"/>
    <w:rsid w:val="7B9E4A34"/>
    <w:rsid w:val="7BF22E42"/>
    <w:rsid w:val="7C4B4E4D"/>
    <w:rsid w:val="7C537D37"/>
    <w:rsid w:val="7C5C650E"/>
    <w:rsid w:val="7CAF571A"/>
    <w:rsid w:val="7D0F4726"/>
    <w:rsid w:val="7D38047F"/>
    <w:rsid w:val="7D7C74EA"/>
    <w:rsid w:val="7D8A0E59"/>
    <w:rsid w:val="7D8B188F"/>
    <w:rsid w:val="7DD6324C"/>
    <w:rsid w:val="7E1C7D03"/>
    <w:rsid w:val="7E622859"/>
    <w:rsid w:val="7F1629A4"/>
    <w:rsid w:val="7F3B397D"/>
    <w:rsid w:val="7F4A0915"/>
    <w:rsid w:val="7F58112F"/>
    <w:rsid w:val="7F8C3E7F"/>
    <w:rsid w:val="7FB66096"/>
    <w:rsid w:val="B7F4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Body Text"/>
    <w:basedOn w:val="1"/>
    <w:next w:val="1"/>
    <w:link w:val="35"/>
    <w:semiHidden/>
    <w:qFormat/>
    <w:uiPriority w:val="0"/>
    <w:pPr>
      <w:spacing w:after="120"/>
    </w:pPr>
    <w:rPr>
      <w:rFonts w:ascii="Times New Roman" w:hAnsi="Times New Roman" w:eastAsia="仿宋_GB2312"/>
      <w:kern w:val="0"/>
      <w:sz w:val="32"/>
      <w:szCs w:val="32"/>
    </w:r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spacing w:line="600" w:lineRule="exact"/>
      <w:ind w:firstLine="200" w:firstLineChars="200"/>
      <w:jc w:val="left"/>
    </w:pPr>
    <w:rPr>
      <w:rFonts w:ascii="方正黑体_GBK" w:eastAsia="方正黑体_GBK"/>
      <w:sz w:val="32"/>
      <w:szCs w:val="32"/>
    </w:rPr>
  </w:style>
  <w:style w:type="paragraph" w:styleId="7">
    <w:name w:val="Plain Text"/>
    <w:basedOn w:val="1"/>
    <w:unhideWhenUsed/>
    <w:qFormat/>
    <w:uiPriority w:val="0"/>
    <w:rPr>
      <w:rFonts w:ascii="宋体" w:hAnsi="宋体" w:eastAsia="宋体" w:cs="Courier New"/>
      <w:b/>
      <w:sz w:val="21"/>
      <w:szCs w:val="21"/>
    </w:rPr>
  </w:style>
  <w:style w:type="paragraph" w:styleId="8">
    <w:name w:val="Date"/>
    <w:basedOn w:val="1"/>
    <w:next w:val="1"/>
    <w:link w:val="26"/>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widowControl w:val="0"/>
      <w:tabs>
        <w:tab w:val="right" w:leader="dot" w:pos="8834"/>
      </w:tabs>
      <w:spacing w:before="0" w:beforeAutospacing="0" w:after="0" w:line="579" w:lineRule="exact"/>
      <w:ind w:firstLine="320" w:firstLineChars="100"/>
      <w:textAlignment w:val="center"/>
    </w:pPr>
    <w:rPr>
      <w:rFonts w:ascii="方正楷体_GBK" w:hAnsi="Times New Roman" w:eastAsia="方正楷体_GBK"/>
      <w:color w:val="000000"/>
      <w:sz w:val="32"/>
      <w:szCs w:val="32"/>
    </w:rPr>
  </w:style>
  <w:style w:type="paragraph" w:styleId="12">
    <w:name w:val="footnote text"/>
    <w:basedOn w:val="1"/>
    <w:next w:val="13"/>
    <w:semiHidden/>
    <w:qFormat/>
    <w:uiPriority w:val="0"/>
    <w:pPr>
      <w:snapToGrid w:val="0"/>
    </w:pPr>
    <w:rPr>
      <w:sz w:val="18"/>
      <w:szCs w:val="18"/>
    </w:rPr>
  </w:style>
  <w:style w:type="paragraph" w:styleId="13">
    <w:name w:val="Body Text First Indent 2"/>
    <w:basedOn w:val="5"/>
    <w:qFormat/>
    <w:uiPriority w:val="0"/>
    <w:pPr>
      <w:ind w:firstLine="420" w:firstLineChars="200"/>
    </w:pPr>
    <w:rPr>
      <w:rFonts w:ascii="Times New Roman" w:hAnsi="Times New Roman" w:eastAsia="宋体"/>
      <w:sz w:val="30"/>
    </w:rPr>
  </w:style>
  <w:style w:type="paragraph" w:styleId="14">
    <w:name w:val="Body Text 2"/>
    <w:basedOn w:val="1"/>
    <w:unhideWhenUsed/>
    <w:qFormat/>
    <w:uiPriority w:val="99"/>
    <w:pPr>
      <w:spacing w:after="120" w:line="480" w:lineRule="auto"/>
    </w:pPr>
  </w:style>
  <w:style w:type="paragraph" w:styleId="15">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6">
    <w:name w:val="Normal (Web)"/>
    <w:basedOn w:val="1"/>
    <w:qFormat/>
    <w:uiPriority w:val="99"/>
    <w:pPr>
      <w:jc w:val="left"/>
    </w:pPr>
    <w:rPr>
      <w:rFonts w:ascii="Times New Roman" w:hAnsi="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qFormat/>
    <w:uiPriority w:val="0"/>
    <w:rPr>
      <w:color w:val="800080"/>
      <w:u w:val="single"/>
    </w:rPr>
  </w:style>
  <w:style w:type="paragraph" w:customStyle="1" w:styleId="2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24">
    <w:name w:val="Default"/>
    <w:basedOn w:val="1"/>
    <w:next w:val="1"/>
    <w:qFormat/>
    <w:uiPriority w:val="0"/>
    <w:pPr>
      <w:autoSpaceDE w:val="0"/>
      <w:autoSpaceDN w:val="0"/>
      <w:adjustRightInd w:val="0"/>
      <w:jc w:val="left"/>
    </w:pPr>
    <w:rPr>
      <w:color w:val="000000"/>
      <w:kern w:val="0"/>
      <w:sz w:val="24"/>
      <w:szCs w:val="24"/>
    </w:rPr>
  </w:style>
  <w:style w:type="paragraph" w:customStyle="1" w:styleId="25">
    <w:name w:val="索引 51"/>
    <w:basedOn w:val="1"/>
    <w:next w:val="1"/>
    <w:qFormat/>
    <w:uiPriority w:val="99"/>
    <w:pPr>
      <w:ind w:left="1680"/>
    </w:pPr>
  </w:style>
  <w:style w:type="character" w:customStyle="1" w:styleId="26">
    <w:name w:val="日期 Char"/>
    <w:basedOn w:val="19"/>
    <w:link w:val="8"/>
    <w:qFormat/>
    <w:uiPriority w:val="0"/>
    <w:rPr>
      <w:rFonts w:ascii="Times New Roman" w:hAnsi="Times New Roman" w:eastAsia="方正仿宋_GBK" w:cs="Times New Roman"/>
      <w:kern w:val="2"/>
      <w:sz w:val="32"/>
    </w:rPr>
  </w:style>
  <w:style w:type="character" w:customStyle="1" w:styleId="27">
    <w:name w:val="NormalCharacter"/>
    <w:semiHidden/>
    <w:qFormat/>
    <w:uiPriority w:val="0"/>
  </w:style>
  <w:style w:type="character" w:customStyle="1" w:styleId="28">
    <w:name w:val="font01"/>
    <w:basedOn w:val="19"/>
    <w:qFormat/>
    <w:uiPriority w:val="0"/>
    <w:rPr>
      <w:rFonts w:hint="default" w:ascii="Times New Roman" w:hAnsi="Times New Roman" w:cs="Times New Roman"/>
      <w:color w:val="000000"/>
      <w:sz w:val="21"/>
      <w:szCs w:val="21"/>
      <w:u w:val="none"/>
    </w:rPr>
  </w:style>
  <w:style w:type="paragraph" w:customStyle="1" w:styleId="29">
    <w:name w:val=" Char"/>
    <w:basedOn w:val="1"/>
    <w:qFormat/>
    <w:uiPriority w:val="0"/>
    <w:pPr>
      <w:widowControl/>
      <w:spacing w:after="160" w:line="240" w:lineRule="exact"/>
      <w:jc w:val="left"/>
    </w:pPr>
    <w:rPr>
      <w:rFonts w:ascii="Verdana" w:hAnsi="Verdana" w:eastAsia="仿宋_GB2312" w:cs="Verdana"/>
      <w:kern w:val="0"/>
      <w:sz w:val="24"/>
      <w:szCs w:val="32"/>
      <w:lang w:eastAsia="en-US"/>
    </w:rPr>
  </w:style>
  <w:style w:type="character" w:customStyle="1" w:styleId="30">
    <w:name w:val="font41"/>
    <w:basedOn w:val="19"/>
    <w:qFormat/>
    <w:uiPriority w:val="0"/>
    <w:rPr>
      <w:rFonts w:ascii="方正仿宋_GBK" w:hAnsi="方正仿宋_GBK" w:eastAsia="方正仿宋_GBK" w:cs="方正仿宋_GBK"/>
      <w:color w:val="000000"/>
      <w:sz w:val="22"/>
      <w:szCs w:val="22"/>
      <w:u w:val="none"/>
    </w:rPr>
  </w:style>
  <w:style w:type="paragraph" w:customStyle="1" w:styleId="31">
    <w:name w:val="正文首行缩进1"/>
    <w:basedOn w:val="4"/>
    <w:qFormat/>
    <w:uiPriority w:val="0"/>
    <w:pPr>
      <w:adjustRightInd w:val="0"/>
      <w:spacing w:line="275" w:lineRule="atLeast"/>
      <w:ind w:firstLine="420"/>
      <w:textAlignment w:val="baseline"/>
    </w:pPr>
    <w:rPr>
      <w:rFonts w:ascii="Times New Roman" w:hAnsi="宋体" w:eastAsia="楷体_GB2312" w:cs="Times New Roman"/>
      <w:szCs w:val="20"/>
    </w:rPr>
  </w:style>
  <w:style w:type="character" w:customStyle="1" w:styleId="32">
    <w:name w:val="font71"/>
    <w:basedOn w:val="19"/>
    <w:qFormat/>
    <w:uiPriority w:val="0"/>
    <w:rPr>
      <w:rFonts w:hint="eastAsia" w:ascii="宋体" w:hAnsi="宋体" w:eastAsia="宋体" w:cs="宋体"/>
      <w:color w:val="000000"/>
      <w:sz w:val="22"/>
      <w:szCs w:val="22"/>
      <w:u w:val="none"/>
    </w:rPr>
  </w:style>
  <w:style w:type="character" w:customStyle="1" w:styleId="33">
    <w:name w:val="font21"/>
    <w:basedOn w:val="19"/>
    <w:qFormat/>
    <w:uiPriority w:val="0"/>
    <w:rPr>
      <w:rFonts w:hint="eastAsia" w:ascii="方正仿宋_GBK" w:hAnsi="方正仿宋_GBK" w:eastAsia="方正仿宋_GBK" w:cs="方正仿宋_GBK"/>
      <w:b/>
      <w:bCs/>
      <w:color w:val="000000"/>
      <w:sz w:val="28"/>
      <w:szCs w:val="28"/>
      <w:u w:val="none"/>
    </w:rPr>
  </w:style>
  <w:style w:type="paragraph" w:customStyle="1" w:styleId="34">
    <w:name w:val="BodyText"/>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 w:type="character" w:customStyle="1" w:styleId="35">
    <w:name w:val="正文文本 Char"/>
    <w:basedOn w:val="19"/>
    <w:link w:val="4"/>
    <w:qFormat/>
    <w:uiPriority w:val="0"/>
    <w:rPr>
      <w:kern w:val="2"/>
      <w:sz w:val="21"/>
      <w:szCs w:val="24"/>
    </w:rPr>
  </w:style>
  <w:style w:type="paragraph" w:styleId="36">
    <w:name w:val="List Paragraph"/>
    <w:basedOn w:val="1"/>
    <w:unhideWhenUsed/>
    <w:qFormat/>
    <w:uiPriority w:val="99"/>
    <w:pPr>
      <w:ind w:firstLine="420" w:firstLineChars="200"/>
    </w:pPr>
  </w:style>
  <w:style w:type="character" w:customStyle="1" w:styleId="37">
    <w:name w:val="15"/>
    <w:basedOn w:val="19"/>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2825</Words>
  <Characters>2898</Characters>
  <Lines>3</Lines>
  <Paragraphs>1</Paragraphs>
  <TotalTime>10</TotalTime>
  <ScaleCrop>false</ScaleCrop>
  <LinksUpToDate>false</LinksUpToDate>
  <CharactersWithSpaces>3046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2022-08-28T15:07:00Z</dcterms:created>
  <dc:creator>Administrator</dc:creator>
  <cp:lastModifiedBy>djx</cp:lastModifiedBy>
  <cp:lastPrinted>2025-06-19T22:21:00Z</cp:lastPrinted>
  <dcterms:modified xsi:type="dcterms:W3CDTF">2026-01-23T14:28:00Z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FE7EE22F3EF6642ABC0559680870FF4F</vt:lpwstr>
  </property>
  <property fmtid="{D5CDD505-2E9C-101B-9397-08002B2CF9AE}" pid="4" name="KSOTemplateDocerSaveRecord">
    <vt:lpwstr>eyJoZGlkIjoiZWIyNmFhZWE3OWQ2MDEwM2EzODVhMzk1MDZlY2UyMjQiLCJ1c2VySWQiOiIxNjAxNzQ3ODI2In0=</vt:lpwstr>
  </property>
</Properties>
</file>