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640" w:lineRule="exact"/>
        <w:jc w:val="both"/>
        <w:rPr>
          <w:rFonts w:ascii="方正小标宋_GBK" w:eastAsia="方正小标宋_GBK"/>
          <w:sz w:val="44"/>
          <w:szCs w:val="44"/>
        </w:rPr>
      </w:pPr>
    </w:p>
    <w:p>
      <w:pPr>
        <w:pStyle w:val="4"/>
        <w:shd w:val="clear" w:color="auto" w:fill="FFFFFF"/>
        <w:spacing w:before="0" w:beforeAutospacing="0" w:after="0" w:afterAutospacing="0" w:line="640" w:lineRule="exact"/>
        <w:jc w:val="center"/>
        <w:rPr>
          <w:rFonts w:ascii="方正小标宋_GBK" w:eastAsia="方正小标宋_GBK"/>
          <w:sz w:val="44"/>
          <w:szCs w:val="44"/>
        </w:rPr>
      </w:pPr>
      <w:r>
        <w:rPr>
          <w:rFonts w:hint="eastAsia" w:ascii="方正小标宋_GBK" w:eastAsia="方正小标宋_GBK"/>
          <w:sz w:val="44"/>
          <w:szCs w:val="44"/>
        </w:rPr>
        <w:t>重庆市垫江县民政局</w:t>
      </w:r>
    </w:p>
    <w:p>
      <w:pPr>
        <w:pStyle w:val="4"/>
        <w:shd w:val="clear" w:color="auto" w:fill="FFFFFF"/>
        <w:spacing w:before="0" w:beforeAutospacing="0" w:after="0" w:afterAutospacing="0" w:line="640" w:lineRule="exact"/>
        <w:jc w:val="center"/>
        <w:rPr>
          <w:rFonts w:ascii="方正小标宋_GBK" w:eastAsia="方正小标宋_GBK"/>
          <w:sz w:val="44"/>
          <w:szCs w:val="44"/>
        </w:rPr>
      </w:pPr>
      <w:r>
        <w:rPr>
          <w:rFonts w:hint="eastAsia" w:ascii="方正小标宋_GBK" w:eastAsia="方正小标宋_GBK"/>
          <w:sz w:val="44"/>
          <w:szCs w:val="44"/>
        </w:rPr>
        <w:t>2020年度部门决算情况说明</w:t>
      </w:r>
    </w:p>
    <w:p>
      <w:pPr>
        <w:shd w:val="clear" w:color="auto" w:fill="FFFFFF"/>
        <w:ind w:firstLine="630" w:firstLineChars="196"/>
        <w:jc w:val="both"/>
        <w:rPr>
          <w:rFonts w:ascii="Times New Roman" w:hAnsi="Times New Roman" w:eastAsia="方正黑体_GBK" w:cs="Times New Roman"/>
          <w:b/>
          <w:bCs/>
          <w:color w:val="000000"/>
          <w:sz w:val="32"/>
          <w:szCs w:val="32"/>
        </w:rPr>
      </w:pPr>
    </w:p>
    <w:p>
      <w:pPr>
        <w:shd w:val="clear" w:color="auto" w:fill="FFFFFF"/>
        <w:spacing w:line="520" w:lineRule="exact"/>
        <w:ind w:firstLine="640" w:firstLineChars="200"/>
        <w:jc w:val="both"/>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一、部门基本情况</w:t>
      </w:r>
    </w:p>
    <w:p>
      <w:pPr>
        <w:spacing w:line="520" w:lineRule="exact"/>
        <w:ind w:firstLine="640" w:firstLineChars="200"/>
        <w:jc w:val="both"/>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(一)职能职责</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垫江县民政局是县政府工作部门，为正科级。垫江县民政局贯彻落实党中央、市委和县委关于民政工作的方针政策和决策部署，在履行职责过程中坚持和加强党对民政工作的集中统一领导。主要职责是：</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1.负责贯彻执行民政事业法律、法规和方针政策，拟订全县民政事业发展规划和规范性文件，并组织实施和监督检查。</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2.负责拟订全县社会团体、社会服务机构登记和监督管理办法并组织实施，依法对全县社会组织进行登记管理和执法监督。</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3.负责贯彻执行社会救助政策，负责全县城乡居民最低生活保障、特困人员救助供养、临时救助、生活无着流浪乞讨人员救助等工作。</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4.负责指导村民委员会和居民委员会的民主选举、民主决策、民主管理工作，指导村(居)民委员会建设和城乡社区服务体系建设，推动村(居)务公开和基层民主政治建设。</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5.负责贯彻执行社区治理政策，指导城乡社区治理体系和治理能力建设。</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6.负责报县政府审批的全县村(居)建制调整的审核工作，负责全县乡镇(街道)以上行政区域界线勘定和县内乡镇(街道)之间行政区域界线争议调处工作，负责界线管理工作。</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7.负责报县政府审批的全县道路、桥梁、新建居民区等地理实体的命名、更名审核工作，负责县城地名标志设置和管理工作，负责全县地名档案收集和管理工作。</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8.负责组织贯彻落实婚姻登记相关法律、法规和政策，依法开展婚姻登记，推进婚俗改革。</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9.负责拟订全县殡葬管理服务规范并组织监督实施，推进殡葬改革。</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10.统筹推进、督促指导、监督管理养老服务工作，负责拟订全县养老服务体系建设规划、标准并组织实施，承担老年人和特殊困难老年人救助工作。</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11.负责牵头落实残疾人权益保护政策，统筹推进残疾人福利制度建设。</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12.负责贯彻执行全县儿童福利、孤弃儿童保障、儿童收养、儿童救助保护政策，健全农村留守儿童关爱保护体系和困境儿童保障机制。</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13.负责组织落实促进慈善事业发展政策，指导社会捐助工作，负责全县福利彩票管理工作。</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14.负责拟订全县社会工作、志愿服务规划并组织实施，会同有关部门推进社会工作人才队伍建设和志愿者队伍建设。</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15.负责机关、所属事业单位党建工作。</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16.完成县委、县政府交办的其他任务。</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17.职能转变。垫江县民政局应强化基本民生保障职能，为困难群众、孤老孤残孤儿等特殊群体提供基本社会服务，促进资源向薄弱地区、领域、环节倾斜。积极培育社会组织、社会工作者等多元参与主体，推动搭建基层社会治理和社区公共服务平台。</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18.有关职责分工。</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与垫江县卫生健康委员会的有关职责分工。垫江县民政局负责统筹推进、督促指导、监督管理养老服务工作，拟订全县养老服务体系建设规划并组织实施，承担老年人福利和特殊困难老年人救助工作。垫江县卫生健康委员会负责拟订应对人口老龄化、医养结合措施，综合协调、督查指导、组织推进老龄事业发展，承担老年疾病防治、老年人医疗照护、老年人心理健康与关怀服务等老年健康工作。</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(2)与垫江县规划和自然资源局的有关职责分工。垫江县民政局会同垫江县规划和自然资源局组织编制公布垫江县行政区划信息的行政区划图。</w:t>
      </w:r>
    </w:p>
    <w:p>
      <w:pPr>
        <w:spacing w:line="520" w:lineRule="exact"/>
        <w:ind w:firstLine="640" w:firstLineChars="200"/>
        <w:jc w:val="both"/>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(二)机构设置</w:t>
      </w:r>
    </w:p>
    <w:p>
      <w:pPr>
        <w:spacing w:line="520" w:lineRule="exact"/>
        <w:ind w:firstLine="643"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1.办公室</w:t>
      </w:r>
      <w:r>
        <w:rPr>
          <w:rFonts w:hint="eastAsia" w:ascii="方正仿宋_GBK" w:hAnsi="方正仿宋_GBK" w:eastAsia="方正仿宋_GBK" w:cs="方正仿宋_GBK"/>
          <w:color w:val="000000"/>
          <w:sz w:val="32"/>
          <w:szCs w:val="32"/>
        </w:rPr>
        <w:t>。负责拟订全县民政事业发展规划、综合性文件和机关各种规章制度，承办会议会务，负责机关公文运转、目标考核、机要保密、档案管理、政务信息、新闻发布、督查督办、政务值班等工作。负责党的建设和全面从严治党工作，负责机关及下属单位组织人事、机构编制、离退休职工管理工作，负责机关统一战线、民族宗教工作，负责机关群团工作。负责行政执法工作，负责机关综合治理、信访稳定、安全保卫工作。负责民政事业经费、机关行政经费预决算和日常管理，负责国有资产管理和基建工作。负责机关内部控制、内部审计及其他机关事务。</w:t>
      </w:r>
    </w:p>
    <w:p>
      <w:pPr>
        <w:spacing w:line="520" w:lineRule="exact"/>
        <w:ind w:firstLine="643"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2.社会救助和儿童福利科</w:t>
      </w:r>
      <w:r>
        <w:rPr>
          <w:rFonts w:hint="eastAsia" w:ascii="方正仿宋_GBK" w:hAnsi="方正仿宋_GBK" w:eastAsia="方正仿宋_GBK" w:cs="方正仿宋_GBK"/>
          <w:color w:val="000000"/>
          <w:sz w:val="32"/>
          <w:szCs w:val="32"/>
        </w:rPr>
        <w:t>。负责拟订全县城乡居民最低生活保障、特困人员救助供养、临时救助等社会救助规划、实施办法，负责全县最低生活保障、特困人员救助供养、临时救助投入资金分配和监管工作，负责参与拟订全县住房、教育、司法等相关救助办法，承担全县城乡居民最低生活保障、特困人员救助供养、临时救助管理工作，承办精简职工和遗属等社会救助工作，指导社会救助家庭经济状况核查认定工作。负责贯彻落实儿童福利、孤弃儿童保障、儿童收养、儿童救助保护政策，负责孤儿供养、困境儿童保障、受艾滋病影响儿童、流浪乞讨儿童救助、未成年人救助保护、农村留守儿童关爱保护工作，负责儿童福利机构建设管理工作。</w:t>
      </w:r>
    </w:p>
    <w:p>
      <w:pPr>
        <w:spacing w:line="520" w:lineRule="exact"/>
        <w:ind w:firstLine="643"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3.基层政权建设和区划地名科</w:t>
      </w:r>
      <w:r>
        <w:rPr>
          <w:rFonts w:hint="eastAsia" w:ascii="方正仿宋_GBK" w:hAnsi="方正仿宋_GBK" w:eastAsia="方正仿宋_GBK" w:cs="方正仿宋_GBK"/>
          <w:color w:val="000000"/>
          <w:sz w:val="32"/>
          <w:szCs w:val="32"/>
        </w:rPr>
        <w:t>。负责基层民主政治建设和社区治理工作，负责拟订全县城乡基层群众自治建设和社区治理办法并指导实施，指导村(居)民委员会民主选举、民主决策、民主管理工作。负责拟订行政区划、地名管理和行政区域界线管理规范性文件，负责提请县政府审批的全县村(居)建制调整的审核工作，负责组织起草以县政府名义向市政府呈报的行政区划设立、命名、变更和政府驻地迁移等有关文件。负责提请县政府审批的全县道路、桥梁、新建居民区等地理实体的命名、更名审核工作，负责县城地名标志设置和管理工作，负责全县地名档案收集和管理工作。负责全县乡镇、街道以上行政区域界线勘定和县内乡镇、街道之间行政区域界线争议调处工作，负责界线管理工作，承办省级、县级界线联合检查和负责全县界线管理工作的指导及边界纠纷的调处工作。</w:t>
      </w:r>
    </w:p>
    <w:p>
      <w:pPr>
        <w:spacing w:line="520" w:lineRule="exact"/>
        <w:ind w:firstLine="643"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4.养老服务和社会事务科</w:t>
      </w:r>
      <w:r>
        <w:rPr>
          <w:rFonts w:hint="eastAsia" w:ascii="方正仿宋_GBK" w:hAnsi="方正仿宋_GBK" w:eastAsia="方正仿宋_GBK" w:cs="方正仿宋_GBK"/>
          <w:color w:val="000000"/>
          <w:sz w:val="32"/>
          <w:szCs w:val="32"/>
        </w:rPr>
        <w:t>。负责拟订全县养老服务体系建设和发展规划并组织实施，负责监督管理养老服务工作，承担老年人、残疾人福利工作，推进农村留守老年人关爱服务工作，负责指导、监督、管理特困人员救助供养机构和其它养老服务机构。负责指导、监督婚姻登记机关和社会福利、殡葬服务、生活无着流浪乞讨人员救助管理机构有关工作。负责拟订全县殡葬事业发展规划并组织实施，推进殡葬改革。</w:t>
      </w:r>
    </w:p>
    <w:p>
      <w:pPr>
        <w:spacing w:line="520" w:lineRule="exact"/>
        <w:ind w:firstLine="643"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5.慈善事业促进和社会工作科</w:t>
      </w:r>
      <w:r>
        <w:rPr>
          <w:rFonts w:hint="eastAsia" w:ascii="方正仿宋_GBK" w:hAnsi="方正仿宋_GBK" w:eastAsia="方正仿宋_GBK" w:cs="方正仿宋_GBK"/>
          <w:color w:val="000000"/>
          <w:sz w:val="32"/>
          <w:szCs w:val="32"/>
        </w:rPr>
        <w:t>。负责全县福利彩票管理具体工作。负责拟订全县慈善事业发展规划并组织实施，指导全县慈善工作。负责拟订全县社会工作发展规划并组织实施，负责社会工作和志愿者队伍建设工作。</w:t>
      </w:r>
    </w:p>
    <w:p>
      <w:pPr>
        <w:spacing w:line="520" w:lineRule="exact"/>
        <w:ind w:firstLine="643"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6.社会组织管理科(行政许可服务科)</w:t>
      </w:r>
      <w:r>
        <w:rPr>
          <w:rFonts w:hint="eastAsia" w:ascii="方正仿宋_GBK" w:hAnsi="方正仿宋_GBK" w:eastAsia="方正仿宋_GBK" w:cs="方正仿宋_GBK"/>
          <w:color w:val="000000"/>
          <w:sz w:val="32"/>
          <w:szCs w:val="32"/>
        </w:rPr>
        <w:t>。负责拟订全县社会团体、社会服务机构登记管理办法，按照管理权限对社会组织进行登记、管理、监督。贯彻执行《中华人民共和国行政许可法》，承担全县民政行政审批服务工作，推进行政审批制度改革工作。</w:t>
      </w:r>
    </w:p>
    <w:p>
      <w:pPr>
        <w:spacing w:line="520" w:lineRule="exact"/>
        <w:ind w:firstLine="640" w:firstLineChars="200"/>
        <w:jc w:val="both"/>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(三)单位构成</w:t>
      </w:r>
    </w:p>
    <w:p>
      <w:pPr>
        <w:shd w:val="clear" w:color="auto" w:fill="FFFFFF"/>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从预算单位构成看，纳入本部门2020年度决算编制的二级预算单位主要包括垫江县民政局（本级）、垫江县社会福利院、垫江县救助管理站和垫江县殡仪馆。</w:t>
      </w:r>
    </w:p>
    <w:p>
      <w:pPr>
        <w:shd w:val="clear" w:color="auto" w:fill="FFFFFF"/>
        <w:spacing w:line="520" w:lineRule="exact"/>
        <w:ind w:firstLine="640" w:firstLineChars="200"/>
        <w:jc w:val="both"/>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二、部门决算情况说明</w:t>
      </w:r>
    </w:p>
    <w:p>
      <w:pPr>
        <w:spacing w:line="520" w:lineRule="exact"/>
        <w:ind w:firstLine="640" w:firstLineChars="200"/>
        <w:jc w:val="both"/>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(一)收入支出决算总体情况说明</w:t>
      </w:r>
    </w:p>
    <w:p>
      <w:pPr>
        <w:pStyle w:val="4"/>
        <w:shd w:val="clear" w:color="auto" w:fill="FFFFFF"/>
        <w:spacing w:before="0" w:beforeAutospacing="0" w:after="0" w:afterAutospacing="0" w:line="520" w:lineRule="exact"/>
        <w:ind w:firstLine="643" w:firstLineChars="200"/>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1.总体情况</w:t>
      </w:r>
      <w:r>
        <w:rPr>
          <w:rFonts w:hint="eastAsia" w:ascii="方正仿宋_GBK" w:hAnsi="方正仿宋_GBK" w:eastAsia="方正仿宋_GBK" w:cs="方正仿宋_GBK"/>
          <w:sz w:val="32"/>
          <w:szCs w:val="32"/>
        </w:rPr>
        <w:t>。2020年度收入总计28,835.66万元，支出总计28,835.66万元。收支较上年决算数减少823.47万元、下降2.8%，主要原因是中央和市级拨款资金减少。</w:t>
      </w:r>
    </w:p>
    <w:p>
      <w:pPr>
        <w:pStyle w:val="4"/>
        <w:shd w:val="clear" w:color="auto" w:fill="FFFFFF"/>
        <w:spacing w:before="0" w:beforeAutospacing="0" w:after="0" w:afterAutospacing="0" w:line="520" w:lineRule="exact"/>
        <w:ind w:firstLine="643" w:firstLineChars="200"/>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2.收入情况。</w:t>
      </w:r>
      <w:r>
        <w:rPr>
          <w:rFonts w:hint="eastAsia" w:ascii="方正仿宋_GBK" w:hAnsi="方正仿宋_GBK" w:eastAsia="方正仿宋_GBK" w:cs="方正仿宋_GBK"/>
          <w:sz w:val="32"/>
          <w:szCs w:val="32"/>
        </w:rPr>
        <w:t>2020年度收入合计21,017.09万元，较上年决算数增加1,933.22万元，增长10.1%，主要原因是为进一步做好民政工作，年中追加了县级资金。其中：财政拨款收入21,017.09万元，占100.0%；此外，使用非财政拨款结余0.00万元，年初结转和结余7,818.58万元。</w:t>
      </w:r>
    </w:p>
    <w:p>
      <w:pPr>
        <w:widowControl w:val="0"/>
        <w:spacing w:line="520" w:lineRule="exact"/>
        <w:ind w:firstLine="643" w:firstLineChars="200"/>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3.支出情况。</w:t>
      </w:r>
      <w:r>
        <w:rPr>
          <w:rFonts w:hint="eastAsia" w:ascii="方正仿宋_GBK" w:hAnsi="方正仿宋_GBK" w:eastAsia="方正仿宋_GBK" w:cs="方正仿宋_GBK"/>
          <w:sz w:val="32"/>
          <w:szCs w:val="32"/>
        </w:rPr>
        <w:t>2020年度支出合计25,304.64万元，较上年决算数增加1,804.88万元，增长7.7%，主要原因一是保障标准提高。从2020年9月1日起，城市居民最低生活保障标准提高到每人每月620元，农村居民最低生活保障标准提高到每人每月496元；特困人员基本生活标准提高到每人每月806元；二是保障对象增加。2020年全县共有城乡低保对象11887户18249人，户数同比增加5.93%，人数同比增加10.27%；2020年共救助困难群众实施临时救助5277人次，同比增长1.6%；2020年新增特困供养对象163人。三是年中追加县级资金，用于其他民政管理事务。四是单位职工增资。其中：基本支出1,386.45万元，占5.5%；项目支出23,918.19万元，占94.5%。</w:t>
      </w:r>
    </w:p>
    <w:p>
      <w:pPr>
        <w:pStyle w:val="4"/>
        <w:shd w:val="clear" w:color="auto" w:fill="FFFFFF"/>
        <w:spacing w:before="0" w:beforeAutospacing="0" w:after="0" w:afterAutospacing="0" w:line="520" w:lineRule="exact"/>
        <w:ind w:firstLine="643" w:firstLineChars="200"/>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4.结转结余情况。</w:t>
      </w:r>
      <w:r>
        <w:rPr>
          <w:rFonts w:hint="eastAsia" w:ascii="方正仿宋_GBK" w:hAnsi="方正仿宋_GBK" w:eastAsia="方正仿宋_GBK" w:cs="方正仿宋_GBK"/>
          <w:sz w:val="32"/>
          <w:szCs w:val="32"/>
        </w:rPr>
        <w:t>2020年度年末结转和结余3,531.02万元，较上年决算数减少2,620.34万元，下降42.6%，主要原因是2020年收入比去年减少823.47万元，支出较上年增加1933.22万元。</w:t>
      </w:r>
    </w:p>
    <w:p>
      <w:pPr>
        <w:spacing w:line="520" w:lineRule="exact"/>
        <w:ind w:firstLine="640" w:firstLineChars="200"/>
        <w:jc w:val="both"/>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(二)财政拨款收入支出决算总体情况说明</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2020年度财政拨款收、支总计28,835.66万元。与2019年相比，财政拨款收、支总计各减少815.46万元，下降2.8%。主要原因是中央和市级拨款减少。</w:t>
      </w:r>
    </w:p>
    <w:p>
      <w:pPr>
        <w:spacing w:line="520" w:lineRule="exact"/>
        <w:ind w:firstLine="640" w:firstLineChars="200"/>
        <w:jc w:val="both"/>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(三)一般公共预算财政拨款收入支出决算情况说明</w:t>
      </w:r>
    </w:p>
    <w:p>
      <w:pPr>
        <w:pStyle w:val="4"/>
        <w:shd w:val="clear" w:color="auto" w:fill="FFFFFF"/>
        <w:spacing w:before="0" w:beforeAutospacing="0" w:after="0" w:afterAutospacing="0" w:line="520" w:lineRule="exact"/>
        <w:ind w:firstLine="643" w:firstLineChars="200"/>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1.收入情况。</w:t>
      </w:r>
      <w:r>
        <w:rPr>
          <w:rFonts w:hint="eastAsia" w:ascii="方正仿宋_GBK" w:hAnsi="方正仿宋_GBK" w:eastAsia="方正仿宋_GBK" w:cs="方正仿宋_GBK"/>
          <w:sz w:val="32"/>
          <w:szCs w:val="32"/>
        </w:rPr>
        <w:t>2020年度一般公共预算财政拨款收入16,209.41万元，较上年决算数减少1,204.29万元，下降6.9%。主要原因是2020年用于特困人员的救济支出3424.16万元转为了抗疫特别国债安排的支出。较年初预算数增加4894.1万元，增长43.3%。主要原因是财政来的存量资金，未计入收入。此外，年初财政拨款结转和结余7,818.58万元。</w:t>
      </w:r>
    </w:p>
    <w:p>
      <w:pPr>
        <w:pStyle w:val="4"/>
        <w:shd w:val="clear" w:color="auto" w:fill="FFFFFF"/>
        <w:spacing w:before="0" w:beforeAutospacing="0" w:after="0" w:afterAutospacing="0" w:line="520" w:lineRule="exact"/>
        <w:ind w:firstLine="643" w:firstLineChars="200"/>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2.支出情况。</w:t>
      </w:r>
      <w:r>
        <w:rPr>
          <w:rFonts w:hint="eastAsia" w:ascii="方正仿宋_GBK" w:hAnsi="方正仿宋_GBK" w:eastAsia="方正仿宋_GBK" w:cs="方正仿宋_GBK"/>
          <w:sz w:val="32"/>
          <w:szCs w:val="32"/>
        </w:rPr>
        <w:t>2020年度一般公共预算财政拨款支出21,489.74万元，较上年决算数减少339.85万元，下降1.6%。主要原因是用于特困人员的救济支出转为了抗疫特别国债安排的支出。较年初预算数增加4,149.56万元，增长23.9%。主要原因是年中追加了民政资金。</w:t>
      </w:r>
    </w:p>
    <w:p>
      <w:pPr>
        <w:pStyle w:val="4"/>
        <w:shd w:val="clear" w:color="auto" w:fill="FFFFFF"/>
        <w:spacing w:before="0" w:beforeAutospacing="0" w:after="0" w:afterAutospacing="0" w:line="520" w:lineRule="exact"/>
        <w:ind w:firstLine="643" w:firstLineChars="200"/>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3.结转结余情况。</w:t>
      </w:r>
      <w:r>
        <w:rPr>
          <w:rFonts w:hint="eastAsia" w:ascii="方正仿宋_GBK" w:hAnsi="方正仿宋_GBK" w:eastAsia="方正仿宋_GBK" w:cs="方正仿宋_GBK"/>
          <w:sz w:val="32"/>
          <w:szCs w:val="32"/>
        </w:rPr>
        <w:t>2020年度年末一般公共预算财政拨款结转和结余2,538.24万元，较上年决算数减少3,613.12万元，下降58.7%，主要原因是2020年收入减少，支出增多。</w:t>
      </w:r>
    </w:p>
    <w:p>
      <w:pPr>
        <w:pStyle w:val="4"/>
        <w:shd w:val="clear" w:color="auto" w:fill="FFFFFF"/>
        <w:spacing w:before="0" w:beforeAutospacing="0" w:after="0" w:afterAutospacing="0" w:line="520" w:lineRule="exact"/>
        <w:ind w:firstLine="643" w:firstLineChars="200"/>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4.比较情况</w:t>
      </w:r>
      <w:r>
        <w:rPr>
          <w:rFonts w:hint="eastAsia" w:ascii="方正仿宋_GBK" w:hAnsi="方正仿宋_GBK" w:eastAsia="方正仿宋_GBK" w:cs="方正仿宋_GBK"/>
          <w:sz w:val="32"/>
          <w:szCs w:val="32"/>
        </w:rPr>
        <w:t>。本部门2020年度一般公共预算财政拨款支出主要用于以下几个方面：</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color w:val="333333"/>
          <w:sz w:val="32"/>
          <w:szCs w:val="32"/>
          <w:shd w:val="clear" w:color="auto" w:fill="FEFEFE"/>
        </w:rPr>
      </w:pPr>
      <w:r>
        <w:rPr>
          <w:rFonts w:hint="eastAsia" w:ascii="方正仿宋_GBK" w:hAnsi="方正仿宋_GBK" w:eastAsia="方正仿宋_GBK" w:cs="方正仿宋_GBK"/>
          <w:sz w:val="32"/>
          <w:szCs w:val="32"/>
        </w:rPr>
        <w:t>(1)教育支出3.03万元，占0%，较年初预算数增加0.00万元，增长0%，主要原因是严格按预算执行，教育支出主要用于全局事业职工的继续教育培训。</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社会保障与就业支出21,390.77万元，占99.5%，较年初预算数增加4,148.48万元，增长24.1%，主要原因是一是保障标准提高。从2020年9月1日起，城市居民最低生活保障标准提高到每人每月620元，农村居民最低生活保障标准提高到每人每月496元；特困人员基本生活标准提高到每人每月806元；二是保障对象增加。2020年全县共有城乡低保对象11887户18249人，户数同比增加5.93%，人数同比增加10.27%；2020年共救助困难群众实施临时救助5277人次，同比增长1.6%；2020年新增特困供养对象163人。社会保障与就业支出主要用于对困难群众的生活补助。</w:t>
      </w:r>
    </w:p>
    <w:p>
      <w:pPr>
        <w:spacing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(3)卫生健康支出45.60万元，占0.2%，较年初预算数减少0.21万元，下降0.5%，主要原因是人员减少。卫生健康支出主要用于缴纳医疗保险。</w:t>
      </w:r>
    </w:p>
    <w:p>
      <w:pPr>
        <w:spacing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(4)住房保障支出50.34万元，占0.2%，较年初预算数增加1.29万元，增长2.6%，主要原因是人员工资增加，基数上调。住房保障支出主要用于缴纳住房公积金。</w:t>
      </w:r>
    </w:p>
    <w:p>
      <w:pPr>
        <w:spacing w:line="520" w:lineRule="exact"/>
        <w:ind w:firstLine="640" w:firstLineChars="200"/>
        <w:jc w:val="both"/>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(四)一般公共预算财政拨款基本支出决算情况说明</w:t>
      </w:r>
    </w:p>
    <w:p>
      <w:pPr>
        <w:spacing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一般公共财政拨款基本支出1,386.45万元。其中：人员经费1,088.03万元，较上年决算数减少111.32万元，下降9.3%，主要原因是本年人员交去年有所减少。人员经费用途主要包括基本工资、津贴补贴、奖金、其他社会保障缴费、伙食补助费、绩效工资、机关事业单位基本养老保险缴费、职业年金缴费、其他工资福利支出、职工住房公积金、离退休费。公用经费298.41万元，较上年决算数减少140.20万元，下降32%，主要原因是我局严控办公经费，公务接待费，公车运行经费。公用经费用途主要包括办公费、印刷费、水费、电费、邮电费、差旅费、维修(护)费、会议费、培训费、公务接待费、专用材料费、劳务费、工会经费、公务用车运行维护费、其他交通费、其他商品和服务支出。</w:t>
      </w:r>
    </w:p>
    <w:p>
      <w:pPr>
        <w:spacing w:line="520" w:lineRule="exact"/>
        <w:ind w:firstLine="640" w:firstLineChars="200"/>
        <w:jc w:val="both"/>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(五)政府性基金预算收支决算情况说明</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政府性基金预算财政拨款年初结转结余0.00万元，年末结转结余992.79万元。本年收入4,807.68万元，较上年决算数增加3,137.51万元，增长187.9%，主要原因是2020年用于特困人员的救济支出3424.16万元转为了抗疫特别国债安排的支出。本年支出3,814.89万元，较上年决算数增加2,144.72万元，增长128.4%，主要原因是2020年用于特困人员的救济支出3424.16万元转为了抗疫特别国债安排的支出。</w:t>
      </w:r>
    </w:p>
    <w:p>
      <w:pPr>
        <w:spacing w:line="520" w:lineRule="exact"/>
        <w:ind w:firstLine="640" w:firstLineChars="200"/>
        <w:jc w:val="both"/>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(六)国有资本经营预算财政拨款支出决算情况说明</w:t>
      </w:r>
    </w:p>
    <w:p>
      <w:pPr>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本部门2020年度无国有资本经营预算财政拨款支出。</w:t>
      </w:r>
    </w:p>
    <w:p>
      <w:pPr>
        <w:shd w:val="clear" w:color="auto" w:fill="FFFFFF"/>
        <w:spacing w:line="520" w:lineRule="exact"/>
        <w:ind w:firstLine="640" w:firstLineChars="200"/>
        <w:jc w:val="both"/>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三、“三公”经费情况说明</w:t>
      </w:r>
    </w:p>
    <w:p>
      <w:pPr>
        <w:spacing w:line="520" w:lineRule="exact"/>
        <w:ind w:firstLine="640" w:firstLineChars="200"/>
        <w:jc w:val="both"/>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(一)“三公”经费支出总体情况说明</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2020年度“三公”经费支出共计22.84万元，较年初预算数减少2.23万元，下降8.9%，主要原因是严格贯彻落实中央八项规定精神和厉行节约要求。较上年支出数减少2.32万元，下降9.2%，主要原因一是认真贯彻落实中央八项规定精神和厉行节约要求，按照只减不增的要求从严控制三公经费，全年实际支出较预算和决算均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w:t>
      </w:r>
      <w:r>
        <w:rPr>
          <w:rFonts w:hint="eastAsia" w:ascii="方正仿宋_GBK" w:hAnsi="方正仿宋_GBK" w:eastAsia="方正仿宋_GBK" w:cs="方正仿宋_GBK"/>
          <w:sz w:val="32"/>
          <w:szCs w:val="32"/>
        </w:rPr>
        <w:t>。</w:t>
      </w:r>
    </w:p>
    <w:p>
      <w:pPr>
        <w:spacing w:line="520" w:lineRule="exact"/>
        <w:ind w:firstLine="640" w:firstLineChars="200"/>
        <w:jc w:val="both"/>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(二)“三公”经费分项支出情况</w:t>
      </w:r>
    </w:p>
    <w:p>
      <w:pPr>
        <w:pStyle w:val="4"/>
        <w:shd w:val="clear" w:color="auto" w:fill="FFFFFF"/>
        <w:spacing w:before="0" w:beforeAutospacing="0" w:after="0" w:afterAutospacing="0" w:line="520"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2020年部门因公出国(境)费用0万元，主要原因是本单位</w:t>
      </w:r>
      <w:r>
        <w:rPr>
          <w:rFonts w:ascii="方正仿宋_GBK" w:hAnsi="方正仿宋_GBK" w:eastAsia="方正仿宋_GBK" w:cs="方正仿宋_GBK"/>
          <w:color w:val="000000"/>
          <w:sz w:val="32"/>
          <w:szCs w:val="32"/>
        </w:rPr>
        <w:t>2020年度未发生“因公出国（境）”经费支出。费用支出较年初预算数增加0.00万元，增长0.0%，主要原因是本单位2020年度未发生“因公出国（境）”经费支出。较上年支出数增加0.00万元，增长0.0%，主要原因是本单位2020年度未发生“因公出国（境）”经费支出。</w:t>
      </w:r>
    </w:p>
    <w:p>
      <w:pPr>
        <w:pStyle w:val="4"/>
        <w:shd w:val="clear" w:color="auto" w:fill="FFFFFF"/>
        <w:spacing w:before="0" w:beforeAutospacing="0" w:after="0" w:afterAutospacing="0" w:line="520"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公务车购置费0万元，主要原因是本单位</w:t>
      </w:r>
      <w:r>
        <w:rPr>
          <w:rFonts w:ascii="方正仿宋_GBK" w:hAnsi="方正仿宋_GBK" w:eastAsia="方正仿宋_GBK" w:cs="方正仿宋_GBK"/>
          <w:color w:val="000000"/>
          <w:sz w:val="32"/>
          <w:szCs w:val="32"/>
        </w:rPr>
        <w:t>2020年度未发生“公务车购置”经费支出。费用支出较年初预算数增加0.00万元，增长0.0%，主要原因是本单位2020年度未发生“公务车购置”经费支出。较上年支出数增加0.00万元，增长0.0%，主要原因是本单位2020年度未发生“公务车购置”经费支出。</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公务车运行维护费18.38万元，主要用于财政业务检查等工作所需车辆的燃料费、维修费、过桥过路费、保险费等。费用支出较年初预算数减少1.42万元，下降7.2%，主要原因是严格落实公车使用规定，严禁公车私用，公车运行维护成本大幅下降。较上年支出数减少1.51万元，下降7.6%，主要原因是主要原因是严格落实公车使用规定，公车运行维护成本大幅下降。</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公务接待费4.47万元，主要用于接待主要用于接待主要用于接待市级相关部门检查指导工作发生的接待支出、市内其他区县民政局来我处参观学习的接待支出</w:t>
      </w:r>
      <w:r>
        <w:rPr>
          <w:rFonts w:hint="eastAsia" w:ascii="方正仿宋_GBK" w:hAnsi="方正仿宋_GBK" w:eastAsia="方正仿宋_GBK" w:cs="方正仿宋_GBK"/>
          <w:sz w:val="32"/>
          <w:szCs w:val="32"/>
        </w:rPr>
        <w:t>。费用支出较年初预算数减少0.80万元，下降15.2%，主要原因是主要原因是单位厉行节约，强化公务接待支出管理。较上年支出数减少0.79万元，下降15%，主要原因是主要原因是严格遵守公务接待开支范围和开支标准，严格控制陪餐人数，对应由接待对象承担的费用一律由接待对象自行支付，公务接待费大幅下降。</w:t>
      </w:r>
    </w:p>
    <w:p>
      <w:pPr>
        <w:spacing w:line="520" w:lineRule="exact"/>
        <w:ind w:firstLine="640" w:firstLineChars="200"/>
        <w:jc w:val="both"/>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(三)“三公”经费实物量情况</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本部门因公出国(境)共计0个团组，0人；公务用车购置0辆，公务车保有量为8辆；国内公务接待44批次593人，其中：国内外事接待0批次，0人；国(境)外公务接待0批次，0人。2020年本部门人均接待费75.31元，车均购置费0.00万元，车均维护费2.30万元。</w:t>
      </w:r>
    </w:p>
    <w:p>
      <w:pPr>
        <w:shd w:val="clear" w:color="auto" w:fill="FFFFFF"/>
        <w:spacing w:line="520" w:lineRule="exact"/>
        <w:ind w:firstLine="640" w:firstLineChars="200"/>
        <w:jc w:val="both"/>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四、其他需要说明的事项</w:t>
      </w:r>
    </w:p>
    <w:p>
      <w:pPr>
        <w:spacing w:line="520" w:lineRule="exact"/>
        <w:ind w:firstLine="640" w:firstLineChars="200"/>
        <w:jc w:val="both"/>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(一)机关运行经费情况说明</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本部门机关运行经费支出103.91万元，机关运行经费主要用于办公费、会议费、公务车运行维护费、信息网络购置更新费、邮电费、水费、电费、差旅费、专用材料费等。机关运行经费较上年决算数减少45.93万元，下降30.7%，主要原因是严格落实紧日子要求。</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0.23万元，较上年决算数减少14.58万元，下降98.4%，主要原因是受疫情影响，开会次数减少。本年度培训费支出9.16万元，较上年决算数增加6.29万元，增长219.2%，主要原因是2020年受疫情影响，社工考前培训以前在市局，现改为了在本局培训。</w:t>
      </w:r>
    </w:p>
    <w:p>
      <w:pPr>
        <w:spacing w:line="520" w:lineRule="exact"/>
        <w:ind w:firstLine="640" w:firstLineChars="200"/>
        <w:jc w:val="both"/>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(二)国有资产占用情况说明</w:t>
      </w:r>
    </w:p>
    <w:p>
      <w:pPr>
        <w:shd w:val="clear" w:color="auto" w:fill="FFFFFF"/>
        <w:spacing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2020年12月31日，本部门共有车辆8辆，其中，副部(省)级及以上领导用车0辆、主要领导干部用车0辆、机要通信用车1辆、应急保障用车2辆、执法执勤用车0辆，特种专业技术用车5辆，离退休干部用车0辆，其他用车0辆。单价50万元(含)以上通用设备1台(套)，单价100万元(含)以上专用设备0台(套)。</w:t>
      </w:r>
    </w:p>
    <w:p>
      <w:pPr>
        <w:spacing w:line="520" w:lineRule="exact"/>
        <w:ind w:firstLine="640" w:firstLineChars="200"/>
        <w:jc w:val="both"/>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(三)政府采购支出情况说明</w:t>
      </w:r>
    </w:p>
    <w:p>
      <w:pPr>
        <w:shd w:val="clear" w:color="auto" w:fill="FFFFFF"/>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2020年度本部门政府采购支出总额669.48万元，其中：政府采购货物支出419.19万元、政府采购工程支出25.47万元、政府采购服务支出224.83万元。授予中小企业合同金额669.48万元，占政府采购支出总额的100.0%，其中：授予小微企业合同金额669.48万元，占政府采购支出总额的100.0%。主要用于采购主要用于采购春节慰问物资和办公用品。</w:t>
      </w:r>
      <w:r>
        <w:rPr>
          <w:rFonts w:hint="eastAsia" w:ascii="方正仿宋_GBK" w:hAnsi="方正仿宋_GBK" w:eastAsia="方正仿宋_GBK" w:cs="方正仿宋_GBK"/>
          <w:color w:val="000000"/>
          <w:sz w:val="32"/>
          <w:szCs w:val="32"/>
        </w:rPr>
        <w:t>  </w:t>
      </w:r>
    </w:p>
    <w:p>
      <w:pPr>
        <w:shd w:val="clear" w:color="auto" w:fill="FFFFFF"/>
        <w:spacing w:line="520" w:lineRule="exact"/>
        <w:ind w:firstLine="640" w:firstLineChars="200"/>
        <w:jc w:val="both"/>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五、预算绩效管理情况说明</w:t>
      </w:r>
    </w:p>
    <w:p>
      <w:pPr>
        <w:spacing w:line="520" w:lineRule="exact"/>
        <w:ind w:firstLine="640" w:firstLineChars="200"/>
        <w:jc w:val="both"/>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(一)预算绩效管理工作开展情况</w:t>
      </w:r>
    </w:p>
    <w:p>
      <w:pPr>
        <w:shd w:val="clear" w:color="auto" w:fill="FFFFFF"/>
        <w:spacing w:line="52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根据预算绩效管理要求，本部门对34个项目开展了绩效自评，涉及资金23962.26万元。其中，以填报目标自评表形式开展自评34项。</w:t>
      </w:r>
      <w:r>
        <w:rPr>
          <w:rFonts w:eastAsia="方正仿宋_GBK"/>
          <w:sz w:val="32"/>
          <w:szCs w:val="32"/>
        </w:rPr>
        <w:t>通过这次绩效评价，社会救助专项资金、社会福利专项资金和民政管理事务专项资金均严格按照民政资金使用管理办法进行使用，各项资金均按标准足额及时补助到位，做到不重不漏不错发，困难群众及基层服务对象满意度均在9</w:t>
      </w:r>
      <w:r>
        <w:rPr>
          <w:rFonts w:hint="eastAsia" w:eastAsia="方正仿宋_GBK"/>
          <w:sz w:val="32"/>
          <w:szCs w:val="32"/>
        </w:rPr>
        <w:t>0</w:t>
      </w:r>
      <w:r>
        <w:rPr>
          <w:rFonts w:eastAsia="方正仿宋_GBK"/>
          <w:sz w:val="32"/>
          <w:szCs w:val="32"/>
        </w:rPr>
        <w:t>%以上。</w:t>
      </w:r>
    </w:p>
    <w:p>
      <w:pPr>
        <w:spacing w:line="520" w:lineRule="exact"/>
        <w:ind w:firstLine="640" w:firstLineChars="200"/>
        <w:jc w:val="both"/>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(二)绩效自评结果</w:t>
      </w:r>
    </w:p>
    <w:p>
      <w:pPr>
        <w:spacing w:line="520" w:lineRule="exact"/>
        <w:ind w:firstLine="643" w:firstLineChars="200"/>
        <w:jc w:val="both"/>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1.绩效目标自评表</w:t>
      </w:r>
    </w:p>
    <w:p>
      <w:pPr>
        <w:spacing w:line="52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2020年困难群众基本生活救助项目绩效目标自评综述：根据年初设定的绩效目标，项目总体完成情况一是筑牢了民生保障底线，保障了城乡低收入人群的基本生活；二是基本解决了我县特困人员生活困难，满足了特困人员基本需求，做到了应养尽养；三是对生活无着落的流浪乞讨人员提供了主动救助、临时安置等救助；四是发挥了社会救助托底线、救急难功能，解决城乡困难群众突发性、紧迫性、临时生活困难；五是保障了孤儿(艾滋病儿、事实无人抚养儿童)的基本生活。收到项目资金14914.74万元(其中：中央资金7379万元，市级资金3658万元，县级资金3877.74万元)，资金到位率100.0%。已使用困难群众救助资金17253.1万元(其中：中央资金7379万元，市级资金3658万元，县级资金3877.74万元，使用上年结转资金2338.36万元)，执行率达100.0%。</w:t>
      </w:r>
    </w:p>
    <w:p>
      <w:pPr>
        <w:spacing w:line="52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主要产出和效果：2020年，救助覆盖面实现了应保尽保、应救尽救。其中补助低保18249人，特困供养4650人，临时救助5098人，孤儿(艾滋病儿、事实无人抚养儿童)148人，救助流浪乞讨人员128人次。二是城市居民最低生活保障标准每人每月620元；农村居民最低生活保障标准每人每月496元；全市特困人员基本生活标准每人每月806元；散居孤儿基本生活保障标准每人每月1256元；三是建立了社会救助家庭经济状况核对机制；四是在规定时限内拨付市级以上困难群众补助资金的比例达100.0%；五是全县困难群众的基本生活得到保障，通过对符合民政救助相关条件的困难群众给予救助，困难群众的生活状况得以改善；六是困难群众基本生活救助保障制度不断完善，</w:t>
      </w:r>
      <w:r>
        <w:rPr>
          <w:rFonts w:hint="eastAsia" w:ascii="方正仿宋_GBK" w:hAnsi="方正仿宋_GBK" w:eastAsia="方正仿宋_GBK" w:cs="方正仿宋_GBK"/>
          <w:color w:val="191919"/>
          <w:sz w:val="32"/>
          <w:szCs w:val="32"/>
          <w:shd w:val="clear" w:color="auto" w:fill="FFFFFF"/>
        </w:rPr>
        <w:t>困难群众基本生活水平</w:t>
      </w:r>
      <w:r>
        <w:rPr>
          <w:rFonts w:hint="eastAsia" w:ascii="方正仿宋_GBK" w:hAnsi="方正仿宋_GBK" w:eastAsia="方正仿宋_GBK" w:cs="方正仿宋_GBK"/>
          <w:color w:val="000000" w:themeColor="text1"/>
          <w:sz w:val="32"/>
          <w:szCs w:val="32"/>
        </w:rPr>
        <w:t>不断提升。发现的问题及原因，2019年的特困资金结转较大，2020年预算安排较少，故资金执行率超过100.0%。下一步改进措施，将上年结转资金纳入本年度预算，延续下年度使用。 </w:t>
      </w:r>
    </w:p>
    <w:p>
      <w:pPr>
        <w:spacing w:line="520" w:lineRule="exact"/>
        <w:ind w:firstLine="640" w:firstLineChars="200"/>
        <w:jc w:val="both"/>
        <w:rPr>
          <w:rFonts w:ascii="方正仿宋_GBK" w:hAnsi="方正仿宋_GBK" w:eastAsia="方正仿宋_GBK" w:cs="方正仿宋_GBK"/>
          <w:color w:val="000000" w:themeColor="text1"/>
          <w:sz w:val="32"/>
          <w:szCs w:val="32"/>
        </w:rPr>
      </w:pPr>
    </w:p>
    <w:p>
      <w:pPr>
        <w:spacing w:line="520" w:lineRule="exact"/>
        <w:ind w:firstLine="640" w:firstLineChars="200"/>
        <w:jc w:val="both"/>
        <w:rPr>
          <w:rFonts w:ascii="方正仿宋_GBK" w:hAnsi="方正仿宋_GBK" w:eastAsia="方正仿宋_GBK" w:cs="方正仿宋_GBK"/>
          <w:color w:val="000000" w:themeColor="text1"/>
          <w:sz w:val="32"/>
          <w:szCs w:val="32"/>
        </w:rPr>
      </w:pPr>
    </w:p>
    <w:p>
      <w:pPr>
        <w:spacing w:line="520" w:lineRule="exact"/>
        <w:ind w:firstLine="640" w:firstLineChars="200"/>
        <w:jc w:val="both"/>
        <w:rPr>
          <w:rFonts w:ascii="方正仿宋_GBK" w:hAnsi="方正仿宋_GBK" w:eastAsia="方正仿宋_GBK" w:cs="方正仿宋_GBK"/>
          <w:color w:val="000000" w:themeColor="text1"/>
          <w:sz w:val="32"/>
          <w:szCs w:val="32"/>
        </w:rPr>
      </w:pPr>
    </w:p>
    <w:p>
      <w:pPr>
        <w:spacing w:line="520" w:lineRule="exact"/>
        <w:ind w:firstLine="640" w:firstLineChars="200"/>
        <w:jc w:val="both"/>
        <w:rPr>
          <w:rFonts w:ascii="方正仿宋_GBK" w:hAnsi="方正仿宋_GBK" w:eastAsia="方正仿宋_GBK" w:cs="方正仿宋_GBK"/>
          <w:color w:val="000000" w:themeColor="text1"/>
          <w:sz w:val="32"/>
          <w:szCs w:val="32"/>
        </w:rPr>
      </w:pPr>
    </w:p>
    <w:p>
      <w:pPr>
        <w:spacing w:line="520" w:lineRule="exact"/>
        <w:ind w:firstLine="640" w:firstLineChars="200"/>
        <w:jc w:val="both"/>
        <w:rPr>
          <w:rFonts w:ascii="方正仿宋_GBK" w:hAnsi="方正仿宋_GBK" w:eastAsia="方正仿宋_GBK" w:cs="方正仿宋_GBK"/>
          <w:color w:val="000000" w:themeColor="text1"/>
          <w:sz w:val="32"/>
          <w:szCs w:val="32"/>
        </w:rPr>
      </w:pPr>
    </w:p>
    <w:p>
      <w:pPr>
        <w:spacing w:line="52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 </w:t>
      </w:r>
    </w:p>
    <w:p>
      <w:pPr>
        <w:snapToGrid w:val="0"/>
        <w:jc w:val="center"/>
        <w:rPr>
          <w:rFonts w:ascii="方正黑体_GBK" w:hAnsi="方正黑体_GBK" w:eastAsia="方正黑体_GBK" w:cs="方正黑体_GBK"/>
          <w:sz w:val="30"/>
          <w:szCs w:val="30"/>
        </w:rPr>
      </w:pPr>
      <w:r>
        <w:rPr>
          <w:rFonts w:hint="eastAsia" w:ascii="方正黑体_GBK" w:hAnsi="方正黑体_GBK" w:eastAsia="方正黑体_GBK" w:cs="方正黑体_GBK"/>
          <w:bCs/>
          <w:color w:val="000000"/>
          <w:sz w:val="30"/>
          <w:szCs w:val="30"/>
        </w:rPr>
        <w:t>2020年中央转移支付区域(项目)绩效目标自评表</w:t>
      </w:r>
    </w:p>
    <w:tbl>
      <w:tblPr>
        <w:tblStyle w:val="5"/>
        <w:tblW w:w="9497" w:type="dxa"/>
        <w:jc w:val="center"/>
        <w:tblInd w:w="0" w:type="dxa"/>
        <w:tblLayout w:type="fixed"/>
        <w:tblCellMar>
          <w:top w:w="0" w:type="dxa"/>
          <w:left w:w="108" w:type="dxa"/>
          <w:bottom w:w="0" w:type="dxa"/>
          <w:right w:w="108" w:type="dxa"/>
        </w:tblCellMar>
      </w:tblPr>
      <w:tblGrid>
        <w:gridCol w:w="1062"/>
        <w:gridCol w:w="1633"/>
        <w:gridCol w:w="599"/>
        <w:gridCol w:w="955"/>
        <w:gridCol w:w="647"/>
        <w:gridCol w:w="1088"/>
        <w:gridCol w:w="1136"/>
        <w:gridCol w:w="663"/>
        <w:gridCol w:w="788"/>
        <w:gridCol w:w="926"/>
      </w:tblGrid>
      <w:tr>
        <w:tblPrEx>
          <w:tblLayout w:type="fixed"/>
          <w:tblCellMar>
            <w:top w:w="0" w:type="dxa"/>
            <w:left w:w="108" w:type="dxa"/>
            <w:bottom w:w="0" w:type="dxa"/>
            <w:right w:w="108" w:type="dxa"/>
          </w:tblCellMar>
        </w:tblPrEx>
        <w:trPr>
          <w:trHeight w:val="523" w:hRule="atLeast"/>
          <w:jc w:val="center"/>
        </w:trPr>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专项名称</w:t>
            </w:r>
          </w:p>
        </w:tc>
        <w:tc>
          <w:tcPr>
            <w:tcW w:w="4922" w:type="dxa"/>
            <w:gridSpan w:val="5"/>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困难群众基本生活救助</w:t>
            </w:r>
          </w:p>
        </w:tc>
        <w:tc>
          <w:tcPr>
            <w:tcW w:w="113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自评总分(分)</w:t>
            </w:r>
          </w:p>
        </w:tc>
        <w:tc>
          <w:tcPr>
            <w:tcW w:w="2377" w:type="dxa"/>
            <w:gridSpan w:val="3"/>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100</w:t>
            </w:r>
          </w:p>
        </w:tc>
      </w:tr>
      <w:tr>
        <w:tblPrEx>
          <w:tblLayout w:type="fixed"/>
          <w:tblCellMar>
            <w:top w:w="0" w:type="dxa"/>
            <w:left w:w="108" w:type="dxa"/>
            <w:bottom w:w="0" w:type="dxa"/>
            <w:right w:w="108" w:type="dxa"/>
          </w:tblCellMar>
        </w:tblPrEx>
        <w:trPr>
          <w:trHeight w:val="588" w:hRule="atLeast"/>
          <w:jc w:val="center"/>
        </w:trPr>
        <w:tc>
          <w:tcPr>
            <w:tcW w:w="1062"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业务主管部门</w:t>
            </w:r>
          </w:p>
        </w:tc>
        <w:tc>
          <w:tcPr>
            <w:tcW w:w="4922" w:type="dxa"/>
            <w:gridSpan w:val="5"/>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垫江县民政局</w:t>
            </w:r>
          </w:p>
        </w:tc>
        <w:tc>
          <w:tcPr>
            <w:tcW w:w="113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联系人</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及电话</w:t>
            </w:r>
          </w:p>
        </w:tc>
        <w:tc>
          <w:tcPr>
            <w:tcW w:w="2377" w:type="dxa"/>
            <w:gridSpan w:val="3"/>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胡显银02374517378</w:t>
            </w:r>
          </w:p>
        </w:tc>
      </w:tr>
      <w:tr>
        <w:tblPrEx>
          <w:tblLayout w:type="fixed"/>
          <w:tblCellMar>
            <w:top w:w="0" w:type="dxa"/>
            <w:left w:w="108" w:type="dxa"/>
            <w:bottom w:w="0" w:type="dxa"/>
            <w:right w:w="108" w:type="dxa"/>
          </w:tblCellMar>
        </w:tblPrEx>
        <w:trPr>
          <w:trHeight w:val="728" w:hRule="atLeast"/>
          <w:jc w:val="center"/>
        </w:trPr>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项目资金(万元)</w:t>
            </w:r>
          </w:p>
        </w:tc>
        <w:tc>
          <w:tcPr>
            <w:tcW w:w="163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554" w:type="dxa"/>
            <w:gridSpan w:val="2"/>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年初预算数</w:t>
            </w:r>
          </w:p>
        </w:tc>
        <w:tc>
          <w:tcPr>
            <w:tcW w:w="1735" w:type="dxa"/>
            <w:gridSpan w:val="2"/>
            <w:tcBorders>
              <w:top w:val="single" w:color="auto" w:sz="4" w:space="0"/>
              <w:left w:val="nil"/>
              <w:bottom w:val="single" w:color="auto" w:sz="4" w:space="0"/>
              <w:right w:val="nil"/>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全年预算数</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(压减、调整后预算数)</w:t>
            </w:r>
          </w:p>
        </w:tc>
        <w:tc>
          <w:tcPr>
            <w:tcW w:w="17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全年执行数</w:t>
            </w:r>
          </w:p>
        </w:tc>
        <w:tc>
          <w:tcPr>
            <w:tcW w:w="7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执行率</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w:t>
            </w:r>
          </w:p>
        </w:tc>
        <w:tc>
          <w:tcPr>
            <w:tcW w:w="92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执行率得分(分)</w:t>
            </w:r>
          </w:p>
        </w:tc>
      </w:tr>
      <w:tr>
        <w:tblPrEx>
          <w:tblLayout w:type="fixed"/>
          <w:tblCellMar>
            <w:top w:w="0" w:type="dxa"/>
            <w:left w:w="108" w:type="dxa"/>
            <w:bottom w:w="0" w:type="dxa"/>
            <w:right w:w="108" w:type="dxa"/>
          </w:tblCellMar>
        </w:tblPrEx>
        <w:trPr>
          <w:trHeight w:val="363"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63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年度总金额</w:t>
            </w:r>
          </w:p>
        </w:tc>
        <w:tc>
          <w:tcPr>
            <w:tcW w:w="1554" w:type="dxa"/>
            <w:gridSpan w:val="2"/>
            <w:tcBorders>
              <w:top w:val="single" w:color="auto" w:sz="4" w:space="0"/>
              <w:left w:val="nil"/>
              <w:bottom w:val="nil"/>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9066</w:t>
            </w:r>
          </w:p>
        </w:tc>
        <w:tc>
          <w:tcPr>
            <w:tcW w:w="1735"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11906.9</w:t>
            </w:r>
          </w:p>
        </w:tc>
        <w:tc>
          <w:tcPr>
            <w:tcW w:w="1799" w:type="dxa"/>
            <w:gridSpan w:val="2"/>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14523.7</w:t>
            </w:r>
          </w:p>
        </w:tc>
        <w:tc>
          <w:tcPr>
            <w:tcW w:w="7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100.0%</w:t>
            </w:r>
          </w:p>
        </w:tc>
        <w:tc>
          <w:tcPr>
            <w:tcW w:w="92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w:t>
            </w:r>
          </w:p>
        </w:tc>
      </w:tr>
      <w:tr>
        <w:tblPrEx>
          <w:tblLayout w:type="fixed"/>
          <w:tblCellMar>
            <w:top w:w="0" w:type="dxa"/>
            <w:left w:w="108" w:type="dxa"/>
            <w:bottom w:w="0" w:type="dxa"/>
            <w:right w:w="108" w:type="dxa"/>
          </w:tblCellMar>
        </w:tblPrEx>
        <w:trPr>
          <w:trHeight w:val="728"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633" w:type="dxa"/>
            <w:tcBorders>
              <w:top w:val="nil"/>
              <w:left w:val="nil"/>
              <w:bottom w:val="single" w:color="auto" w:sz="4" w:space="0"/>
              <w:right w:val="nil"/>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其中：市级支出</w:t>
            </w:r>
          </w:p>
        </w:tc>
        <w:tc>
          <w:tcPr>
            <w:tcW w:w="155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color w:val="000000"/>
                <w:sz w:val="18"/>
                <w:szCs w:val="18"/>
              </w:rPr>
              <w:t>市级3658，县级3877.74</w:t>
            </w:r>
          </w:p>
        </w:tc>
        <w:tc>
          <w:tcPr>
            <w:tcW w:w="1735"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color w:val="000000"/>
                <w:sz w:val="18"/>
                <w:szCs w:val="18"/>
              </w:rPr>
              <w:t>市级3658，县级6216.1(含上年结转资金2338.36万元)</w:t>
            </w:r>
          </w:p>
        </w:tc>
        <w:tc>
          <w:tcPr>
            <w:tcW w:w="179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7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92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r>
      <w:tr>
        <w:tblPrEx>
          <w:tblLayout w:type="fixed"/>
          <w:tblCellMar>
            <w:top w:w="0" w:type="dxa"/>
            <w:left w:w="108" w:type="dxa"/>
            <w:bottom w:w="0" w:type="dxa"/>
            <w:right w:w="108" w:type="dxa"/>
          </w:tblCellMar>
        </w:tblPrEx>
        <w:trPr>
          <w:trHeight w:val="363"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63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补助区县</w:t>
            </w:r>
          </w:p>
        </w:tc>
        <w:tc>
          <w:tcPr>
            <w:tcW w:w="1554" w:type="dxa"/>
            <w:gridSpan w:val="2"/>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735"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79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7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92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r>
      <w:tr>
        <w:tblPrEx>
          <w:tblLayout w:type="fixed"/>
          <w:tblCellMar>
            <w:top w:w="0" w:type="dxa"/>
            <w:left w:w="108" w:type="dxa"/>
            <w:bottom w:w="0" w:type="dxa"/>
            <w:right w:w="108" w:type="dxa"/>
          </w:tblCellMar>
        </w:tblPrEx>
        <w:trPr>
          <w:trHeight w:val="558" w:hRule="atLeast"/>
          <w:jc w:val="center"/>
        </w:trPr>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年度总体目标</w:t>
            </w:r>
          </w:p>
        </w:tc>
        <w:tc>
          <w:tcPr>
            <w:tcW w:w="4922" w:type="dxa"/>
            <w:gridSpan w:val="5"/>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年初设定目标</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(如作出调整且备案，填写调整后的目标)</w:t>
            </w:r>
          </w:p>
        </w:tc>
        <w:tc>
          <w:tcPr>
            <w:tcW w:w="3513" w:type="dxa"/>
            <w:gridSpan w:val="4"/>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全年目标实际完成情况</w:t>
            </w:r>
          </w:p>
        </w:tc>
      </w:tr>
      <w:tr>
        <w:tblPrEx>
          <w:tblLayout w:type="fixed"/>
          <w:tblCellMar>
            <w:top w:w="0" w:type="dxa"/>
            <w:left w:w="108" w:type="dxa"/>
            <w:bottom w:w="0" w:type="dxa"/>
            <w:right w:w="108" w:type="dxa"/>
          </w:tblCellMar>
        </w:tblPrEx>
        <w:trPr>
          <w:trHeight w:val="2162"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4922" w:type="dxa"/>
            <w:gridSpan w:val="5"/>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筑牢民生保障底线，保障城乡低收入人群的基本生活。2.基本解决我县特困人员生活困难，满足特困人员基本需求，做到应养尽养。3.对生活无着落的流浪乞讨人员提供主动救助、临时安置等救助。4.发挥社会救助托底线、救急难功能，解决城乡困难群众突发性、紧迫性、临时生活困难。5.保障孤儿(艾滋病儿、事实无人抚养儿童)的基本生活。</w:t>
            </w:r>
          </w:p>
        </w:tc>
        <w:tc>
          <w:tcPr>
            <w:tcW w:w="3513" w:type="dxa"/>
            <w:gridSpan w:val="4"/>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一是筑牢了民生保障底线，保障了城乡低收入人群的基本生活；二是基本解决了我县特困人员生活困难，满足了特困人员基本需求，做到了应养尽养；三是对生活无着落的流浪乞讨人员提供了主动救助、临时安置等救助；四是发挥了社会救助托底线、救急难功能，解决城乡困难群众突发性、紧迫性、临时生活困难；五是保障了孤儿(艾滋病儿、事实无人抚养儿童)的基本生活。</w:t>
            </w:r>
          </w:p>
        </w:tc>
      </w:tr>
      <w:tr>
        <w:tblPrEx>
          <w:tblLayout w:type="fixed"/>
          <w:tblCellMar>
            <w:top w:w="0" w:type="dxa"/>
            <w:left w:w="108" w:type="dxa"/>
            <w:bottom w:w="0" w:type="dxa"/>
            <w:right w:w="108" w:type="dxa"/>
          </w:tblCellMar>
        </w:tblPrEx>
        <w:trPr>
          <w:trHeight w:val="1206" w:hRule="atLeast"/>
          <w:jc w:val="center"/>
        </w:trPr>
        <w:tc>
          <w:tcPr>
            <w:tcW w:w="1062" w:type="dxa"/>
            <w:vMerge w:val="restart"/>
            <w:tcBorders>
              <w:top w:val="nil"/>
              <w:left w:val="single" w:color="auto" w:sz="4" w:space="0"/>
              <w:bottom w:val="single" w:color="auto" w:sz="4" w:space="0"/>
              <w:right w:val="single" w:color="auto" w:sz="4" w:space="0"/>
            </w:tcBorders>
            <w:shd w:val="clear" w:color="auto" w:fill="auto"/>
            <w:textDirection w:val="tbLrV"/>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绩效指标</w:t>
            </w:r>
          </w:p>
        </w:tc>
        <w:tc>
          <w:tcPr>
            <w:tcW w:w="163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指标名称</w:t>
            </w:r>
          </w:p>
        </w:tc>
        <w:tc>
          <w:tcPr>
            <w:tcW w:w="599"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计量单位</w:t>
            </w:r>
          </w:p>
        </w:tc>
        <w:tc>
          <w:tcPr>
            <w:tcW w:w="95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年度指标值</w:t>
            </w:r>
          </w:p>
        </w:tc>
        <w:tc>
          <w:tcPr>
            <w:tcW w:w="64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调整后指标值</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(未调不填)</w:t>
            </w:r>
          </w:p>
        </w:tc>
        <w:tc>
          <w:tcPr>
            <w:tcW w:w="10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全年完成值</w:t>
            </w:r>
          </w:p>
        </w:tc>
        <w:tc>
          <w:tcPr>
            <w:tcW w:w="113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得分系数</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w:t>
            </w:r>
          </w:p>
        </w:tc>
        <w:tc>
          <w:tcPr>
            <w:tcW w:w="66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权重</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(分)</w:t>
            </w:r>
          </w:p>
        </w:tc>
        <w:tc>
          <w:tcPr>
            <w:tcW w:w="7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指标得分(分)</w:t>
            </w:r>
          </w:p>
        </w:tc>
        <w:tc>
          <w:tcPr>
            <w:tcW w:w="92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核心指标判断(填是或否)</w:t>
            </w:r>
          </w:p>
        </w:tc>
      </w:tr>
      <w:tr>
        <w:tblPrEx>
          <w:tblLayout w:type="fixed"/>
          <w:tblCellMar>
            <w:top w:w="0" w:type="dxa"/>
            <w:left w:w="108" w:type="dxa"/>
            <w:bottom w:w="0" w:type="dxa"/>
            <w:right w:w="108" w:type="dxa"/>
          </w:tblCellMar>
        </w:tblPrEx>
        <w:trPr>
          <w:trHeight w:val="773"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63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产出指标-数量指标-救助覆盖面</w:t>
            </w:r>
          </w:p>
        </w:tc>
        <w:tc>
          <w:tcPr>
            <w:tcW w:w="599"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95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应保尽保、应救尽救</w:t>
            </w:r>
          </w:p>
        </w:tc>
        <w:tc>
          <w:tcPr>
            <w:tcW w:w="64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0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应保尽保、应救尽救</w:t>
            </w:r>
          </w:p>
        </w:tc>
        <w:tc>
          <w:tcPr>
            <w:tcW w:w="1136"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100.0%</w:t>
            </w:r>
          </w:p>
        </w:tc>
        <w:tc>
          <w:tcPr>
            <w:tcW w:w="66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w:t>
            </w:r>
          </w:p>
        </w:tc>
        <w:tc>
          <w:tcPr>
            <w:tcW w:w="7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w:t>
            </w:r>
          </w:p>
        </w:tc>
        <w:tc>
          <w:tcPr>
            <w:tcW w:w="92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是</w:t>
            </w:r>
          </w:p>
        </w:tc>
      </w:tr>
      <w:tr>
        <w:tblPrEx>
          <w:tblLayout w:type="fixed"/>
          <w:tblCellMar>
            <w:top w:w="0" w:type="dxa"/>
            <w:left w:w="108" w:type="dxa"/>
            <w:bottom w:w="0" w:type="dxa"/>
            <w:right w:w="108" w:type="dxa"/>
          </w:tblCellMar>
        </w:tblPrEx>
        <w:trPr>
          <w:trHeight w:val="728"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63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产出指标-质量指标-救助标准</w:t>
            </w:r>
          </w:p>
        </w:tc>
        <w:tc>
          <w:tcPr>
            <w:tcW w:w="599"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95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与经济社会发展相适应</w:t>
            </w:r>
          </w:p>
        </w:tc>
        <w:tc>
          <w:tcPr>
            <w:tcW w:w="64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0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相适应</w:t>
            </w:r>
          </w:p>
        </w:tc>
        <w:tc>
          <w:tcPr>
            <w:tcW w:w="1136"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100.0%</w:t>
            </w:r>
          </w:p>
        </w:tc>
        <w:tc>
          <w:tcPr>
            <w:tcW w:w="66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w:t>
            </w:r>
          </w:p>
        </w:tc>
        <w:tc>
          <w:tcPr>
            <w:tcW w:w="7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w:t>
            </w:r>
          </w:p>
        </w:tc>
        <w:tc>
          <w:tcPr>
            <w:tcW w:w="92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是</w:t>
            </w:r>
          </w:p>
        </w:tc>
      </w:tr>
      <w:tr>
        <w:tblPrEx>
          <w:tblLayout w:type="fixed"/>
          <w:tblCellMar>
            <w:top w:w="0" w:type="dxa"/>
            <w:left w:w="108" w:type="dxa"/>
            <w:bottom w:w="0" w:type="dxa"/>
            <w:right w:w="108" w:type="dxa"/>
          </w:tblCellMar>
        </w:tblPrEx>
        <w:trPr>
          <w:trHeight w:val="967"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63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产出指标-质量指标-农村低保标准与国家扶贫标准比较</w:t>
            </w:r>
          </w:p>
        </w:tc>
        <w:tc>
          <w:tcPr>
            <w:tcW w:w="599"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95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农村低保标准≥国家扶贫标准</w:t>
            </w:r>
          </w:p>
        </w:tc>
        <w:tc>
          <w:tcPr>
            <w:tcW w:w="64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0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农村低保标准＞国家扶贫标准</w:t>
            </w:r>
          </w:p>
        </w:tc>
        <w:tc>
          <w:tcPr>
            <w:tcW w:w="1136"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100.0%</w:t>
            </w:r>
          </w:p>
        </w:tc>
        <w:tc>
          <w:tcPr>
            <w:tcW w:w="66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w:t>
            </w:r>
          </w:p>
        </w:tc>
        <w:tc>
          <w:tcPr>
            <w:tcW w:w="7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w:t>
            </w:r>
          </w:p>
        </w:tc>
        <w:tc>
          <w:tcPr>
            <w:tcW w:w="92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是</w:t>
            </w:r>
          </w:p>
        </w:tc>
      </w:tr>
      <w:tr>
        <w:tblPrEx>
          <w:tblLayout w:type="fixed"/>
          <w:tblCellMar>
            <w:top w:w="0" w:type="dxa"/>
            <w:left w:w="108" w:type="dxa"/>
            <w:bottom w:w="0" w:type="dxa"/>
            <w:right w:w="108" w:type="dxa"/>
          </w:tblCellMar>
        </w:tblPrEx>
        <w:trPr>
          <w:trHeight w:val="728"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63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产出指标-质量指标-生活不能自理特困人员集中供养率</w:t>
            </w:r>
          </w:p>
        </w:tc>
        <w:tc>
          <w:tcPr>
            <w:tcW w:w="599"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95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≥35%</w:t>
            </w:r>
          </w:p>
        </w:tc>
        <w:tc>
          <w:tcPr>
            <w:tcW w:w="64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0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35.8%</w:t>
            </w:r>
          </w:p>
        </w:tc>
        <w:tc>
          <w:tcPr>
            <w:tcW w:w="1136"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100.0%</w:t>
            </w:r>
          </w:p>
        </w:tc>
        <w:tc>
          <w:tcPr>
            <w:tcW w:w="66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w:t>
            </w:r>
          </w:p>
        </w:tc>
        <w:tc>
          <w:tcPr>
            <w:tcW w:w="7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w:t>
            </w:r>
          </w:p>
        </w:tc>
        <w:tc>
          <w:tcPr>
            <w:tcW w:w="92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是</w:t>
            </w:r>
          </w:p>
        </w:tc>
      </w:tr>
      <w:tr>
        <w:tblPrEx>
          <w:tblLayout w:type="fixed"/>
          <w:tblCellMar>
            <w:top w:w="0" w:type="dxa"/>
            <w:left w:w="108" w:type="dxa"/>
            <w:bottom w:w="0" w:type="dxa"/>
            <w:right w:w="108" w:type="dxa"/>
          </w:tblCellMar>
        </w:tblPrEx>
        <w:trPr>
          <w:trHeight w:val="728"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63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产出指标-质量指标-建立社会救助家庭经济状况核对机制</w:t>
            </w:r>
          </w:p>
        </w:tc>
        <w:tc>
          <w:tcPr>
            <w:tcW w:w="59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95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已建立</w:t>
            </w:r>
          </w:p>
        </w:tc>
        <w:tc>
          <w:tcPr>
            <w:tcW w:w="64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0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已建立</w:t>
            </w:r>
          </w:p>
        </w:tc>
        <w:tc>
          <w:tcPr>
            <w:tcW w:w="113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100.0%</w:t>
            </w:r>
          </w:p>
        </w:tc>
        <w:tc>
          <w:tcPr>
            <w:tcW w:w="66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w:t>
            </w:r>
          </w:p>
        </w:tc>
        <w:tc>
          <w:tcPr>
            <w:tcW w:w="7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w:t>
            </w:r>
          </w:p>
        </w:tc>
        <w:tc>
          <w:tcPr>
            <w:tcW w:w="92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是</w:t>
            </w:r>
          </w:p>
        </w:tc>
      </w:tr>
      <w:tr>
        <w:tblPrEx>
          <w:tblLayout w:type="fixed"/>
          <w:tblCellMar>
            <w:top w:w="0" w:type="dxa"/>
            <w:left w:w="108" w:type="dxa"/>
            <w:bottom w:w="0" w:type="dxa"/>
            <w:right w:w="108" w:type="dxa"/>
          </w:tblCellMar>
        </w:tblPrEx>
        <w:trPr>
          <w:trHeight w:val="967"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63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产出指标-质量指标-在规定时限内拨付市级以上困难群众补助资金的比例</w:t>
            </w:r>
          </w:p>
        </w:tc>
        <w:tc>
          <w:tcPr>
            <w:tcW w:w="59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95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≥85%</w:t>
            </w:r>
          </w:p>
        </w:tc>
        <w:tc>
          <w:tcPr>
            <w:tcW w:w="64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088" w:type="dxa"/>
            <w:tcBorders>
              <w:top w:val="nil"/>
              <w:left w:val="nil"/>
              <w:bottom w:val="single" w:color="auto" w:sz="4" w:space="0"/>
              <w:right w:val="single" w:color="auto" w:sz="4" w:space="0"/>
            </w:tcBorders>
            <w:shd w:val="clear" w:color="auto" w:fill="auto"/>
            <w:noWrap/>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100.0%</w:t>
            </w:r>
          </w:p>
        </w:tc>
        <w:tc>
          <w:tcPr>
            <w:tcW w:w="113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100.0%</w:t>
            </w:r>
          </w:p>
        </w:tc>
        <w:tc>
          <w:tcPr>
            <w:tcW w:w="66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w:t>
            </w:r>
          </w:p>
        </w:tc>
        <w:tc>
          <w:tcPr>
            <w:tcW w:w="7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w:t>
            </w:r>
          </w:p>
        </w:tc>
        <w:tc>
          <w:tcPr>
            <w:tcW w:w="92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是</w:t>
            </w:r>
          </w:p>
        </w:tc>
      </w:tr>
      <w:tr>
        <w:tblPrEx>
          <w:tblLayout w:type="fixed"/>
          <w:tblCellMar>
            <w:top w:w="0" w:type="dxa"/>
            <w:left w:w="108" w:type="dxa"/>
            <w:bottom w:w="0" w:type="dxa"/>
            <w:right w:w="108" w:type="dxa"/>
          </w:tblCellMar>
        </w:tblPrEx>
        <w:trPr>
          <w:trHeight w:val="967"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63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产出指标-时效指标-困难群众基本生活救助生活费按时发放率</w:t>
            </w:r>
          </w:p>
        </w:tc>
        <w:tc>
          <w:tcPr>
            <w:tcW w:w="59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95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≥85%</w:t>
            </w:r>
          </w:p>
        </w:tc>
        <w:tc>
          <w:tcPr>
            <w:tcW w:w="64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0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100.0%</w:t>
            </w:r>
          </w:p>
        </w:tc>
        <w:tc>
          <w:tcPr>
            <w:tcW w:w="113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100.0%</w:t>
            </w:r>
          </w:p>
        </w:tc>
        <w:tc>
          <w:tcPr>
            <w:tcW w:w="66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w:t>
            </w:r>
          </w:p>
        </w:tc>
        <w:tc>
          <w:tcPr>
            <w:tcW w:w="7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w:t>
            </w:r>
          </w:p>
        </w:tc>
        <w:tc>
          <w:tcPr>
            <w:tcW w:w="92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是</w:t>
            </w:r>
          </w:p>
        </w:tc>
      </w:tr>
      <w:tr>
        <w:tblPrEx>
          <w:tblLayout w:type="fixed"/>
          <w:tblCellMar>
            <w:top w:w="0" w:type="dxa"/>
            <w:left w:w="108" w:type="dxa"/>
            <w:bottom w:w="0" w:type="dxa"/>
            <w:right w:w="108" w:type="dxa"/>
          </w:tblCellMar>
        </w:tblPrEx>
        <w:trPr>
          <w:trHeight w:val="728"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63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产出指标-时效指标-接到流浪乞讨人员</w:t>
            </w:r>
            <w:r>
              <w:rPr>
                <w:rFonts w:hint="eastAsia" w:asciiTheme="minorEastAsia" w:hAnsiTheme="minorEastAsia" w:cstheme="minorEastAsia"/>
                <w:color w:val="000000"/>
                <w:sz w:val="18"/>
                <w:szCs w:val="18"/>
                <w:lang w:eastAsia="zh-CN"/>
              </w:rPr>
              <w:t>救</w:t>
            </w:r>
            <w:bookmarkStart w:id="0" w:name="_GoBack"/>
            <w:bookmarkEnd w:id="0"/>
            <w:r>
              <w:rPr>
                <w:rFonts w:hint="eastAsia" w:asciiTheme="minorEastAsia" w:hAnsiTheme="minorEastAsia" w:cstheme="minorEastAsia"/>
                <w:color w:val="000000"/>
                <w:sz w:val="18"/>
                <w:szCs w:val="18"/>
              </w:rPr>
              <w:t>助信息响应时间</w:t>
            </w:r>
          </w:p>
        </w:tc>
        <w:tc>
          <w:tcPr>
            <w:tcW w:w="59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分钟</w:t>
            </w:r>
          </w:p>
        </w:tc>
        <w:tc>
          <w:tcPr>
            <w:tcW w:w="95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≤5</w:t>
            </w:r>
          </w:p>
        </w:tc>
        <w:tc>
          <w:tcPr>
            <w:tcW w:w="64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0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3</w:t>
            </w:r>
          </w:p>
        </w:tc>
        <w:tc>
          <w:tcPr>
            <w:tcW w:w="113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100.0%</w:t>
            </w:r>
          </w:p>
        </w:tc>
        <w:tc>
          <w:tcPr>
            <w:tcW w:w="66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6</w:t>
            </w:r>
          </w:p>
        </w:tc>
        <w:tc>
          <w:tcPr>
            <w:tcW w:w="7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6</w:t>
            </w:r>
          </w:p>
        </w:tc>
        <w:tc>
          <w:tcPr>
            <w:tcW w:w="92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是</w:t>
            </w:r>
          </w:p>
        </w:tc>
      </w:tr>
      <w:tr>
        <w:tblPrEx>
          <w:tblLayout w:type="fixed"/>
          <w:tblCellMar>
            <w:top w:w="0" w:type="dxa"/>
            <w:left w:w="108" w:type="dxa"/>
            <w:bottom w:w="0" w:type="dxa"/>
            <w:right w:w="108" w:type="dxa"/>
          </w:tblCellMar>
        </w:tblPrEx>
        <w:trPr>
          <w:trHeight w:val="728"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63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效益指标-社会效益指标-困难群众生活水平提升情况</w:t>
            </w:r>
          </w:p>
        </w:tc>
        <w:tc>
          <w:tcPr>
            <w:tcW w:w="59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95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稳步提升</w:t>
            </w:r>
          </w:p>
        </w:tc>
        <w:tc>
          <w:tcPr>
            <w:tcW w:w="64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0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已提升</w:t>
            </w:r>
          </w:p>
        </w:tc>
        <w:tc>
          <w:tcPr>
            <w:tcW w:w="113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100.0%</w:t>
            </w:r>
          </w:p>
        </w:tc>
        <w:tc>
          <w:tcPr>
            <w:tcW w:w="66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2</w:t>
            </w:r>
          </w:p>
        </w:tc>
        <w:tc>
          <w:tcPr>
            <w:tcW w:w="7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2</w:t>
            </w:r>
          </w:p>
        </w:tc>
        <w:tc>
          <w:tcPr>
            <w:tcW w:w="92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否</w:t>
            </w:r>
          </w:p>
        </w:tc>
      </w:tr>
      <w:tr>
        <w:tblPrEx>
          <w:tblLayout w:type="fixed"/>
          <w:tblCellMar>
            <w:top w:w="0" w:type="dxa"/>
            <w:left w:w="108" w:type="dxa"/>
            <w:bottom w:w="0" w:type="dxa"/>
            <w:right w:w="108" w:type="dxa"/>
          </w:tblCellMar>
        </w:tblPrEx>
        <w:trPr>
          <w:trHeight w:val="967"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63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效益指标-可持续影响指标-困难群众基本生活救助保障制度</w:t>
            </w:r>
          </w:p>
        </w:tc>
        <w:tc>
          <w:tcPr>
            <w:tcW w:w="59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95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不断完善</w:t>
            </w:r>
          </w:p>
        </w:tc>
        <w:tc>
          <w:tcPr>
            <w:tcW w:w="64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0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不断完善</w:t>
            </w:r>
          </w:p>
        </w:tc>
        <w:tc>
          <w:tcPr>
            <w:tcW w:w="113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100.0%</w:t>
            </w:r>
          </w:p>
        </w:tc>
        <w:tc>
          <w:tcPr>
            <w:tcW w:w="66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2</w:t>
            </w:r>
          </w:p>
        </w:tc>
        <w:tc>
          <w:tcPr>
            <w:tcW w:w="7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2</w:t>
            </w:r>
          </w:p>
        </w:tc>
        <w:tc>
          <w:tcPr>
            <w:tcW w:w="92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否</w:t>
            </w:r>
          </w:p>
        </w:tc>
      </w:tr>
      <w:tr>
        <w:tblPrEx>
          <w:tblLayout w:type="fixed"/>
          <w:tblCellMar>
            <w:top w:w="0" w:type="dxa"/>
            <w:left w:w="108" w:type="dxa"/>
            <w:bottom w:w="0" w:type="dxa"/>
            <w:right w:w="108" w:type="dxa"/>
          </w:tblCellMar>
        </w:tblPrEx>
        <w:trPr>
          <w:trHeight w:val="728"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63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满意度指标-服务对象满意度指标-政策知晓率</w:t>
            </w:r>
          </w:p>
        </w:tc>
        <w:tc>
          <w:tcPr>
            <w:tcW w:w="59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95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≥80%</w:t>
            </w:r>
          </w:p>
        </w:tc>
        <w:tc>
          <w:tcPr>
            <w:tcW w:w="64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0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≥95%</w:t>
            </w:r>
          </w:p>
        </w:tc>
        <w:tc>
          <w:tcPr>
            <w:tcW w:w="113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100.0%</w:t>
            </w:r>
          </w:p>
        </w:tc>
        <w:tc>
          <w:tcPr>
            <w:tcW w:w="66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5</w:t>
            </w:r>
          </w:p>
        </w:tc>
        <w:tc>
          <w:tcPr>
            <w:tcW w:w="7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5</w:t>
            </w:r>
          </w:p>
        </w:tc>
        <w:tc>
          <w:tcPr>
            <w:tcW w:w="92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是</w:t>
            </w:r>
          </w:p>
        </w:tc>
      </w:tr>
      <w:tr>
        <w:tblPrEx>
          <w:tblLayout w:type="fixed"/>
          <w:tblCellMar>
            <w:top w:w="0" w:type="dxa"/>
            <w:left w:w="108" w:type="dxa"/>
            <w:bottom w:w="0" w:type="dxa"/>
            <w:right w:w="108" w:type="dxa"/>
          </w:tblCellMar>
        </w:tblPrEx>
        <w:trPr>
          <w:trHeight w:val="728"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63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满意度指标-服务对象满意度指标-工作满意度</w:t>
            </w:r>
          </w:p>
        </w:tc>
        <w:tc>
          <w:tcPr>
            <w:tcW w:w="59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w:t>
            </w:r>
          </w:p>
        </w:tc>
        <w:tc>
          <w:tcPr>
            <w:tcW w:w="955"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≥85%</w:t>
            </w:r>
          </w:p>
        </w:tc>
        <w:tc>
          <w:tcPr>
            <w:tcW w:w="64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c>
          <w:tcPr>
            <w:tcW w:w="10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≥90%</w:t>
            </w:r>
          </w:p>
        </w:tc>
        <w:tc>
          <w:tcPr>
            <w:tcW w:w="113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100.0%</w:t>
            </w:r>
          </w:p>
        </w:tc>
        <w:tc>
          <w:tcPr>
            <w:tcW w:w="663"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5</w:t>
            </w:r>
          </w:p>
        </w:tc>
        <w:tc>
          <w:tcPr>
            <w:tcW w:w="788"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5</w:t>
            </w:r>
          </w:p>
        </w:tc>
        <w:tc>
          <w:tcPr>
            <w:tcW w:w="926"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是</w:t>
            </w:r>
          </w:p>
        </w:tc>
      </w:tr>
      <w:tr>
        <w:tblPrEx>
          <w:tblLayout w:type="fixed"/>
          <w:tblCellMar>
            <w:top w:w="0" w:type="dxa"/>
            <w:left w:w="108" w:type="dxa"/>
            <w:bottom w:w="0" w:type="dxa"/>
            <w:right w:w="108" w:type="dxa"/>
          </w:tblCellMar>
        </w:tblPrEx>
        <w:trPr>
          <w:trHeight w:val="1510" w:hRule="atLeast"/>
          <w:jc w:val="center"/>
        </w:trPr>
        <w:tc>
          <w:tcPr>
            <w:tcW w:w="1062"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未完成绩效目标或偏离较多的原因、改进措施及其他说明</w:t>
            </w:r>
          </w:p>
        </w:tc>
        <w:tc>
          <w:tcPr>
            <w:tcW w:w="8435" w:type="dxa"/>
            <w:gridSpan w:val="9"/>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exact"/>
              <w:jc w:val="both"/>
              <w:rPr>
                <w:rFonts w:asciiTheme="minorEastAsia" w:hAnsiTheme="minorEastAsia" w:cstheme="minorEastAsia"/>
                <w:color w:val="000000"/>
                <w:sz w:val="18"/>
                <w:szCs w:val="18"/>
              </w:rPr>
            </w:pPr>
          </w:p>
        </w:tc>
      </w:tr>
    </w:tbl>
    <w:p>
      <w:pPr>
        <w:spacing w:line="52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2. 绩效自评报告或案例</w:t>
      </w:r>
    </w:p>
    <w:p>
      <w:pPr>
        <w:spacing w:line="52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本单位未委托第三方开展绩效自评，故无绩效自评报告。</w:t>
      </w:r>
    </w:p>
    <w:p>
      <w:pPr>
        <w:spacing w:line="520"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(三)重点绩效评价结果</w:t>
      </w:r>
    </w:p>
    <w:p>
      <w:pPr>
        <w:spacing w:line="52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本单位未委托第三方开展重点绩效自评，故无绩效自评报告。</w:t>
      </w:r>
    </w:p>
    <w:p>
      <w:pPr>
        <w:shd w:val="clear" w:color="auto" w:fill="FFFFFF"/>
        <w:spacing w:line="520" w:lineRule="exact"/>
        <w:ind w:firstLine="640" w:firstLineChars="200"/>
        <w:jc w:val="both"/>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六、专业名词解释</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(二)事业收入：</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(四)其他收入：</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(五)使用非财政拨款结余：</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(六)年初结转和结余：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(七)结余分配：</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pPr>
        <w:pStyle w:val="4"/>
        <w:shd w:val="clear" w:color="auto" w:fill="FFFFFF"/>
        <w:spacing w:before="0" w:beforeAutospacing="0" w:after="0" w:afterAutospacing="0" w:line="520" w:lineRule="exact"/>
        <w:ind w:firstLine="640" w:firstLineChars="200"/>
        <w:jc w:val="both"/>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(八)年末结转和结余：</w:t>
      </w:r>
      <w:r>
        <w:rPr>
          <w:rFonts w:hint="eastAsia" w:ascii="方正仿宋_GBK" w:hAnsi="方正仿宋_GBK" w:eastAsia="方正仿宋_GBK" w:cs="方正仿宋_GBK"/>
          <w:sz w:val="32"/>
          <w:szCs w:val="32"/>
        </w:rPr>
        <w:t>指单位结转下年的基本支出结转、项目支出结转和结余、经营结余。</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(十)项目支出：</w:t>
      </w:r>
      <w:r>
        <w:rPr>
          <w:rFonts w:hint="eastAsia" w:ascii="方正仿宋_GBK" w:hAnsi="方正仿宋_GBK" w:eastAsia="方正仿宋_GBK" w:cs="方正仿宋_GBK"/>
          <w:sz w:val="32"/>
          <w:szCs w:val="32"/>
        </w:rPr>
        <w:t>指在基本支出之外为完成特定行政任务和事业发展目标所发生的支出。</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(十一)经营支出：</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(十二)“三公”经费：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(十三)机关运行经费：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(十四)工资福利支出</w:t>
      </w:r>
      <w:r>
        <w:rPr>
          <w:rFonts w:hint="eastAsia" w:ascii="方正仿宋_GBK" w:hAnsi="方正仿宋_GBK" w:eastAsia="方正仿宋_GBK" w:cs="方正仿宋_GBK"/>
          <w:sz w:val="32"/>
          <w:szCs w:val="32"/>
        </w:rPr>
        <w:t>(支出经济分类科目类级)：反映单位开支的在职职工和编制外长期聘用人员的各类劳动报酬，以及为上述人员缴纳的各项社会保险费等。</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(十五)商品和服务支出</w:t>
      </w:r>
      <w:r>
        <w:rPr>
          <w:rFonts w:hint="eastAsia" w:ascii="方正仿宋_GBK" w:hAnsi="方正仿宋_GBK" w:eastAsia="方正仿宋_GBK" w:cs="方正仿宋_GBK"/>
          <w:sz w:val="32"/>
          <w:szCs w:val="32"/>
        </w:rPr>
        <w:t>(支出经济分类科目类级)：反映单位购买商品和服务的支出(不包括用于购置固定资产的支出、战略性和应急储备支出)。</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(十六)对个人和家庭的补助</w:t>
      </w:r>
      <w:r>
        <w:rPr>
          <w:rFonts w:hint="eastAsia" w:ascii="方正仿宋_GBK" w:hAnsi="方正仿宋_GBK" w:eastAsia="方正仿宋_GBK" w:cs="方正仿宋_GBK"/>
          <w:sz w:val="32"/>
          <w:szCs w:val="32"/>
        </w:rPr>
        <w:t>(支出经济分类科目类级)：反映用于对个人和家庭的补助支出。</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(十七)其他资本性支出</w:t>
      </w:r>
      <w:r>
        <w:rPr>
          <w:rFonts w:hint="eastAsia" w:ascii="方正仿宋_GBK" w:hAnsi="方正仿宋_GBK" w:eastAsia="方正仿宋_GBK" w:cs="方正仿宋_GBK"/>
          <w:sz w:val="32"/>
          <w:szCs w:val="32"/>
        </w:rPr>
        <w:t>(支出经济分类科目类级)：反映非各级发展与改革部门集中安排的用于购置固定资产、战略性和应急性储备、土地和无形资产，以及构建基础设施、大型修缮和财政支持企业更新改造所发生的支出。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520" w:lineRule="exact"/>
        <w:ind w:firstLine="640" w:firstLineChars="200"/>
        <w:jc w:val="both"/>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七、决算公开联系方式及信息反馈渠道</w:t>
      </w:r>
    </w:p>
    <w:p>
      <w:pPr>
        <w:shd w:val="clear" w:color="auto" w:fill="FFFFFF"/>
        <w:spacing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本单位决算公开信息反馈和联系方式：023-74512561。</w:t>
      </w:r>
    </w:p>
    <w:p>
      <w:p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page"/>
      </w:r>
    </w:p>
    <w:tbl>
      <w:tblPr>
        <w:tblStyle w:val="5"/>
        <w:tblW w:w="8820" w:type="dxa"/>
        <w:jc w:val="center"/>
        <w:tblInd w:w="0" w:type="dxa"/>
        <w:tblLayout w:type="fixed"/>
        <w:tblCellMar>
          <w:top w:w="0" w:type="dxa"/>
          <w:left w:w="108" w:type="dxa"/>
          <w:bottom w:w="0" w:type="dxa"/>
          <w:right w:w="108" w:type="dxa"/>
        </w:tblCellMar>
      </w:tblPr>
      <w:tblGrid>
        <w:gridCol w:w="3150"/>
        <w:gridCol w:w="1155"/>
        <w:gridCol w:w="3255"/>
        <w:gridCol w:w="1260"/>
      </w:tblGrid>
      <w:tr>
        <w:tblPrEx>
          <w:tblLayout w:type="fixed"/>
          <w:tblCellMar>
            <w:top w:w="0" w:type="dxa"/>
            <w:left w:w="108" w:type="dxa"/>
            <w:bottom w:w="0" w:type="dxa"/>
            <w:right w:w="108" w:type="dxa"/>
          </w:tblCellMar>
        </w:tblPrEx>
        <w:trPr>
          <w:trHeight w:val="380" w:hRule="atLeast"/>
          <w:jc w:val="center"/>
        </w:trPr>
        <w:tc>
          <w:tcPr>
            <w:tcW w:w="3150" w:type="dxa"/>
            <w:tcBorders>
              <w:top w:val="nil"/>
              <w:left w:val="nil"/>
              <w:bottom w:val="nil"/>
              <w:right w:val="nil"/>
            </w:tcBorders>
            <w:shd w:val="clear" w:color="auto" w:fill="auto"/>
            <w:noWrap/>
            <w:vAlign w:val="center"/>
          </w:tcPr>
          <w:p>
            <w:pPr>
              <w:textAlignment w:val="center"/>
              <w:rPr>
                <w:color w:val="000000"/>
                <w:sz w:val="18"/>
                <w:szCs w:val="18"/>
              </w:rPr>
            </w:pPr>
            <w:r>
              <w:rPr>
                <w:rFonts w:hint="eastAsia"/>
                <w:color w:val="000000"/>
                <w:sz w:val="18"/>
                <w:szCs w:val="18"/>
              </w:rPr>
              <w:t>附件1</w:t>
            </w:r>
          </w:p>
        </w:tc>
        <w:tc>
          <w:tcPr>
            <w:tcW w:w="1155" w:type="dxa"/>
            <w:tcBorders>
              <w:top w:val="nil"/>
              <w:left w:val="nil"/>
              <w:bottom w:val="nil"/>
              <w:right w:val="nil"/>
            </w:tcBorders>
            <w:shd w:val="clear" w:color="auto" w:fill="auto"/>
            <w:noWrap/>
            <w:vAlign w:val="center"/>
          </w:tcPr>
          <w:p>
            <w:pPr>
              <w:jc w:val="center"/>
              <w:rPr>
                <w:rFonts w:ascii="黑体" w:eastAsia="黑体" w:cs="黑体"/>
                <w:color w:val="000000"/>
                <w:sz w:val="18"/>
                <w:szCs w:val="18"/>
              </w:rPr>
            </w:pPr>
          </w:p>
        </w:tc>
        <w:tc>
          <w:tcPr>
            <w:tcW w:w="3255" w:type="dxa"/>
            <w:tcBorders>
              <w:top w:val="nil"/>
              <w:left w:val="nil"/>
              <w:bottom w:val="nil"/>
              <w:right w:val="nil"/>
            </w:tcBorders>
            <w:shd w:val="clear" w:color="auto" w:fill="auto"/>
            <w:noWrap/>
            <w:vAlign w:val="center"/>
          </w:tcPr>
          <w:p>
            <w:pPr>
              <w:rPr>
                <w:color w:val="000000"/>
                <w:sz w:val="18"/>
                <w:szCs w:val="18"/>
              </w:rPr>
            </w:pPr>
          </w:p>
        </w:tc>
        <w:tc>
          <w:tcPr>
            <w:tcW w:w="1260" w:type="dxa"/>
            <w:tcBorders>
              <w:top w:val="nil"/>
              <w:left w:val="nil"/>
              <w:bottom w:val="nil"/>
              <w:right w:val="nil"/>
            </w:tcBorders>
            <w:shd w:val="clear" w:color="auto" w:fill="auto"/>
            <w:noWrap/>
            <w:vAlign w:val="center"/>
          </w:tcPr>
          <w:p>
            <w:pPr>
              <w:rPr>
                <w:color w:val="000000"/>
                <w:sz w:val="18"/>
                <w:szCs w:val="18"/>
              </w:rPr>
            </w:pPr>
          </w:p>
        </w:tc>
      </w:tr>
      <w:tr>
        <w:tblPrEx>
          <w:tblLayout w:type="fixed"/>
          <w:tblCellMar>
            <w:top w:w="0" w:type="dxa"/>
            <w:left w:w="108" w:type="dxa"/>
            <w:bottom w:w="0" w:type="dxa"/>
            <w:right w:w="108" w:type="dxa"/>
          </w:tblCellMar>
        </w:tblPrEx>
        <w:trPr>
          <w:trHeight w:val="480" w:hRule="atLeast"/>
          <w:jc w:val="center"/>
        </w:trPr>
        <w:tc>
          <w:tcPr>
            <w:tcW w:w="8820" w:type="dxa"/>
            <w:gridSpan w:val="4"/>
            <w:tcBorders>
              <w:top w:val="nil"/>
              <w:left w:val="nil"/>
              <w:bottom w:val="nil"/>
              <w:right w:val="nil"/>
            </w:tcBorders>
            <w:shd w:val="clear" w:color="auto" w:fill="auto"/>
            <w:noWrap/>
            <w:vAlign w:val="center"/>
          </w:tcPr>
          <w:p>
            <w:pPr>
              <w:jc w:val="center"/>
              <w:textAlignment w:val="center"/>
              <w:rPr>
                <w:rFonts w:ascii="黑体" w:eastAsia="黑体" w:cs="黑体"/>
                <w:color w:val="000000"/>
                <w:sz w:val="36"/>
                <w:szCs w:val="36"/>
              </w:rPr>
            </w:pPr>
            <w:r>
              <w:rPr>
                <w:rFonts w:hint="eastAsia" w:ascii="黑体" w:eastAsia="黑体" w:cs="黑体"/>
                <w:color w:val="000000"/>
                <w:sz w:val="36"/>
                <w:szCs w:val="36"/>
              </w:rPr>
              <w:t>收入支出决算总表</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nil"/>
              <w:bottom w:val="nil"/>
              <w:right w:val="nil"/>
            </w:tcBorders>
            <w:shd w:val="clear" w:color="auto" w:fill="auto"/>
            <w:noWrap/>
            <w:vAlign w:val="center"/>
          </w:tcPr>
          <w:p>
            <w:pPr>
              <w:rPr>
                <w:color w:val="000000"/>
                <w:sz w:val="18"/>
                <w:szCs w:val="18"/>
              </w:rPr>
            </w:pPr>
          </w:p>
        </w:tc>
        <w:tc>
          <w:tcPr>
            <w:tcW w:w="1155" w:type="dxa"/>
            <w:tcBorders>
              <w:top w:val="nil"/>
              <w:left w:val="nil"/>
              <w:bottom w:val="nil"/>
              <w:right w:val="nil"/>
            </w:tcBorders>
            <w:shd w:val="clear" w:color="auto" w:fill="auto"/>
            <w:noWrap/>
            <w:vAlign w:val="center"/>
          </w:tcPr>
          <w:p>
            <w:pPr>
              <w:rPr>
                <w:color w:val="000000"/>
                <w:sz w:val="18"/>
                <w:szCs w:val="18"/>
              </w:rPr>
            </w:pPr>
          </w:p>
        </w:tc>
        <w:tc>
          <w:tcPr>
            <w:tcW w:w="3255" w:type="dxa"/>
            <w:tcBorders>
              <w:top w:val="nil"/>
              <w:left w:val="nil"/>
              <w:bottom w:val="nil"/>
              <w:right w:val="nil"/>
            </w:tcBorders>
            <w:shd w:val="clear" w:color="auto" w:fill="auto"/>
            <w:noWrap/>
            <w:vAlign w:val="center"/>
          </w:tcPr>
          <w:p>
            <w:pPr>
              <w:rPr>
                <w:color w:val="000000"/>
                <w:sz w:val="18"/>
                <w:szCs w:val="18"/>
              </w:rPr>
            </w:pPr>
          </w:p>
        </w:tc>
        <w:tc>
          <w:tcPr>
            <w:tcW w:w="1260" w:type="dxa"/>
            <w:tcBorders>
              <w:top w:val="nil"/>
              <w:left w:val="nil"/>
              <w:bottom w:val="nil"/>
              <w:right w:val="nil"/>
            </w:tcBorders>
            <w:shd w:val="clear" w:color="auto" w:fill="auto"/>
            <w:noWrap/>
            <w:vAlign w:val="center"/>
          </w:tcPr>
          <w:p>
            <w:pPr>
              <w:jc w:val="right"/>
              <w:textAlignment w:val="center"/>
              <w:rPr>
                <w:color w:val="000000"/>
                <w:sz w:val="18"/>
                <w:szCs w:val="18"/>
              </w:rPr>
            </w:pPr>
            <w:r>
              <w:rPr>
                <w:rFonts w:hint="eastAsia"/>
                <w:color w:val="000000"/>
                <w:sz w:val="18"/>
                <w:szCs w:val="18"/>
              </w:rPr>
              <w:t>公开01表</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nil"/>
              <w:bottom w:val="single" w:color="808080" w:sz="4" w:space="0"/>
              <w:right w:val="nil"/>
            </w:tcBorders>
            <w:shd w:val="clear" w:color="auto" w:fill="auto"/>
            <w:noWrap/>
            <w:vAlign w:val="center"/>
          </w:tcPr>
          <w:p>
            <w:pPr>
              <w:textAlignment w:val="center"/>
              <w:rPr>
                <w:color w:val="000000"/>
                <w:sz w:val="18"/>
                <w:szCs w:val="18"/>
              </w:rPr>
            </w:pPr>
            <w:r>
              <w:rPr>
                <w:rFonts w:hint="eastAsia"/>
                <w:color w:val="000000"/>
                <w:sz w:val="18"/>
                <w:szCs w:val="18"/>
              </w:rPr>
              <w:t>公开部门：重庆市垫江县民政局</w:t>
            </w:r>
          </w:p>
        </w:tc>
        <w:tc>
          <w:tcPr>
            <w:tcW w:w="1155" w:type="dxa"/>
            <w:tcBorders>
              <w:top w:val="nil"/>
              <w:left w:val="nil"/>
              <w:bottom w:val="single" w:color="808080" w:sz="4" w:space="0"/>
              <w:right w:val="nil"/>
            </w:tcBorders>
            <w:shd w:val="clear" w:color="auto" w:fill="auto"/>
            <w:noWrap/>
            <w:vAlign w:val="center"/>
          </w:tcPr>
          <w:p>
            <w:pPr>
              <w:jc w:val="center"/>
              <w:textAlignment w:val="center"/>
              <w:rPr>
                <w:color w:val="000000"/>
                <w:sz w:val="18"/>
                <w:szCs w:val="18"/>
              </w:rPr>
            </w:pPr>
            <w:r>
              <w:rPr>
                <w:rFonts w:hint="eastAsia"/>
                <w:color w:val="000000"/>
                <w:sz w:val="18"/>
                <w:szCs w:val="18"/>
              </w:rPr>
              <w:t>2020年度</w:t>
            </w:r>
          </w:p>
        </w:tc>
        <w:tc>
          <w:tcPr>
            <w:tcW w:w="3255" w:type="dxa"/>
            <w:tcBorders>
              <w:top w:val="nil"/>
              <w:left w:val="nil"/>
              <w:bottom w:val="single" w:color="808080" w:sz="4" w:space="0"/>
              <w:right w:val="nil"/>
            </w:tcBorders>
            <w:shd w:val="clear" w:color="auto" w:fill="auto"/>
            <w:noWrap/>
            <w:vAlign w:val="center"/>
          </w:tcPr>
          <w:p>
            <w:pPr>
              <w:rPr>
                <w:color w:val="000000"/>
                <w:sz w:val="18"/>
                <w:szCs w:val="18"/>
              </w:rPr>
            </w:pPr>
          </w:p>
        </w:tc>
        <w:tc>
          <w:tcPr>
            <w:tcW w:w="1260" w:type="dxa"/>
            <w:tcBorders>
              <w:top w:val="nil"/>
              <w:left w:val="nil"/>
              <w:bottom w:val="single" w:color="808080" w:sz="4" w:space="0"/>
              <w:right w:val="nil"/>
            </w:tcBorders>
            <w:shd w:val="clear" w:color="auto" w:fill="auto"/>
            <w:noWrap/>
            <w:vAlign w:val="center"/>
          </w:tcPr>
          <w:p>
            <w:pPr>
              <w:jc w:val="right"/>
              <w:textAlignment w:val="center"/>
              <w:rPr>
                <w:color w:val="000000"/>
                <w:sz w:val="18"/>
                <w:szCs w:val="18"/>
              </w:rPr>
            </w:pPr>
            <w:r>
              <w:rPr>
                <w:rFonts w:hint="eastAsia"/>
                <w:color w:val="000000"/>
                <w:sz w:val="18"/>
                <w:szCs w:val="18"/>
              </w:rPr>
              <w:t>单位：万元</w:t>
            </w:r>
          </w:p>
        </w:tc>
      </w:tr>
      <w:tr>
        <w:tblPrEx>
          <w:tblLayout w:type="fixed"/>
          <w:tblCellMar>
            <w:top w:w="0" w:type="dxa"/>
            <w:left w:w="108" w:type="dxa"/>
            <w:bottom w:w="0" w:type="dxa"/>
            <w:right w:w="108" w:type="dxa"/>
          </w:tblCellMar>
        </w:tblPrEx>
        <w:trPr>
          <w:trHeight w:val="300" w:hRule="atLeast"/>
          <w:jc w:val="center"/>
        </w:trPr>
        <w:tc>
          <w:tcPr>
            <w:tcW w:w="4305"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收入</w:t>
            </w:r>
          </w:p>
        </w:tc>
        <w:tc>
          <w:tcPr>
            <w:tcW w:w="4515" w:type="dxa"/>
            <w:gridSpan w:val="2"/>
            <w:tcBorders>
              <w:top w:val="nil"/>
              <w:left w:val="nil"/>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支出</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项目</w:t>
            </w:r>
          </w:p>
        </w:tc>
        <w:tc>
          <w:tcPr>
            <w:tcW w:w="1155" w:type="dxa"/>
            <w:tcBorders>
              <w:top w:val="nil"/>
              <w:left w:val="nil"/>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决算数</w:t>
            </w:r>
          </w:p>
        </w:tc>
        <w:tc>
          <w:tcPr>
            <w:tcW w:w="3255" w:type="dxa"/>
            <w:tcBorders>
              <w:top w:val="nil"/>
              <w:left w:val="nil"/>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功能分类科目</w:t>
            </w:r>
          </w:p>
        </w:tc>
        <w:tc>
          <w:tcPr>
            <w:tcW w:w="1260" w:type="dxa"/>
            <w:tcBorders>
              <w:top w:val="nil"/>
              <w:left w:val="nil"/>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决算数</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一、一般公共预算财政拨款收入</w:t>
            </w:r>
          </w:p>
        </w:tc>
        <w:tc>
          <w:tcPr>
            <w:tcW w:w="11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16,209.41</w:t>
            </w: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一、一般公共服务支出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二、政府性基金预算财政拨款收入</w:t>
            </w:r>
          </w:p>
        </w:tc>
        <w:tc>
          <w:tcPr>
            <w:tcW w:w="11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4,807.68</w:t>
            </w: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二、外交支出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三、国有资本经营预算财政拨款收入</w:t>
            </w:r>
          </w:p>
        </w:tc>
        <w:tc>
          <w:tcPr>
            <w:tcW w:w="11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三、国防支出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四、上级补助收入</w:t>
            </w:r>
          </w:p>
        </w:tc>
        <w:tc>
          <w:tcPr>
            <w:tcW w:w="11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四、公共安全支出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五、事业收入</w:t>
            </w:r>
          </w:p>
        </w:tc>
        <w:tc>
          <w:tcPr>
            <w:tcW w:w="11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五、教育支出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3.03</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六、经营收入</w:t>
            </w:r>
          </w:p>
        </w:tc>
        <w:tc>
          <w:tcPr>
            <w:tcW w:w="11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六、科学技术支出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七、附属单位上缴收入</w:t>
            </w:r>
          </w:p>
        </w:tc>
        <w:tc>
          <w:tcPr>
            <w:tcW w:w="11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七、文化旅游体育与传媒支出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八、其他收入</w:t>
            </w:r>
          </w:p>
        </w:tc>
        <w:tc>
          <w:tcPr>
            <w:tcW w:w="11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八、社会保障和就业支出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21,390.77</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九、卫生健康支出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45.60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十、节能环保支出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十一、城乡社区支出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十二、农林水支出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十三、交通运输支出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十四、资源勘探信息等支出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十五、商业服务业等支出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十六、金融支出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十七、援助其他地区支出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十八、自然资源海洋气象等支出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十九、住房保障支出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50.34</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二十、粮油物资储备支出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二十一、国有资本经营预算支出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二十二、灾害防治及应急管理支出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二十三、其他支出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572.73</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二十四、债务还本支出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jc w:val="center"/>
              <w:rPr>
                <w:b/>
                <w:bCs/>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55"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二十五、债务付息支出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jc w:val="center"/>
              <w:rPr>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32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二十六、抗疫特别国债安排的支出</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3,242.16</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本年收入合计</w:t>
            </w:r>
          </w:p>
        </w:tc>
        <w:tc>
          <w:tcPr>
            <w:tcW w:w="11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21,017.09</w:t>
            </w:r>
          </w:p>
        </w:tc>
        <w:tc>
          <w:tcPr>
            <w:tcW w:w="3255" w:type="dxa"/>
            <w:tcBorders>
              <w:top w:val="nil"/>
              <w:left w:val="nil"/>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本年支出合计</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25,304.64</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使用非财政拨款结余</w:t>
            </w:r>
          </w:p>
        </w:tc>
        <w:tc>
          <w:tcPr>
            <w:tcW w:w="11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32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结余分配</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年初结转和结余</w:t>
            </w:r>
          </w:p>
        </w:tc>
        <w:tc>
          <w:tcPr>
            <w:tcW w:w="11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7,818.58</w:t>
            </w:r>
          </w:p>
        </w:tc>
        <w:tc>
          <w:tcPr>
            <w:tcW w:w="32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年末结转和结余</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3,531.02</w:t>
            </w:r>
          </w:p>
        </w:tc>
      </w:tr>
      <w:tr>
        <w:tblPrEx>
          <w:tblLayout w:type="fixed"/>
          <w:tblCellMar>
            <w:top w:w="0" w:type="dxa"/>
            <w:left w:w="108" w:type="dxa"/>
            <w:bottom w:w="0" w:type="dxa"/>
            <w:right w:w="108" w:type="dxa"/>
          </w:tblCellMar>
        </w:tblPrEx>
        <w:trPr>
          <w:trHeight w:val="300"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总计</w:t>
            </w:r>
          </w:p>
        </w:tc>
        <w:tc>
          <w:tcPr>
            <w:tcW w:w="11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28,835.66</w:t>
            </w:r>
          </w:p>
        </w:tc>
        <w:tc>
          <w:tcPr>
            <w:tcW w:w="3255" w:type="dxa"/>
            <w:tcBorders>
              <w:top w:val="nil"/>
              <w:left w:val="nil"/>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总计</w:t>
            </w:r>
          </w:p>
        </w:tc>
        <w:tc>
          <w:tcPr>
            <w:tcW w:w="12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28,835.66</w:t>
            </w:r>
          </w:p>
        </w:tc>
      </w:tr>
      <w:tr>
        <w:tblPrEx>
          <w:tblLayout w:type="fixed"/>
          <w:tblCellMar>
            <w:top w:w="0" w:type="dxa"/>
            <w:left w:w="108" w:type="dxa"/>
            <w:bottom w:w="0" w:type="dxa"/>
            <w:right w:w="108" w:type="dxa"/>
          </w:tblCellMar>
        </w:tblPrEx>
        <w:trPr>
          <w:trHeight w:val="300" w:hRule="atLeast"/>
          <w:jc w:val="center"/>
        </w:trPr>
        <w:tc>
          <w:tcPr>
            <w:tcW w:w="8820" w:type="dxa"/>
            <w:gridSpan w:val="4"/>
            <w:tcBorders>
              <w:top w:val="nil"/>
              <w:left w:val="nil"/>
              <w:bottom w:val="nil"/>
              <w:right w:val="nil"/>
            </w:tcBorders>
            <w:shd w:val="clear" w:color="auto" w:fill="auto"/>
            <w:noWrap/>
            <w:vAlign w:val="center"/>
          </w:tcPr>
          <w:p>
            <w:pPr>
              <w:textAlignment w:val="center"/>
              <w:rPr>
                <w:color w:val="000000"/>
                <w:sz w:val="18"/>
                <w:szCs w:val="18"/>
              </w:rPr>
            </w:pPr>
            <w:r>
              <w:rPr>
                <w:rFonts w:hint="eastAsia"/>
                <w:color w:val="000000"/>
                <w:sz w:val="18"/>
                <w:szCs w:val="18"/>
              </w:rPr>
              <w:t>备注：本表反映部门本年度的总收支和年末结转结余等情况。</w:t>
            </w:r>
          </w:p>
        </w:tc>
      </w:tr>
    </w:tbl>
    <w:p>
      <w:pPr>
        <w:rPr>
          <w:rFonts w:ascii="方正仿宋_GBK" w:hAnsi="方正仿宋_GBK" w:eastAsia="方正仿宋_GBK" w:cs="方正仿宋_GBK"/>
          <w:color w:val="000000"/>
          <w:sz w:val="32"/>
          <w:szCs w:val="32"/>
        </w:rPr>
      </w:pPr>
    </w:p>
    <w:tbl>
      <w:tblPr>
        <w:tblStyle w:val="5"/>
        <w:tblW w:w="10369" w:type="dxa"/>
        <w:jc w:val="center"/>
        <w:tblInd w:w="0" w:type="dxa"/>
        <w:tblLayout w:type="fixed"/>
        <w:tblCellMar>
          <w:top w:w="0" w:type="dxa"/>
          <w:left w:w="108" w:type="dxa"/>
          <w:bottom w:w="0" w:type="dxa"/>
          <w:right w:w="108" w:type="dxa"/>
        </w:tblCellMar>
      </w:tblPr>
      <w:tblGrid>
        <w:gridCol w:w="343"/>
        <w:gridCol w:w="343"/>
        <w:gridCol w:w="352"/>
        <w:gridCol w:w="2532"/>
        <w:gridCol w:w="1230"/>
        <w:gridCol w:w="1230"/>
        <w:gridCol w:w="795"/>
        <w:gridCol w:w="795"/>
        <w:gridCol w:w="795"/>
        <w:gridCol w:w="604"/>
        <w:gridCol w:w="735"/>
        <w:gridCol w:w="615"/>
      </w:tblGrid>
      <w:tr>
        <w:tblPrEx>
          <w:tblLayout w:type="fixed"/>
          <w:tblCellMar>
            <w:top w:w="0" w:type="dxa"/>
            <w:left w:w="108" w:type="dxa"/>
            <w:bottom w:w="0" w:type="dxa"/>
            <w:right w:w="108" w:type="dxa"/>
          </w:tblCellMar>
        </w:tblPrEx>
        <w:trPr>
          <w:trHeight w:val="340" w:hRule="atLeast"/>
          <w:jc w:val="center"/>
        </w:trPr>
        <w:tc>
          <w:tcPr>
            <w:tcW w:w="3570" w:type="dxa"/>
            <w:gridSpan w:val="4"/>
            <w:tcBorders>
              <w:top w:val="nil"/>
              <w:left w:val="nil"/>
              <w:bottom w:val="nil"/>
              <w:right w:val="nil"/>
            </w:tcBorders>
            <w:shd w:val="clear" w:color="auto" w:fill="auto"/>
            <w:noWrap/>
            <w:vAlign w:val="center"/>
          </w:tcPr>
          <w:p>
            <w:pPr>
              <w:textAlignment w:val="center"/>
              <w:rPr>
                <w:color w:val="000000"/>
                <w:sz w:val="18"/>
                <w:szCs w:val="18"/>
              </w:rPr>
            </w:pPr>
            <w:r>
              <w:rPr>
                <w:rFonts w:hint="eastAsia"/>
                <w:color w:val="000000"/>
                <w:sz w:val="18"/>
                <w:szCs w:val="18"/>
              </w:rPr>
              <w:t>附件2</w:t>
            </w:r>
          </w:p>
        </w:tc>
        <w:tc>
          <w:tcPr>
            <w:tcW w:w="1230" w:type="dxa"/>
            <w:tcBorders>
              <w:top w:val="nil"/>
              <w:left w:val="nil"/>
              <w:bottom w:val="nil"/>
              <w:right w:val="nil"/>
            </w:tcBorders>
            <w:shd w:val="clear" w:color="auto" w:fill="auto"/>
            <w:noWrap/>
            <w:vAlign w:val="center"/>
          </w:tcPr>
          <w:p>
            <w:pPr>
              <w:rPr>
                <w:color w:val="000000"/>
                <w:sz w:val="18"/>
                <w:szCs w:val="18"/>
              </w:rPr>
            </w:pPr>
          </w:p>
        </w:tc>
        <w:tc>
          <w:tcPr>
            <w:tcW w:w="1230" w:type="dxa"/>
            <w:tcBorders>
              <w:top w:val="nil"/>
              <w:left w:val="nil"/>
              <w:bottom w:val="nil"/>
              <w:right w:val="nil"/>
            </w:tcBorders>
            <w:shd w:val="clear" w:color="auto" w:fill="auto"/>
            <w:noWrap/>
            <w:vAlign w:val="center"/>
          </w:tcPr>
          <w:p>
            <w:pPr>
              <w:jc w:val="center"/>
              <w:rPr>
                <w:rFonts w:ascii="黑体" w:eastAsia="黑体" w:cs="黑体"/>
                <w:color w:val="000000"/>
                <w:sz w:val="18"/>
                <w:szCs w:val="18"/>
              </w:rPr>
            </w:pPr>
          </w:p>
        </w:tc>
        <w:tc>
          <w:tcPr>
            <w:tcW w:w="795" w:type="dxa"/>
            <w:tcBorders>
              <w:top w:val="nil"/>
              <w:left w:val="nil"/>
              <w:bottom w:val="nil"/>
              <w:right w:val="nil"/>
            </w:tcBorders>
            <w:shd w:val="clear" w:color="auto" w:fill="auto"/>
            <w:noWrap/>
            <w:vAlign w:val="center"/>
          </w:tcPr>
          <w:p>
            <w:pPr>
              <w:rPr>
                <w:color w:val="000000"/>
                <w:sz w:val="18"/>
                <w:szCs w:val="18"/>
              </w:rPr>
            </w:pPr>
          </w:p>
        </w:tc>
        <w:tc>
          <w:tcPr>
            <w:tcW w:w="795" w:type="dxa"/>
            <w:tcBorders>
              <w:top w:val="nil"/>
              <w:left w:val="nil"/>
              <w:bottom w:val="nil"/>
              <w:right w:val="nil"/>
            </w:tcBorders>
            <w:shd w:val="clear" w:color="auto" w:fill="auto"/>
            <w:noWrap/>
            <w:vAlign w:val="center"/>
          </w:tcPr>
          <w:p>
            <w:pPr>
              <w:rPr>
                <w:color w:val="000000"/>
                <w:sz w:val="18"/>
                <w:szCs w:val="18"/>
              </w:rPr>
            </w:pPr>
          </w:p>
        </w:tc>
        <w:tc>
          <w:tcPr>
            <w:tcW w:w="795" w:type="dxa"/>
            <w:tcBorders>
              <w:top w:val="nil"/>
              <w:left w:val="nil"/>
              <w:bottom w:val="nil"/>
              <w:right w:val="nil"/>
            </w:tcBorders>
            <w:shd w:val="clear" w:color="auto" w:fill="auto"/>
            <w:noWrap/>
            <w:vAlign w:val="center"/>
          </w:tcPr>
          <w:p>
            <w:pPr>
              <w:rPr>
                <w:color w:val="000000"/>
                <w:sz w:val="18"/>
                <w:szCs w:val="18"/>
              </w:rPr>
            </w:pPr>
          </w:p>
        </w:tc>
        <w:tc>
          <w:tcPr>
            <w:tcW w:w="604" w:type="dxa"/>
            <w:tcBorders>
              <w:top w:val="nil"/>
              <w:left w:val="nil"/>
              <w:bottom w:val="nil"/>
              <w:right w:val="nil"/>
            </w:tcBorders>
            <w:shd w:val="clear" w:color="auto" w:fill="auto"/>
            <w:noWrap/>
            <w:vAlign w:val="center"/>
          </w:tcPr>
          <w:p>
            <w:pPr>
              <w:rPr>
                <w:color w:val="000000"/>
                <w:sz w:val="18"/>
                <w:szCs w:val="18"/>
              </w:rPr>
            </w:pPr>
          </w:p>
        </w:tc>
        <w:tc>
          <w:tcPr>
            <w:tcW w:w="735" w:type="dxa"/>
            <w:tcBorders>
              <w:top w:val="nil"/>
              <w:left w:val="nil"/>
              <w:bottom w:val="nil"/>
              <w:right w:val="nil"/>
            </w:tcBorders>
            <w:shd w:val="clear" w:color="auto" w:fill="auto"/>
            <w:noWrap/>
            <w:vAlign w:val="center"/>
          </w:tcPr>
          <w:p>
            <w:pPr>
              <w:rPr>
                <w:color w:val="000000"/>
                <w:sz w:val="18"/>
                <w:szCs w:val="18"/>
              </w:rPr>
            </w:pPr>
          </w:p>
        </w:tc>
        <w:tc>
          <w:tcPr>
            <w:tcW w:w="615" w:type="dxa"/>
            <w:tcBorders>
              <w:top w:val="nil"/>
              <w:left w:val="nil"/>
              <w:bottom w:val="nil"/>
              <w:right w:val="nil"/>
            </w:tcBorders>
            <w:shd w:val="clear" w:color="auto" w:fill="auto"/>
            <w:noWrap/>
            <w:vAlign w:val="center"/>
          </w:tcPr>
          <w:p>
            <w:pPr>
              <w:rPr>
                <w:color w:val="000000"/>
                <w:sz w:val="18"/>
                <w:szCs w:val="18"/>
              </w:rPr>
            </w:pPr>
          </w:p>
        </w:tc>
      </w:tr>
      <w:tr>
        <w:tblPrEx>
          <w:tblLayout w:type="fixed"/>
          <w:tblCellMar>
            <w:top w:w="0" w:type="dxa"/>
            <w:left w:w="108" w:type="dxa"/>
            <w:bottom w:w="0" w:type="dxa"/>
            <w:right w:w="108" w:type="dxa"/>
          </w:tblCellMar>
        </w:tblPrEx>
        <w:trPr>
          <w:trHeight w:val="420" w:hRule="atLeast"/>
          <w:jc w:val="center"/>
        </w:trPr>
        <w:tc>
          <w:tcPr>
            <w:tcW w:w="10369" w:type="dxa"/>
            <w:gridSpan w:val="12"/>
            <w:tcBorders>
              <w:top w:val="nil"/>
              <w:left w:val="nil"/>
              <w:bottom w:val="nil"/>
              <w:right w:val="nil"/>
            </w:tcBorders>
            <w:shd w:val="clear" w:color="auto" w:fill="auto"/>
            <w:noWrap/>
            <w:vAlign w:val="center"/>
          </w:tcPr>
          <w:p>
            <w:pPr>
              <w:jc w:val="center"/>
              <w:textAlignment w:val="center"/>
              <w:rPr>
                <w:rFonts w:ascii="黑体" w:eastAsia="黑体" w:cs="黑体"/>
                <w:color w:val="000000"/>
                <w:sz w:val="36"/>
                <w:szCs w:val="36"/>
              </w:rPr>
            </w:pPr>
            <w:r>
              <w:rPr>
                <w:rFonts w:hint="eastAsia" w:ascii="黑体" w:eastAsia="黑体" w:cs="黑体"/>
                <w:color w:val="000000"/>
                <w:sz w:val="36"/>
                <w:szCs w:val="36"/>
              </w:rPr>
              <w:t>收入决算表</w:t>
            </w:r>
          </w:p>
        </w:tc>
      </w:tr>
      <w:tr>
        <w:tblPrEx>
          <w:tblLayout w:type="fixed"/>
          <w:tblCellMar>
            <w:top w:w="0" w:type="dxa"/>
            <w:left w:w="108" w:type="dxa"/>
            <w:bottom w:w="0" w:type="dxa"/>
            <w:right w:w="108" w:type="dxa"/>
          </w:tblCellMar>
        </w:tblPrEx>
        <w:trPr>
          <w:trHeight w:val="300" w:hRule="atLeast"/>
          <w:jc w:val="center"/>
        </w:trPr>
        <w:tc>
          <w:tcPr>
            <w:tcW w:w="343" w:type="dxa"/>
            <w:tcBorders>
              <w:top w:val="nil"/>
              <w:left w:val="nil"/>
              <w:bottom w:val="nil"/>
              <w:right w:val="nil"/>
            </w:tcBorders>
            <w:shd w:val="clear" w:color="auto" w:fill="auto"/>
            <w:noWrap/>
            <w:vAlign w:val="center"/>
          </w:tcPr>
          <w:p>
            <w:pPr>
              <w:rPr>
                <w:color w:val="000000"/>
                <w:sz w:val="18"/>
                <w:szCs w:val="18"/>
              </w:rPr>
            </w:pPr>
          </w:p>
        </w:tc>
        <w:tc>
          <w:tcPr>
            <w:tcW w:w="343" w:type="dxa"/>
            <w:tcBorders>
              <w:top w:val="nil"/>
              <w:left w:val="nil"/>
              <w:bottom w:val="nil"/>
              <w:right w:val="nil"/>
            </w:tcBorders>
            <w:shd w:val="clear" w:color="auto" w:fill="auto"/>
            <w:noWrap/>
            <w:vAlign w:val="center"/>
          </w:tcPr>
          <w:p>
            <w:pPr>
              <w:rPr>
                <w:color w:val="000000"/>
                <w:sz w:val="18"/>
                <w:szCs w:val="18"/>
              </w:rPr>
            </w:pPr>
          </w:p>
        </w:tc>
        <w:tc>
          <w:tcPr>
            <w:tcW w:w="352" w:type="dxa"/>
            <w:tcBorders>
              <w:top w:val="nil"/>
              <w:left w:val="nil"/>
              <w:bottom w:val="nil"/>
              <w:right w:val="nil"/>
            </w:tcBorders>
            <w:shd w:val="clear" w:color="auto" w:fill="auto"/>
            <w:noWrap/>
            <w:vAlign w:val="center"/>
          </w:tcPr>
          <w:p>
            <w:pPr>
              <w:rPr>
                <w:color w:val="000000"/>
                <w:sz w:val="18"/>
                <w:szCs w:val="18"/>
              </w:rPr>
            </w:pPr>
          </w:p>
        </w:tc>
        <w:tc>
          <w:tcPr>
            <w:tcW w:w="2532" w:type="dxa"/>
            <w:tcBorders>
              <w:top w:val="nil"/>
              <w:left w:val="nil"/>
              <w:bottom w:val="nil"/>
              <w:right w:val="nil"/>
            </w:tcBorders>
            <w:shd w:val="clear" w:color="auto" w:fill="auto"/>
            <w:vAlign w:val="center"/>
          </w:tcPr>
          <w:p>
            <w:pPr>
              <w:rPr>
                <w:color w:val="000000"/>
                <w:sz w:val="18"/>
                <w:szCs w:val="18"/>
              </w:rPr>
            </w:pPr>
          </w:p>
        </w:tc>
        <w:tc>
          <w:tcPr>
            <w:tcW w:w="1230" w:type="dxa"/>
            <w:tcBorders>
              <w:top w:val="nil"/>
              <w:left w:val="nil"/>
              <w:bottom w:val="nil"/>
              <w:right w:val="nil"/>
            </w:tcBorders>
            <w:shd w:val="clear" w:color="auto" w:fill="auto"/>
            <w:noWrap/>
            <w:vAlign w:val="center"/>
          </w:tcPr>
          <w:p>
            <w:pPr>
              <w:rPr>
                <w:color w:val="000000"/>
                <w:sz w:val="18"/>
                <w:szCs w:val="18"/>
              </w:rPr>
            </w:pPr>
          </w:p>
        </w:tc>
        <w:tc>
          <w:tcPr>
            <w:tcW w:w="1230" w:type="dxa"/>
            <w:tcBorders>
              <w:top w:val="nil"/>
              <w:left w:val="nil"/>
              <w:bottom w:val="nil"/>
              <w:right w:val="nil"/>
            </w:tcBorders>
            <w:shd w:val="clear" w:color="auto" w:fill="auto"/>
            <w:noWrap/>
            <w:vAlign w:val="center"/>
          </w:tcPr>
          <w:p>
            <w:pPr>
              <w:rPr>
                <w:color w:val="000000"/>
                <w:sz w:val="18"/>
                <w:szCs w:val="18"/>
              </w:rPr>
            </w:pPr>
          </w:p>
        </w:tc>
        <w:tc>
          <w:tcPr>
            <w:tcW w:w="795" w:type="dxa"/>
            <w:tcBorders>
              <w:top w:val="nil"/>
              <w:left w:val="nil"/>
              <w:bottom w:val="nil"/>
              <w:right w:val="nil"/>
            </w:tcBorders>
            <w:shd w:val="clear" w:color="auto" w:fill="auto"/>
            <w:noWrap/>
            <w:vAlign w:val="center"/>
          </w:tcPr>
          <w:p>
            <w:pPr>
              <w:rPr>
                <w:color w:val="000000"/>
                <w:sz w:val="18"/>
                <w:szCs w:val="18"/>
              </w:rPr>
            </w:pPr>
          </w:p>
        </w:tc>
        <w:tc>
          <w:tcPr>
            <w:tcW w:w="795" w:type="dxa"/>
            <w:tcBorders>
              <w:top w:val="nil"/>
              <w:left w:val="nil"/>
              <w:bottom w:val="nil"/>
              <w:right w:val="nil"/>
            </w:tcBorders>
            <w:shd w:val="clear" w:color="auto" w:fill="auto"/>
            <w:noWrap/>
            <w:vAlign w:val="center"/>
          </w:tcPr>
          <w:p>
            <w:pPr>
              <w:rPr>
                <w:color w:val="000000"/>
                <w:sz w:val="18"/>
                <w:szCs w:val="18"/>
              </w:rPr>
            </w:pPr>
          </w:p>
        </w:tc>
        <w:tc>
          <w:tcPr>
            <w:tcW w:w="795" w:type="dxa"/>
            <w:tcBorders>
              <w:top w:val="nil"/>
              <w:left w:val="nil"/>
              <w:bottom w:val="nil"/>
              <w:right w:val="nil"/>
            </w:tcBorders>
            <w:shd w:val="clear" w:color="auto" w:fill="auto"/>
            <w:noWrap/>
            <w:vAlign w:val="center"/>
          </w:tcPr>
          <w:p>
            <w:pPr>
              <w:rPr>
                <w:color w:val="000000"/>
                <w:sz w:val="18"/>
                <w:szCs w:val="18"/>
              </w:rPr>
            </w:pPr>
          </w:p>
        </w:tc>
        <w:tc>
          <w:tcPr>
            <w:tcW w:w="604" w:type="dxa"/>
            <w:tcBorders>
              <w:top w:val="nil"/>
              <w:left w:val="nil"/>
              <w:bottom w:val="nil"/>
              <w:right w:val="nil"/>
            </w:tcBorders>
            <w:shd w:val="clear" w:color="auto" w:fill="auto"/>
            <w:noWrap/>
            <w:vAlign w:val="center"/>
          </w:tcPr>
          <w:p>
            <w:pPr>
              <w:rPr>
                <w:color w:val="000000"/>
                <w:sz w:val="18"/>
                <w:szCs w:val="18"/>
              </w:rPr>
            </w:pPr>
          </w:p>
        </w:tc>
        <w:tc>
          <w:tcPr>
            <w:tcW w:w="1350" w:type="dxa"/>
            <w:gridSpan w:val="2"/>
            <w:tcBorders>
              <w:top w:val="nil"/>
              <w:left w:val="nil"/>
              <w:bottom w:val="nil"/>
              <w:right w:val="nil"/>
            </w:tcBorders>
            <w:shd w:val="clear" w:color="auto" w:fill="auto"/>
            <w:noWrap/>
            <w:vAlign w:val="center"/>
          </w:tcPr>
          <w:p>
            <w:pPr>
              <w:jc w:val="right"/>
              <w:textAlignment w:val="center"/>
              <w:rPr>
                <w:color w:val="000000"/>
                <w:sz w:val="18"/>
                <w:szCs w:val="18"/>
              </w:rPr>
            </w:pPr>
            <w:r>
              <w:rPr>
                <w:rFonts w:hint="eastAsia"/>
                <w:color w:val="000000"/>
                <w:sz w:val="18"/>
                <w:szCs w:val="18"/>
              </w:rPr>
              <w:t>公开02表</w:t>
            </w:r>
          </w:p>
        </w:tc>
      </w:tr>
      <w:tr>
        <w:tblPrEx>
          <w:tblLayout w:type="fixed"/>
          <w:tblCellMar>
            <w:top w:w="0" w:type="dxa"/>
            <w:left w:w="108" w:type="dxa"/>
            <w:bottom w:w="0" w:type="dxa"/>
            <w:right w:w="108" w:type="dxa"/>
          </w:tblCellMar>
        </w:tblPrEx>
        <w:trPr>
          <w:trHeight w:val="300" w:hRule="atLeast"/>
          <w:jc w:val="center"/>
        </w:trPr>
        <w:tc>
          <w:tcPr>
            <w:tcW w:w="3570" w:type="dxa"/>
            <w:gridSpan w:val="4"/>
            <w:tcBorders>
              <w:top w:val="nil"/>
              <w:left w:val="nil"/>
              <w:bottom w:val="single" w:color="808080" w:sz="4" w:space="0"/>
              <w:right w:val="nil"/>
            </w:tcBorders>
            <w:shd w:val="clear" w:color="auto" w:fill="auto"/>
            <w:noWrap/>
            <w:vAlign w:val="center"/>
          </w:tcPr>
          <w:p>
            <w:pPr>
              <w:textAlignment w:val="center"/>
              <w:rPr>
                <w:color w:val="000000"/>
                <w:sz w:val="18"/>
                <w:szCs w:val="18"/>
              </w:rPr>
            </w:pPr>
            <w:r>
              <w:rPr>
                <w:rFonts w:hint="eastAsia"/>
                <w:color w:val="000000"/>
                <w:sz w:val="18"/>
                <w:szCs w:val="18"/>
              </w:rPr>
              <w:t>公开部门：重庆市垫江县民政局</w:t>
            </w:r>
          </w:p>
        </w:tc>
        <w:tc>
          <w:tcPr>
            <w:tcW w:w="1230" w:type="dxa"/>
            <w:tcBorders>
              <w:top w:val="nil"/>
              <w:left w:val="nil"/>
              <w:bottom w:val="single" w:color="808080" w:sz="4" w:space="0"/>
              <w:right w:val="nil"/>
            </w:tcBorders>
            <w:shd w:val="clear" w:color="auto" w:fill="auto"/>
            <w:noWrap/>
            <w:vAlign w:val="center"/>
          </w:tcPr>
          <w:p>
            <w:pPr>
              <w:rPr>
                <w:color w:val="000000"/>
                <w:sz w:val="18"/>
                <w:szCs w:val="18"/>
              </w:rPr>
            </w:pPr>
          </w:p>
        </w:tc>
        <w:tc>
          <w:tcPr>
            <w:tcW w:w="1230" w:type="dxa"/>
            <w:tcBorders>
              <w:top w:val="nil"/>
              <w:left w:val="nil"/>
              <w:bottom w:val="single" w:color="808080" w:sz="4" w:space="0"/>
              <w:right w:val="nil"/>
            </w:tcBorders>
            <w:shd w:val="clear" w:color="auto" w:fill="auto"/>
            <w:noWrap/>
            <w:vAlign w:val="center"/>
          </w:tcPr>
          <w:p>
            <w:pPr>
              <w:jc w:val="center"/>
              <w:textAlignment w:val="center"/>
              <w:rPr>
                <w:color w:val="000000"/>
                <w:sz w:val="18"/>
                <w:szCs w:val="18"/>
              </w:rPr>
            </w:pPr>
            <w:r>
              <w:rPr>
                <w:rFonts w:hint="eastAsia"/>
                <w:color w:val="000000"/>
                <w:sz w:val="18"/>
                <w:szCs w:val="18"/>
              </w:rPr>
              <w:t>2020年度</w:t>
            </w:r>
          </w:p>
        </w:tc>
        <w:tc>
          <w:tcPr>
            <w:tcW w:w="795" w:type="dxa"/>
            <w:tcBorders>
              <w:top w:val="nil"/>
              <w:left w:val="nil"/>
              <w:bottom w:val="single" w:color="808080" w:sz="4" w:space="0"/>
              <w:right w:val="nil"/>
            </w:tcBorders>
            <w:shd w:val="clear" w:color="auto" w:fill="auto"/>
            <w:noWrap/>
            <w:vAlign w:val="center"/>
          </w:tcPr>
          <w:p>
            <w:pPr>
              <w:rPr>
                <w:color w:val="000000"/>
                <w:sz w:val="18"/>
                <w:szCs w:val="18"/>
              </w:rPr>
            </w:pPr>
          </w:p>
        </w:tc>
        <w:tc>
          <w:tcPr>
            <w:tcW w:w="795" w:type="dxa"/>
            <w:tcBorders>
              <w:top w:val="nil"/>
              <w:left w:val="nil"/>
              <w:bottom w:val="single" w:color="808080" w:sz="4" w:space="0"/>
              <w:right w:val="nil"/>
            </w:tcBorders>
            <w:shd w:val="clear" w:color="auto" w:fill="auto"/>
            <w:noWrap/>
            <w:vAlign w:val="center"/>
          </w:tcPr>
          <w:p>
            <w:pPr>
              <w:rPr>
                <w:color w:val="000000"/>
                <w:sz w:val="18"/>
                <w:szCs w:val="18"/>
              </w:rPr>
            </w:pPr>
          </w:p>
        </w:tc>
        <w:tc>
          <w:tcPr>
            <w:tcW w:w="795" w:type="dxa"/>
            <w:tcBorders>
              <w:top w:val="nil"/>
              <w:left w:val="nil"/>
              <w:bottom w:val="single" w:color="808080" w:sz="4" w:space="0"/>
              <w:right w:val="nil"/>
            </w:tcBorders>
            <w:shd w:val="clear" w:color="auto" w:fill="auto"/>
            <w:noWrap/>
            <w:vAlign w:val="center"/>
          </w:tcPr>
          <w:p>
            <w:pPr>
              <w:rPr>
                <w:color w:val="000000"/>
                <w:sz w:val="18"/>
                <w:szCs w:val="18"/>
              </w:rPr>
            </w:pPr>
          </w:p>
        </w:tc>
        <w:tc>
          <w:tcPr>
            <w:tcW w:w="604" w:type="dxa"/>
            <w:tcBorders>
              <w:top w:val="nil"/>
              <w:left w:val="nil"/>
              <w:bottom w:val="single" w:color="808080" w:sz="4" w:space="0"/>
              <w:right w:val="nil"/>
            </w:tcBorders>
            <w:shd w:val="clear" w:color="auto" w:fill="auto"/>
            <w:noWrap/>
            <w:vAlign w:val="center"/>
          </w:tcPr>
          <w:p>
            <w:pPr>
              <w:rPr>
                <w:color w:val="000000"/>
                <w:sz w:val="18"/>
                <w:szCs w:val="18"/>
              </w:rPr>
            </w:pPr>
          </w:p>
        </w:tc>
        <w:tc>
          <w:tcPr>
            <w:tcW w:w="1350" w:type="dxa"/>
            <w:gridSpan w:val="2"/>
            <w:tcBorders>
              <w:top w:val="nil"/>
              <w:left w:val="nil"/>
              <w:bottom w:val="single" w:color="808080" w:sz="4" w:space="0"/>
              <w:right w:val="nil"/>
            </w:tcBorders>
            <w:shd w:val="clear" w:color="auto" w:fill="auto"/>
            <w:noWrap/>
            <w:vAlign w:val="center"/>
          </w:tcPr>
          <w:p>
            <w:pPr>
              <w:jc w:val="right"/>
              <w:textAlignment w:val="center"/>
              <w:rPr>
                <w:color w:val="000000"/>
                <w:sz w:val="18"/>
                <w:szCs w:val="18"/>
              </w:rPr>
            </w:pPr>
            <w:r>
              <w:rPr>
                <w:rFonts w:hint="eastAsia"/>
                <w:color w:val="000000"/>
                <w:sz w:val="18"/>
                <w:szCs w:val="18"/>
              </w:rPr>
              <w:t>单位：万元</w:t>
            </w:r>
          </w:p>
        </w:tc>
      </w:tr>
      <w:tr>
        <w:tblPrEx>
          <w:tblLayout w:type="fixed"/>
          <w:tblCellMar>
            <w:top w:w="0" w:type="dxa"/>
            <w:left w:w="108" w:type="dxa"/>
            <w:bottom w:w="0" w:type="dxa"/>
            <w:right w:w="108" w:type="dxa"/>
          </w:tblCellMar>
        </w:tblPrEx>
        <w:trPr>
          <w:trHeight w:val="300" w:hRule="atLeast"/>
          <w:jc w:val="center"/>
        </w:trPr>
        <w:tc>
          <w:tcPr>
            <w:tcW w:w="3570" w:type="dxa"/>
            <w:gridSpan w:val="4"/>
            <w:tcBorders>
              <w:top w:val="nil"/>
              <w:left w:val="single" w:color="000000" w:sz="4" w:space="0"/>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项目</w:t>
            </w:r>
          </w:p>
        </w:tc>
        <w:tc>
          <w:tcPr>
            <w:tcW w:w="123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本年收入合计</w:t>
            </w:r>
          </w:p>
        </w:tc>
        <w:tc>
          <w:tcPr>
            <w:tcW w:w="123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财政拨款收入</w:t>
            </w:r>
          </w:p>
        </w:tc>
        <w:tc>
          <w:tcPr>
            <w:tcW w:w="79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上级补助收入</w:t>
            </w:r>
          </w:p>
        </w:tc>
        <w:tc>
          <w:tcPr>
            <w:tcW w:w="1590" w:type="dxa"/>
            <w:gridSpan w:val="2"/>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事业收入</w:t>
            </w:r>
          </w:p>
        </w:tc>
        <w:tc>
          <w:tcPr>
            <w:tcW w:w="604"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经营收入</w:t>
            </w:r>
          </w:p>
        </w:tc>
        <w:tc>
          <w:tcPr>
            <w:tcW w:w="73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附属单位上缴收入</w:t>
            </w:r>
          </w:p>
        </w:tc>
        <w:tc>
          <w:tcPr>
            <w:tcW w:w="61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其他收入</w:t>
            </w:r>
          </w:p>
        </w:tc>
      </w:tr>
      <w:tr>
        <w:tblPrEx>
          <w:tblLayout w:type="fixed"/>
          <w:tblCellMar>
            <w:top w:w="0" w:type="dxa"/>
            <w:left w:w="108" w:type="dxa"/>
            <w:bottom w:w="0" w:type="dxa"/>
            <w:right w:w="108" w:type="dxa"/>
          </w:tblCellMar>
        </w:tblPrEx>
        <w:trPr>
          <w:trHeight w:val="312" w:hRule="atLeast"/>
          <w:jc w:val="center"/>
        </w:trPr>
        <w:tc>
          <w:tcPr>
            <w:tcW w:w="103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功能分类科目编码</w:t>
            </w:r>
          </w:p>
        </w:tc>
        <w:tc>
          <w:tcPr>
            <w:tcW w:w="2532"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项目（按“项”级功能分类科目）</w:t>
            </w:r>
          </w:p>
        </w:tc>
        <w:tc>
          <w:tcPr>
            <w:tcW w:w="1230"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230"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79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590" w:type="dxa"/>
            <w:gridSpan w:val="2"/>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604"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73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61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r>
      <w:tr>
        <w:tblPrEx>
          <w:tblLayout w:type="fixed"/>
          <w:tblCellMar>
            <w:top w:w="0" w:type="dxa"/>
            <w:left w:w="108" w:type="dxa"/>
            <w:bottom w:w="0" w:type="dxa"/>
            <w:right w:w="108" w:type="dxa"/>
          </w:tblCellMar>
        </w:tblPrEx>
        <w:trPr>
          <w:trHeight w:val="312" w:hRule="atLeast"/>
          <w:jc w:val="center"/>
        </w:trPr>
        <w:tc>
          <w:tcPr>
            <w:tcW w:w="103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2532"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230"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230"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79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79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小计</w:t>
            </w:r>
          </w:p>
        </w:tc>
        <w:tc>
          <w:tcPr>
            <w:tcW w:w="79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其中：教育收费</w:t>
            </w:r>
          </w:p>
        </w:tc>
        <w:tc>
          <w:tcPr>
            <w:tcW w:w="604"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73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61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r>
      <w:tr>
        <w:tblPrEx>
          <w:tblLayout w:type="fixed"/>
          <w:tblCellMar>
            <w:top w:w="0" w:type="dxa"/>
            <w:left w:w="108" w:type="dxa"/>
            <w:bottom w:w="0" w:type="dxa"/>
            <w:right w:w="108" w:type="dxa"/>
          </w:tblCellMar>
        </w:tblPrEx>
        <w:trPr>
          <w:trHeight w:val="312" w:hRule="atLeast"/>
          <w:jc w:val="center"/>
        </w:trPr>
        <w:tc>
          <w:tcPr>
            <w:tcW w:w="103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2532"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230"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230"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79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79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79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604"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73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61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3570" w:type="dxa"/>
            <w:gridSpan w:val="4"/>
            <w:tcBorders>
              <w:top w:val="nil"/>
              <w:left w:val="single" w:color="000000" w:sz="4" w:space="0"/>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合计</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21,017.09</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21,017.09</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205</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教育支出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3.03</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3.03</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20508</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进修及培训</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3.03</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3.03</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2050803</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培训支出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3.03</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3.03</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社会保障和就业支出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16,110.44</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16,110.44</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20802</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民政管理事务</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1,032.85</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1,032.85</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2080201</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行政运行</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288.52</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288.52</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2080207</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行政区划和地名管理</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17.47</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17.47</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2080208</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基层政权建设和社区治理</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49.74</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49.74</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2080299</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其他民政管理事务支出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677.12</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677.12</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20805</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行政事业单位养老支出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183.02</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183.02</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2080501</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行政单位离退休</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10.36</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10.36</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2080505</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机关事业单位基本养老保险缴费支出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65.36</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65.36</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2080506</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机关事业单位职业年金缴费支出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32.56</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32.56</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2080599</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其他行政事业单位养老支出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74.74</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74.74</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20810</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社会福利</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1,731.12</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1,731.12</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2081001</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儿童福利</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107.50</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107.50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2081002</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老年福利</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1,115.38</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1,115.38</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2081004</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殡葬</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264.62</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264.62</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2081005</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社会福利事业单位</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243.62</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243.62</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20811</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残疾人事业</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1,108.53</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1,108.53</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2081107</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残疾人生活和护理补贴</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1,108.53</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1,108.53</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20819</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最低生活保障</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7,608.61</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7,608.61</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2081901</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城市最低生活保障金支出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2,239.66</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2,239.66</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2081902</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农村最低生活保障金支出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5,368.95</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5,368.95</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20820</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临时救助</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1,634.37</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1,634.37</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2082001</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临时救助支出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1,571.14</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1,571.14</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2082002</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流浪乞讨人员救助支出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63.23</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63.23</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20821</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特困人员救助供养</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2,230.28</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2,230.28</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2082101</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城市特困人员救助供养支出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293.00</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293.00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2082102</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农村特困人员救助供养支出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1,937.28</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1,937.28</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20825</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其他生活救助</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581.66</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581.66</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2082501</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其他城市生活救助</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13.74</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13.74</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2082502</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其他农村生活救助</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567.92</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567.92</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210</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卫生健康支出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45.61</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45.61</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21011</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行政事业单位医疗</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45.61</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45.61</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2101101</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行政单位医疗</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15.26</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15.26</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2101102</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事业单位医疗</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30.35</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30.35</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221</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住房保障支出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50.34</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50.34</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22102</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住房改革支出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50.34</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50.34</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2210201</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住房公积金</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50.34</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50.34</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229</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其他支出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1,565.52</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1,565.52</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22904</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其他政府性基金及对应专项债务收入安排的支出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1,000.00</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1,000.00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2290402</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其他地方自行试点项目收益专项债券收入安排的支出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1,000.00</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1,000.00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22908</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彩票发行销售机构业务费安排的支出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13.16</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13.16</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2290808</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彩票市场调控资金支出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13.16</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13.16</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22960</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彩票公益金安排的支出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552.36</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552.36</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2296002</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用于社会福利的彩票公益金支出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241.51</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241.51</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2296099</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用于其他社会公益事业的彩票公益金支出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310.85</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310.85</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234</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抗疫特别国债安排的支出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3,242.16</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3,242.16</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23402</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抗疫相关支出</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3,242.16</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3,242.16</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8"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2340205</w:t>
            </w:r>
          </w:p>
        </w:tc>
        <w:tc>
          <w:tcPr>
            <w:tcW w:w="253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困难群众基本生活补助</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3,242.16</w:t>
            </w:r>
          </w:p>
        </w:tc>
        <w:tc>
          <w:tcPr>
            <w:tcW w:w="123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3,242.16</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9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04"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7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6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369" w:type="dxa"/>
            <w:gridSpan w:val="12"/>
            <w:tcBorders>
              <w:top w:val="nil"/>
              <w:left w:val="nil"/>
              <w:bottom w:val="nil"/>
              <w:right w:val="nil"/>
            </w:tcBorders>
            <w:shd w:val="clear" w:color="auto" w:fill="auto"/>
            <w:noWrap/>
            <w:vAlign w:val="center"/>
          </w:tcPr>
          <w:p>
            <w:pPr>
              <w:textAlignment w:val="center"/>
              <w:rPr>
                <w:color w:val="000000"/>
                <w:sz w:val="18"/>
                <w:szCs w:val="18"/>
              </w:rPr>
            </w:pPr>
            <w:r>
              <w:rPr>
                <w:rFonts w:hint="eastAsia"/>
                <w:color w:val="000000"/>
                <w:sz w:val="18"/>
                <w:szCs w:val="18"/>
              </w:rPr>
              <w:t>备注：本表反映部门本年度取得的各项收入情况。</w:t>
            </w:r>
          </w:p>
        </w:tc>
      </w:tr>
    </w:tbl>
    <w:p>
      <w:p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page"/>
      </w:r>
    </w:p>
    <w:tbl>
      <w:tblPr>
        <w:tblStyle w:val="5"/>
        <w:tblW w:w="9465" w:type="dxa"/>
        <w:jc w:val="center"/>
        <w:tblInd w:w="0" w:type="dxa"/>
        <w:tblLayout w:type="fixed"/>
        <w:tblCellMar>
          <w:top w:w="0" w:type="dxa"/>
          <w:left w:w="108" w:type="dxa"/>
          <w:bottom w:w="0" w:type="dxa"/>
          <w:right w:w="108" w:type="dxa"/>
        </w:tblCellMar>
      </w:tblPr>
      <w:tblGrid>
        <w:gridCol w:w="333"/>
        <w:gridCol w:w="333"/>
        <w:gridCol w:w="333"/>
        <w:gridCol w:w="2391"/>
        <w:gridCol w:w="1110"/>
        <w:gridCol w:w="1110"/>
        <w:gridCol w:w="1110"/>
        <w:gridCol w:w="915"/>
        <w:gridCol w:w="915"/>
        <w:gridCol w:w="915"/>
      </w:tblGrid>
      <w:tr>
        <w:tblPrEx>
          <w:tblLayout w:type="fixed"/>
          <w:tblCellMar>
            <w:top w:w="0" w:type="dxa"/>
            <w:left w:w="108" w:type="dxa"/>
            <w:bottom w:w="0" w:type="dxa"/>
            <w:right w:w="108" w:type="dxa"/>
          </w:tblCellMar>
        </w:tblPrEx>
        <w:trPr>
          <w:trHeight w:val="360" w:hRule="atLeast"/>
          <w:jc w:val="center"/>
        </w:trPr>
        <w:tc>
          <w:tcPr>
            <w:tcW w:w="3390" w:type="dxa"/>
            <w:gridSpan w:val="4"/>
            <w:tcBorders>
              <w:top w:val="nil"/>
              <w:left w:val="nil"/>
              <w:bottom w:val="nil"/>
              <w:right w:val="nil"/>
            </w:tcBorders>
            <w:shd w:val="clear" w:color="auto" w:fill="auto"/>
            <w:noWrap/>
            <w:vAlign w:val="center"/>
          </w:tcPr>
          <w:p>
            <w:pPr>
              <w:textAlignment w:val="center"/>
              <w:rPr>
                <w:color w:val="000000"/>
                <w:sz w:val="18"/>
                <w:szCs w:val="18"/>
              </w:rPr>
            </w:pPr>
            <w:r>
              <w:rPr>
                <w:rFonts w:hint="eastAsia"/>
                <w:color w:val="000000"/>
                <w:sz w:val="18"/>
                <w:szCs w:val="18"/>
              </w:rPr>
              <w:t>附件3</w:t>
            </w:r>
          </w:p>
        </w:tc>
        <w:tc>
          <w:tcPr>
            <w:tcW w:w="1110" w:type="dxa"/>
            <w:tcBorders>
              <w:top w:val="nil"/>
              <w:left w:val="nil"/>
              <w:bottom w:val="nil"/>
              <w:right w:val="nil"/>
            </w:tcBorders>
            <w:shd w:val="clear" w:color="auto" w:fill="auto"/>
            <w:noWrap/>
            <w:vAlign w:val="center"/>
          </w:tcPr>
          <w:p>
            <w:pPr>
              <w:jc w:val="center"/>
              <w:rPr>
                <w:rFonts w:ascii="黑体" w:eastAsia="黑体" w:cs="黑体"/>
                <w:color w:val="000000"/>
                <w:sz w:val="18"/>
                <w:szCs w:val="18"/>
              </w:rPr>
            </w:pPr>
          </w:p>
        </w:tc>
        <w:tc>
          <w:tcPr>
            <w:tcW w:w="1110" w:type="dxa"/>
            <w:tcBorders>
              <w:top w:val="nil"/>
              <w:left w:val="nil"/>
              <w:bottom w:val="nil"/>
              <w:right w:val="nil"/>
            </w:tcBorders>
            <w:shd w:val="clear" w:color="auto" w:fill="auto"/>
            <w:noWrap/>
            <w:vAlign w:val="center"/>
          </w:tcPr>
          <w:p>
            <w:pPr>
              <w:rPr>
                <w:color w:val="000000"/>
                <w:sz w:val="18"/>
                <w:szCs w:val="18"/>
              </w:rPr>
            </w:pPr>
          </w:p>
        </w:tc>
        <w:tc>
          <w:tcPr>
            <w:tcW w:w="1110" w:type="dxa"/>
            <w:tcBorders>
              <w:top w:val="nil"/>
              <w:left w:val="nil"/>
              <w:bottom w:val="nil"/>
              <w:right w:val="nil"/>
            </w:tcBorders>
            <w:shd w:val="clear" w:color="auto" w:fill="auto"/>
            <w:noWrap/>
            <w:vAlign w:val="center"/>
          </w:tcPr>
          <w:p>
            <w:pPr>
              <w:rPr>
                <w:color w:val="000000"/>
                <w:sz w:val="18"/>
                <w:szCs w:val="18"/>
              </w:rPr>
            </w:pPr>
          </w:p>
        </w:tc>
        <w:tc>
          <w:tcPr>
            <w:tcW w:w="915" w:type="dxa"/>
            <w:tcBorders>
              <w:top w:val="nil"/>
              <w:left w:val="nil"/>
              <w:bottom w:val="nil"/>
              <w:right w:val="nil"/>
            </w:tcBorders>
            <w:shd w:val="clear" w:color="auto" w:fill="auto"/>
            <w:noWrap/>
            <w:vAlign w:val="center"/>
          </w:tcPr>
          <w:p>
            <w:pPr>
              <w:rPr>
                <w:color w:val="000000"/>
                <w:sz w:val="18"/>
                <w:szCs w:val="18"/>
              </w:rPr>
            </w:pPr>
          </w:p>
        </w:tc>
        <w:tc>
          <w:tcPr>
            <w:tcW w:w="915" w:type="dxa"/>
            <w:tcBorders>
              <w:top w:val="nil"/>
              <w:left w:val="nil"/>
              <w:bottom w:val="nil"/>
              <w:right w:val="nil"/>
            </w:tcBorders>
            <w:shd w:val="clear" w:color="auto" w:fill="auto"/>
            <w:noWrap/>
            <w:vAlign w:val="center"/>
          </w:tcPr>
          <w:p>
            <w:pPr>
              <w:rPr>
                <w:color w:val="000000"/>
                <w:sz w:val="18"/>
                <w:szCs w:val="18"/>
              </w:rPr>
            </w:pPr>
          </w:p>
        </w:tc>
        <w:tc>
          <w:tcPr>
            <w:tcW w:w="915" w:type="dxa"/>
            <w:tcBorders>
              <w:top w:val="nil"/>
              <w:left w:val="nil"/>
              <w:bottom w:val="nil"/>
              <w:right w:val="nil"/>
            </w:tcBorders>
            <w:shd w:val="clear" w:color="auto" w:fill="auto"/>
            <w:noWrap/>
            <w:vAlign w:val="center"/>
          </w:tcPr>
          <w:p>
            <w:pPr>
              <w:rPr>
                <w:color w:val="000000"/>
                <w:sz w:val="18"/>
                <w:szCs w:val="18"/>
              </w:rPr>
            </w:pPr>
          </w:p>
        </w:tc>
      </w:tr>
      <w:tr>
        <w:tblPrEx>
          <w:tblLayout w:type="fixed"/>
          <w:tblCellMar>
            <w:top w:w="0" w:type="dxa"/>
            <w:left w:w="108" w:type="dxa"/>
            <w:bottom w:w="0" w:type="dxa"/>
            <w:right w:w="108" w:type="dxa"/>
          </w:tblCellMar>
        </w:tblPrEx>
        <w:trPr>
          <w:trHeight w:val="440" w:hRule="atLeast"/>
          <w:jc w:val="center"/>
        </w:trPr>
        <w:tc>
          <w:tcPr>
            <w:tcW w:w="9465" w:type="dxa"/>
            <w:gridSpan w:val="10"/>
            <w:tcBorders>
              <w:top w:val="nil"/>
              <w:left w:val="nil"/>
              <w:bottom w:val="nil"/>
              <w:right w:val="nil"/>
            </w:tcBorders>
            <w:shd w:val="clear" w:color="auto" w:fill="auto"/>
            <w:noWrap/>
            <w:vAlign w:val="center"/>
          </w:tcPr>
          <w:p>
            <w:pPr>
              <w:jc w:val="center"/>
              <w:textAlignment w:val="center"/>
              <w:rPr>
                <w:rFonts w:ascii="黑体" w:eastAsia="黑体" w:cs="黑体"/>
                <w:color w:val="000000"/>
                <w:sz w:val="36"/>
                <w:szCs w:val="36"/>
              </w:rPr>
            </w:pPr>
            <w:r>
              <w:rPr>
                <w:rFonts w:hint="eastAsia" w:ascii="黑体" w:eastAsia="黑体" w:cs="黑体"/>
                <w:color w:val="000000"/>
                <w:sz w:val="36"/>
                <w:szCs w:val="36"/>
              </w:rPr>
              <w:t>支出决算表</w:t>
            </w:r>
          </w:p>
        </w:tc>
      </w:tr>
      <w:tr>
        <w:tblPrEx>
          <w:tblLayout w:type="fixed"/>
          <w:tblCellMar>
            <w:top w:w="0" w:type="dxa"/>
            <w:left w:w="108" w:type="dxa"/>
            <w:bottom w:w="0" w:type="dxa"/>
            <w:right w:w="108" w:type="dxa"/>
          </w:tblCellMar>
        </w:tblPrEx>
        <w:trPr>
          <w:trHeight w:val="300" w:hRule="atLeast"/>
          <w:jc w:val="center"/>
        </w:trPr>
        <w:tc>
          <w:tcPr>
            <w:tcW w:w="333" w:type="dxa"/>
            <w:tcBorders>
              <w:top w:val="nil"/>
              <w:left w:val="nil"/>
              <w:bottom w:val="nil"/>
              <w:right w:val="nil"/>
            </w:tcBorders>
            <w:shd w:val="clear" w:color="auto" w:fill="auto"/>
            <w:noWrap/>
            <w:vAlign w:val="center"/>
          </w:tcPr>
          <w:p>
            <w:pPr>
              <w:rPr>
                <w:color w:val="000000"/>
                <w:sz w:val="18"/>
                <w:szCs w:val="18"/>
              </w:rPr>
            </w:pPr>
          </w:p>
        </w:tc>
        <w:tc>
          <w:tcPr>
            <w:tcW w:w="333" w:type="dxa"/>
            <w:tcBorders>
              <w:top w:val="nil"/>
              <w:left w:val="nil"/>
              <w:bottom w:val="nil"/>
              <w:right w:val="nil"/>
            </w:tcBorders>
            <w:shd w:val="clear" w:color="auto" w:fill="auto"/>
            <w:noWrap/>
            <w:vAlign w:val="center"/>
          </w:tcPr>
          <w:p>
            <w:pPr>
              <w:rPr>
                <w:color w:val="000000"/>
                <w:sz w:val="18"/>
                <w:szCs w:val="18"/>
              </w:rPr>
            </w:pPr>
          </w:p>
        </w:tc>
        <w:tc>
          <w:tcPr>
            <w:tcW w:w="333" w:type="dxa"/>
            <w:tcBorders>
              <w:top w:val="nil"/>
              <w:left w:val="nil"/>
              <w:bottom w:val="nil"/>
              <w:right w:val="nil"/>
            </w:tcBorders>
            <w:shd w:val="clear" w:color="auto" w:fill="auto"/>
            <w:noWrap/>
            <w:vAlign w:val="center"/>
          </w:tcPr>
          <w:p>
            <w:pPr>
              <w:rPr>
                <w:color w:val="000000"/>
                <w:sz w:val="18"/>
                <w:szCs w:val="18"/>
              </w:rPr>
            </w:pPr>
          </w:p>
        </w:tc>
        <w:tc>
          <w:tcPr>
            <w:tcW w:w="2391" w:type="dxa"/>
            <w:tcBorders>
              <w:top w:val="nil"/>
              <w:left w:val="nil"/>
              <w:bottom w:val="nil"/>
              <w:right w:val="nil"/>
            </w:tcBorders>
            <w:shd w:val="clear" w:color="auto" w:fill="auto"/>
            <w:vAlign w:val="center"/>
          </w:tcPr>
          <w:p>
            <w:pPr>
              <w:rPr>
                <w:color w:val="000000"/>
                <w:sz w:val="18"/>
                <w:szCs w:val="18"/>
              </w:rPr>
            </w:pPr>
          </w:p>
        </w:tc>
        <w:tc>
          <w:tcPr>
            <w:tcW w:w="1110" w:type="dxa"/>
            <w:tcBorders>
              <w:top w:val="nil"/>
              <w:left w:val="nil"/>
              <w:bottom w:val="nil"/>
              <w:right w:val="nil"/>
            </w:tcBorders>
            <w:shd w:val="clear" w:color="auto" w:fill="auto"/>
            <w:noWrap/>
            <w:vAlign w:val="center"/>
          </w:tcPr>
          <w:p>
            <w:pPr>
              <w:rPr>
                <w:color w:val="000000"/>
                <w:sz w:val="18"/>
                <w:szCs w:val="18"/>
              </w:rPr>
            </w:pPr>
          </w:p>
        </w:tc>
        <w:tc>
          <w:tcPr>
            <w:tcW w:w="1110" w:type="dxa"/>
            <w:tcBorders>
              <w:top w:val="nil"/>
              <w:left w:val="nil"/>
              <w:bottom w:val="nil"/>
              <w:right w:val="nil"/>
            </w:tcBorders>
            <w:shd w:val="clear" w:color="auto" w:fill="auto"/>
            <w:noWrap/>
            <w:vAlign w:val="center"/>
          </w:tcPr>
          <w:p>
            <w:pPr>
              <w:rPr>
                <w:color w:val="000000"/>
                <w:sz w:val="18"/>
                <w:szCs w:val="18"/>
              </w:rPr>
            </w:pPr>
          </w:p>
        </w:tc>
        <w:tc>
          <w:tcPr>
            <w:tcW w:w="1110" w:type="dxa"/>
            <w:tcBorders>
              <w:top w:val="nil"/>
              <w:left w:val="nil"/>
              <w:bottom w:val="nil"/>
              <w:right w:val="nil"/>
            </w:tcBorders>
            <w:shd w:val="clear" w:color="auto" w:fill="auto"/>
            <w:noWrap/>
            <w:vAlign w:val="center"/>
          </w:tcPr>
          <w:p>
            <w:pPr>
              <w:rPr>
                <w:color w:val="000000"/>
                <w:sz w:val="18"/>
                <w:szCs w:val="18"/>
              </w:rPr>
            </w:pPr>
          </w:p>
        </w:tc>
        <w:tc>
          <w:tcPr>
            <w:tcW w:w="915" w:type="dxa"/>
            <w:tcBorders>
              <w:top w:val="nil"/>
              <w:left w:val="nil"/>
              <w:bottom w:val="nil"/>
              <w:right w:val="nil"/>
            </w:tcBorders>
            <w:shd w:val="clear" w:color="auto" w:fill="auto"/>
            <w:noWrap/>
            <w:vAlign w:val="center"/>
          </w:tcPr>
          <w:p>
            <w:pPr>
              <w:rPr>
                <w:color w:val="000000"/>
                <w:sz w:val="18"/>
                <w:szCs w:val="18"/>
              </w:rPr>
            </w:pPr>
          </w:p>
        </w:tc>
        <w:tc>
          <w:tcPr>
            <w:tcW w:w="1830" w:type="dxa"/>
            <w:gridSpan w:val="2"/>
            <w:tcBorders>
              <w:top w:val="nil"/>
              <w:left w:val="nil"/>
              <w:bottom w:val="nil"/>
              <w:right w:val="nil"/>
            </w:tcBorders>
            <w:shd w:val="clear" w:color="auto" w:fill="auto"/>
            <w:noWrap/>
            <w:vAlign w:val="center"/>
          </w:tcPr>
          <w:p>
            <w:pPr>
              <w:jc w:val="right"/>
              <w:textAlignment w:val="center"/>
              <w:rPr>
                <w:color w:val="000000"/>
                <w:sz w:val="18"/>
                <w:szCs w:val="18"/>
              </w:rPr>
            </w:pPr>
            <w:r>
              <w:rPr>
                <w:rFonts w:hint="eastAsia"/>
                <w:color w:val="000000"/>
                <w:sz w:val="18"/>
                <w:szCs w:val="18"/>
              </w:rPr>
              <w:t>公开03表</w:t>
            </w:r>
          </w:p>
        </w:tc>
      </w:tr>
      <w:tr>
        <w:tblPrEx>
          <w:tblLayout w:type="fixed"/>
          <w:tblCellMar>
            <w:top w:w="0" w:type="dxa"/>
            <w:left w:w="108" w:type="dxa"/>
            <w:bottom w:w="0" w:type="dxa"/>
            <w:right w:w="108" w:type="dxa"/>
          </w:tblCellMar>
        </w:tblPrEx>
        <w:trPr>
          <w:trHeight w:val="300" w:hRule="atLeast"/>
          <w:jc w:val="center"/>
        </w:trPr>
        <w:tc>
          <w:tcPr>
            <w:tcW w:w="3390" w:type="dxa"/>
            <w:gridSpan w:val="4"/>
            <w:tcBorders>
              <w:top w:val="nil"/>
              <w:left w:val="nil"/>
              <w:bottom w:val="single" w:color="808080" w:sz="4" w:space="0"/>
              <w:right w:val="nil"/>
            </w:tcBorders>
            <w:shd w:val="clear" w:color="auto" w:fill="auto"/>
            <w:noWrap/>
            <w:vAlign w:val="center"/>
          </w:tcPr>
          <w:p>
            <w:pPr>
              <w:textAlignment w:val="center"/>
              <w:rPr>
                <w:color w:val="000000"/>
                <w:sz w:val="18"/>
                <w:szCs w:val="18"/>
              </w:rPr>
            </w:pPr>
            <w:r>
              <w:rPr>
                <w:rFonts w:hint="eastAsia"/>
                <w:color w:val="000000"/>
                <w:sz w:val="18"/>
                <w:szCs w:val="18"/>
              </w:rPr>
              <w:t>公开部门：重庆市垫江县民政局</w:t>
            </w:r>
          </w:p>
        </w:tc>
        <w:tc>
          <w:tcPr>
            <w:tcW w:w="1110" w:type="dxa"/>
            <w:tcBorders>
              <w:top w:val="nil"/>
              <w:left w:val="nil"/>
              <w:bottom w:val="single" w:color="808080" w:sz="4" w:space="0"/>
              <w:right w:val="nil"/>
            </w:tcBorders>
            <w:shd w:val="clear" w:color="auto" w:fill="auto"/>
            <w:noWrap/>
            <w:vAlign w:val="center"/>
          </w:tcPr>
          <w:p>
            <w:pPr>
              <w:jc w:val="center"/>
              <w:textAlignment w:val="center"/>
              <w:rPr>
                <w:color w:val="000000"/>
                <w:sz w:val="18"/>
                <w:szCs w:val="18"/>
              </w:rPr>
            </w:pPr>
            <w:r>
              <w:rPr>
                <w:rFonts w:hint="eastAsia"/>
                <w:color w:val="000000"/>
                <w:sz w:val="18"/>
                <w:szCs w:val="18"/>
              </w:rPr>
              <w:t>2020年度</w:t>
            </w:r>
          </w:p>
        </w:tc>
        <w:tc>
          <w:tcPr>
            <w:tcW w:w="1110" w:type="dxa"/>
            <w:tcBorders>
              <w:top w:val="nil"/>
              <w:left w:val="nil"/>
              <w:bottom w:val="single" w:color="808080" w:sz="4" w:space="0"/>
              <w:right w:val="nil"/>
            </w:tcBorders>
            <w:shd w:val="clear" w:color="auto" w:fill="auto"/>
            <w:noWrap/>
            <w:vAlign w:val="center"/>
          </w:tcPr>
          <w:p>
            <w:pPr>
              <w:rPr>
                <w:color w:val="000000"/>
                <w:sz w:val="18"/>
                <w:szCs w:val="18"/>
              </w:rPr>
            </w:pPr>
          </w:p>
        </w:tc>
        <w:tc>
          <w:tcPr>
            <w:tcW w:w="1110" w:type="dxa"/>
            <w:tcBorders>
              <w:top w:val="nil"/>
              <w:left w:val="nil"/>
              <w:bottom w:val="single" w:color="808080" w:sz="4" w:space="0"/>
              <w:right w:val="nil"/>
            </w:tcBorders>
            <w:shd w:val="clear" w:color="auto" w:fill="auto"/>
            <w:noWrap/>
            <w:vAlign w:val="center"/>
          </w:tcPr>
          <w:p>
            <w:pPr>
              <w:rPr>
                <w:color w:val="000000"/>
                <w:sz w:val="18"/>
                <w:szCs w:val="18"/>
              </w:rPr>
            </w:pPr>
          </w:p>
        </w:tc>
        <w:tc>
          <w:tcPr>
            <w:tcW w:w="915" w:type="dxa"/>
            <w:tcBorders>
              <w:top w:val="nil"/>
              <w:left w:val="nil"/>
              <w:bottom w:val="single" w:color="808080" w:sz="4" w:space="0"/>
              <w:right w:val="nil"/>
            </w:tcBorders>
            <w:shd w:val="clear" w:color="auto" w:fill="auto"/>
            <w:noWrap/>
            <w:vAlign w:val="center"/>
          </w:tcPr>
          <w:p>
            <w:pPr>
              <w:rPr>
                <w:color w:val="000000"/>
                <w:sz w:val="18"/>
                <w:szCs w:val="18"/>
              </w:rPr>
            </w:pPr>
          </w:p>
        </w:tc>
        <w:tc>
          <w:tcPr>
            <w:tcW w:w="1830" w:type="dxa"/>
            <w:gridSpan w:val="2"/>
            <w:tcBorders>
              <w:top w:val="nil"/>
              <w:left w:val="nil"/>
              <w:bottom w:val="single" w:color="808080" w:sz="4" w:space="0"/>
              <w:right w:val="nil"/>
            </w:tcBorders>
            <w:shd w:val="clear" w:color="auto" w:fill="auto"/>
            <w:noWrap/>
            <w:vAlign w:val="center"/>
          </w:tcPr>
          <w:p>
            <w:pPr>
              <w:jc w:val="right"/>
              <w:textAlignment w:val="center"/>
              <w:rPr>
                <w:color w:val="000000"/>
                <w:sz w:val="18"/>
                <w:szCs w:val="18"/>
              </w:rPr>
            </w:pPr>
            <w:r>
              <w:rPr>
                <w:rFonts w:hint="eastAsia"/>
                <w:color w:val="000000"/>
                <w:sz w:val="18"/>
                <w:szCs w:val="18"/>
              </w:rPr>
              <w:t>单位：万元</w:t>
            </w:r>
          </w:p>
        </w:tc>
      </w:tr>
      <w:tr>
        <w:tblPrEx>
          <w:tblLayout w:type="fixed"/>
          <w:tblCellMar>
            <w:top w:w="0" w:type="dxa"/>
            <w:left w:w="108" w:type="dxa"/>
            <w:bottom w:w="0" w:type="dxa"/>
            <w:right w:w="108" w:type="dxa"/>
          </w:tblCellMar>
        </w:tblPrEx>
        <w:trPr>
          <w:trHeight w:val="300" w:hRule="atLeast"/>
          <w:jc w:val="center"/>
        </w:trPr>
        <w:tc>
          <w:tcPr>
            <w:tcW w:w="3390" w:type="dxa"/>
            <w:gridSpan w:val="4"/>
            <w:tcBorders>
              <w:top w:val="nil"/>
              <w:left w:val="single" w:color="000000" w:sz="4" w:space="0"/>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项目</w:t>
            </w:r>
          </w:p>
        </w:tc>
        <w:tc>
          <w:tcPr>
            <w:tcW w:w="111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本年支出合计</w:t>
            </w:r>
          </w:p>
        </w:tc>
        <w:tc>
          <w:tcPr>
            <w:tcW w:w="111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基本支出</w:t>
            </w:r>
          </w:p>
        </w:tc>
        <w:tc>
          <w:tcPr>
            <w:tcW w:w="111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项目支出</w:t>
            </w:r>
          </w:p>
        </w:tc>
        <w:tc>
          <w:tcPr>
            <w:tcW w:w="91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上缴上级支出</w:t>
            </w:r>
          </w:p>
        </w:tc>
        <w:tc>
          <w:tcPr>
            <w:tcW w:w="91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经营支出</w:t>
            </w:r>
          </w:p>
        </w:tc>
        <w:tc>
          <w:tcPr>
            <w:tcW w:w="91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对附属单位补助支出</w:t>
            </w:r>
          </w:p>
        </w:tc>
      </w:tr>
      <w:tr>
        <w:tblPrEx>
          <w:tblLayout w:type="fixed"/>
          <w:tblCellMar>
            <w:top w:w="0" w:type="dxa"/>
            <w:left w:w="108" w:type="dxa"/>
            <w:bottom w:w="0" w:type="dxa"/>
            <w:right w:w="108" w:type="dxa"/>
          </w:tblCellMar>
        </w:tblPrEx>
        <w:trPr>
          <w:trHeight w:val="312" w:hRule="atLeast"/>
          <w:jc w:val="center"/>
        </w:trPr>
        <w:tc>
          <w:tcPr>
            <w:tcW w:w="99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功能分类科目编码</w:t>
            </w:r>
          </w:p>
        </w:tc>
        <w:tc>
          <w:tcPr>
            <w:tcW w:w="2391"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项目（按“项”级功能分类科目）</w:t>
            </w: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91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91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91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r>
      <w:tr>
        <w:tblPrEx>
          <w:tblLayout w:type="fixed"/>
          <w:tblCellMar>
            <w:top w:w="0" w:type="dxa"/>
            <w:left w:w="108" w:type="dxa"/>
            <w:bottom w:w="0" w:type="dxa"/>
            <w:right w:w="108" w:type="dxa"/>
          </w:tblCellMar>
        </w:tblPrEx>
        <w:trPr>
          <w:trHeight w:val="312" w:hRule="atLeast"/>
          <w:jc w:val="center"/>
        </w:trPr>
        <w:tc>
          <w:tcPr>
            <w:tcW w:w="99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2391"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91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91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91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r>
      <w:tr>
        <w:tblPrEx>
          <w:tblLayout w:type="fixed"/>
          <w:tblCellMar>
            <w:top w:w="0" w:type="dxa"/>
            <w:left w:w="108" w:type="dxa"/>
            <w:bottom w:w="0" w:type="dxa"/>
            <w:right w:w="108" w:type="dxa"/>
          </w:tblCellMar>
        </w:tblPrEx>
        <w:trPr>
          <w:trHeight w:val="312" w:hRule="atLeast"/>
          <w:jc w:val="center"/>
        </w:trPr>
        <w:tc>
          <w:tcPr>
            <w:tcW w:w="99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2391"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91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91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91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3390" w:type="dxa"/>
            <w:gridSpan w:val="4"/>
            <w:tcBorders>
              <w:top w:val="nil"/>
              <w:left w:val="single" w:color="000000" w:sz="4" w:space="0"/>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合计</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25,304.64</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1,386.45</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23,918.19</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205</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教育支出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3.03</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3.03</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20508</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进修及培训</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3.03</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3.03</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2050803</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培训支出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3.03</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3.03</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社会保障和就业支出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21,390.78</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1,287.47</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20,103.31</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20802</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民政管理事务</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1,934.63</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546.21</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1,388.42</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2080201</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行政运行</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305.17</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305.17</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2080207</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行政区划和地名管理</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47.00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47.00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2080208</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基层政权建设和社区治理</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284.43</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284.43</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2080299</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其他民政管理事务支出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1,298.03</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241.04</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1,056.99</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20805</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行政事业单位养老支出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213.44</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213.44</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2080501</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行政单位离退休</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10.36</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10.36</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2080505</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机关事业单位基本养老保险缴费支出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65.36</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65.36</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2080506</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机关事业单位职业年金缴费支出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52.14</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52.14</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2080599</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其他行政事业单位养老支出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85.58</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85.58</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20810</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社会福利</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3,393.13</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527.82</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2,865.31</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2081001</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儿童福利</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607.73</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607.73</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2081002</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老年福利</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1,559.97</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1,559.97</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2081004</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殡葬</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960.80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263.19</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697.61</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2081005</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社会福利事业单位</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264.63</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264.63</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20811</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残疾人事业</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1,152.67</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1,152.67</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2081107</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残疾人生活和护理补贴</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1,152.67</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1,152.67</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20819</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最低生活保障</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10,110.04</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10,110.04</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2081901</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城市最低生活保障金支出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2,763.76</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2,763.76</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2081902</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农村最低生活保障金支出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7,346.28</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7,346.28</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20820</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临时救助</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1,662.54</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1,662.54</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2082001</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临时救助支出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1,571.14</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1,571.14</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2082002</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流浪乞讨人员救助支出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91.40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91.40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20821</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特困人员救助供养</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2,238.33</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2,238.33</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2082101</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城市特困人员救助供养支出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293.00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293.00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2082102</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农村特困人员救助供养支出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1,945.33</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1,945.33</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20825</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其他生活救助</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686.00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686.00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2082501</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其他城市生活救助</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13.74</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13.74</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2082502</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其他农村生活救助</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672.26</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672.26</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210</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卫生健康支出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45.61</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45.61</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21011</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行政事业单位医疗</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45.61</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45.61</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2101101</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行政单位医疗</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15.26</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15.26</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2101102</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事业单位医疗</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30.35</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30.35</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221</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住房保障支出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50.34</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50.34</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22102</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住房改革支出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50.34</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50.34</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2210201</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住房公积金</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50.34</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50.34</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229</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其他支出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572.73</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572.73</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22904</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其他政府性基金及对应专项债务收入安排的支出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7.21</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7.21</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2290402</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其他地方自行试点项目收益专项债券收入安排的支出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7.21</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7.21</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22908</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彩票发行销售机构业务费安排的支出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13.16</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13.16</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2290808</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彩票市场调控资金支出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13.16</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13.16</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22960</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彩票公益金安排的支出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552.36</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552.36</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2296002</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用于社会福利的彩票公益金支出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241.51</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241.51</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2296099</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用于其他社会公益事业的彩票公益金支出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310.85</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310.85</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234</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抗疫特别国债安排的支出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3,242.16</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3,242.16</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23402</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抗疫相关支出</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3,242.16</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3,242.16</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2340205</w:t>
            </w:r>
          </w:p>
        </w:tc>
        <w:tc>
          <w:tcPr>
            <w:tcW w:w="2391"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困难群众基本生活补助</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3,242.16</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3,242.16</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465" w:type="dxa"/>
            <w:gridSpan w:val="10"/>
            <w:tcBorders>
              <w:top w:val="nil"/>
              <w:left w:val="nil"/>
              <w:bottom w:val="nil"/>
              <w:right w:val="nil"/>
            </w:tcBorders>
            <w:shd w:val="clear" w:color="auto" w:fill="auto"/>
            <w:noWrap/>
            <w:vAlign w:val="center"/>
          </w:tcPr>
          <w:p>
            <w:pPr>
              <w:textAlignment w:val="center"/>
              <w:rPr>
                <w:color w:val="000000"/>
                <w:sz w:val="18"/>
                <w:szCs w:val="18"/>
              </w:rPr>
            </w:pPr>
            <w:r>
              <w:rPr>
                <w:rFonts w:hint="eastAsia"/>
                <w:color w:val="000000"/>
                <w:sz w:val="18"/>
                <w:szCs w:val="18"/>
              </w:rPr>
              <w:t>备注：本表反映部门本年度各项支出情况。</w:t>
            </w:r>
          </w:p>
        </w:tc>
      </w:tr>
    </w:tbl>
    <w:p>
      <w:p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page"/>
      </w:r>
    </w:p>
    <w:tbl>
      <w:tblPr>
        <w:tblStyle w:val="5"/>
        <w:tblW w:w="10091" w:type="dxa"/>
        <w:jc w:val="center"/>
        <w:tblInd w:w="0" w:type="dxa"/>
        <w:tblLayout w:type="fixed"/>
        <w:tblCellMar>
          <w:top w:w="0" w:type="dxa"/>
          <w:left w:w="108" w:type="dxa"/>
          <w:bottom w:w="0" w:type="dxa"/>
          <w:right w:w="108" w:type="dxa"/>
        </w:tblCellMar>
      </w:tblPr>
      <w:tblGrid>
        <w:gridCol w:w="2381"/>
        <w:gridCol w:w="1065"/>
        <w:gridCol w:w="2535"/>
        <w:gridCol w:w="1050"/>
        <w:gridCol w:w="1080"/>
        <w:gridCol w:w="960"/>
        <w:gridCol w:w="1020"/>
      </w:tblGrid>
      <w:tr>
        <w:tblPrEx>
          <w:tblLayout w:type="fixed"/>
          <w:tblCellMar>
            <w:top w:w="0" w:type="dxa"/>
            <w:left w:w="108" w:type="dxa"/>
            <w:bottom w:w="0" w:type="dxa"/>
            <w:right w:w="108" w:type="dxa"/>
          </w:tblCellMar>
        </w:tblPrEx>
        <w:trPr>
          <w:trHeight w:val="360" w:hRule="atLeast"/>
          <w:jc w:val="center"/>
        </w:trPr>
        <w:tc>
          <w:tcPr>
            <w:tcW w:w="2381" w:type="dxa"/>
            <w:tcBorders>
              <w:top w:val="nil"/>
              <w:left w:val="nil"/>
              <w:bottom w:val="nil"/>
              <w:right w:val="nil"/>
            </w:tcBorders>
            <w:shd w:val="clear" w:color="auto" w:fill="auto"/>
            <w:vAlign w:val="center"/>
          </w:tcPr>
          <w:p>
            <w:pPr>
              <w:textAlignment w:val="center"/>
              <w:rPr>
                <w:color w:val="000000"/>
                <w:sz w:val="18"/>
                <w:szCs w:val="18"/>
              </w:rPr>
            </w:pPr>
            <w:r>
              <w:rPr>
                <w:rFonts w:hint="eastAsia"/>
                <w:color w:val="000000"/>
                <w:sz w:val="18"/>
                <w:szCs w:val="18"/>
              </w:rPr>
              <w:t>附件4</w:t>
            </w:r>
          </w:p>
        </w:tc>
        <w:tc>
          <w:tcPr>
            <w:tcW w:w="1065" w:type="dxa"/>
            <w:tcBorders>
              <w:top w:val="nil"/>
              <w:left w:val="nil"/>
              <w:bottom w:val="nil"/>
              <w:right w:val="nil"/>
            </w:tcBorders>
            <w:shd w:val="clear" w:color="auto" w:fill="auto"/>
            <w:noWrap/>
            <w:vAlign w:val="center"/>
          </w:tcPr>
          <w:p>
            <w:pPr>
              <w:rPr>
                <w:color w:val="000000"/>
                <w:sz w:val="18"/>
                <w:szCs w:val="18"/>
              </w:rPr>
            </w:pPr>
          </w:p>
        </w:tc>
        <w:tc>
          <w:tcPr>
            <w:tcW w:w="2535" w:type="dxa"/>
            <w:tcBorders>
              <w:top w:val="nil"/>
              <w:left w:val="nil"/>
              <w:bottom w:val="nil"/>
              <w:right w:val="nil"/>
            </w:tcBorders>
            <w:shd w:val="clear" w:color="auto" w:fill="auto"/>
            <w:vAlign w:val="center"/>
          </w:tcPr>
          <w:p>
            <w:pPr>
              <w:rPr>
                <w:color w:val="000000"/>
                <w:sz w:val="18"/>
                <w:szCs w:val="18"/>
              </w:rPr>
            </w:pPr>
          </w:p>
        </w:tc>
        <w:tc>
          <w:tcPr>
            <w:tcW w:w="1050" w:type="dxa"/>
            <w:tcBorders>
              <w:top w:val="nil"/>
              <w:left w:val="nil"/>
              <w:bottom w:val="nil"/>
              <w:right w:val="nil"/>
            </w:tcBorders>
            <w:shd w:val="clear" w:color="auto" w:fill="auto"/>
            <w:noWrap/>
            <w:vAlign w:val="center"/>
          </w:tcPr>
          <w:p>
            <w:pPr>
              <w:jc w:val="center"/>
              <w:rPr>
                <w:rFonts w:ascii="黑体" w:eastAsia="黑体" w:cs="黑体"/>
                <w:color w:val="000000"/>
                <w:sz w:val="18"/>
                <w:szCs w:val="18"/>
              </w:rPr>
            </w:pPr>
          </w:p>
        </w:tc>
        <w:tc>
          <w:tcPr>
            <w:tcW w:w="1080" w:type="dxa"/>
            <w:tcBorders>
              <w:top w:val="nil"/>
              <w:left w:val="nil"/>
              <w:bottom w:val="nil"/>
              <w:right w:val="nil"/>
            </w:tcBorders>
            <w:shd w:val="clear" w:color="auto" w:fill="auto"/>
            <w:noWrap/>
            <w:vAlign w:val="center"/>
          </w:tcPr>
          <w:p>
            <w:pPr>
              <w:rPr>
                <w:color w:val="000000"/>
                <w:sz w:val="18"/>
                <w:szCs w:val="18"/>
              </w:rPr>
            </w:pPr>
          </w:p>
        </w:tc>
        <w:tc>
          <w:tcPr>
            <w:tcW w:w="960" w:type="dxa"/>
            <w:tcBorders>
              <w:top w:val="nil"/>
              <w:left w:val="nil"/>
              <w:bottom w:val="nil"/>
              <w:right w:val="nil"/>
            </w:tcBorders>
            <w:shd w:val="clear" w:color="auto" w:fill="auto"/>
            <w:noWrap/>
            <w:vAlign w:val="center"/>
          </w:tcPr>
          <w:p>
            <w:pPr>
              <w:rPr>
                <w:color w:val="000000"/>
                <w:sz w:val="18"/>
                <w:szCs w:val="18"/>
              </w:rPr>
            </w:pPr>
          </w:p>
        </w:tc>
        <w:tc>
          <w:tcPr>
            <w:tcW w:w="1020" w:type="dxa"/>
            <w:tcBorders>
              <w:top w:val="nil"/>
              <w:left w:val="nil"/>
              <w:bottom w:val="nil"/>
              <w:right w:val="nil"/>
            </w:tcBorders>
            <w:shd w:val="clear" w:color="auto" w:fill="auto"/>
            <w:noWrap/>
            <w:vAlign w:val="center"/>
          </w:tcPr>
          <w:p>
            <w:pPr>
              <w:rPr>
                <w:color w:val="000000"/>
                <w:sz w:val="18"/>
                <w:szCs w:val="18"/>
              </w:rPr>
            </w:pPr>
          </w:p>
        </w:tc>
      </w:tr>
      <w:tr>
        <w:tblPrEx>
          <w:tblLayout w:type="fixed"/>
          <w:tblCellMar>
            <w:top w:w="0" w:type="dxa"/>
            <w:left w:w="108" w:type="dxa"/>
            <w:bottom w:w="0" w:type="dxa"/>
            <w:right w:w="108" w:type="dxa"/>
          </w:tblCellMar>
        </w:tblPrEx>
        <w:trPr>
          <w:trHeight w:val="540" w:hRule="atLeast"/>
          <w:jc w:val="center"/>
        </w:trPr>
        <w:tc>
          <w:tcPr>
            <w:tcW w:w="10091" w:type="dxa"/>
            <w:gridSpan w:val="7"/>
            <w:tcBorders>
              <w:top w:val="nil"/>
              <w:left w:val="nil"/>
              <w:bottom w:val="nil"/>
              <w:right w:val="nil"/>
            </w:tcBorders>
            <w:shd w:val="clear" w:color="auto" w:fill="auto"/>
            <w:vAlign w:val="center"/>
          </w:tcPr>
          <w:p>
            <w:pPr>
              <w:jc w:val="center"/>
              <w:textAlignment w:val="center"/>
              <w:rPr>
                <w:rFonts w:ascii="黑体" w:eastAsia="黑体" w:cs="黑体"/>
                <w:color w:val="000000"/>
                <w:sz w:val="36"/>
                <w:szCs w:val="36"/>
              </w:rPr>
            </w:pPr>
            <w:r>
              <w:rPr>
                <w:rFonts w:hint="eastAsia" w:ascii="黑体" w:eastAsia="黑体" w:cs="黑体"/>
                <w:color w:val="000000"/>
                <w:sz w:val="36"/>
                <w:szCs w:val="36"/>
              </w:rPr>
              <w:t>财政拨款收入支出决算总表</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nil"/>
              <w:bottom w:val="nil"/>
              <w:right w:val="nil"/>
            </w:tcBorders>
            <w:shd w:val="clear" w:color="auto" w:fill="auto"/>
            <w:vAlign w:val="center"/>
          </w:tcPr>
          <w:p>
            <w:pPr>
              <w:rPr>
                <w:color w:val="000000"/>
                <w:sz w:val="18"/>
                <w:szCs w:val="18"/>
              </w:rPr>
            </w:pPr>
          </w:p>
        </w:tc>
        <w:tc>
          <w:tcPr>
            <w:tcW w:w="1065" w:type="dxa"/>
            <w:tcBorders>
              <w:top w:val="nil"/>
              <w:left w:val="nil"/>
              <w:bottom w:val="nil"/>
              <w:right w:val="nil"/>
            </w:tcBorders>
            <w:shd w:val="clear" w:color="auto" w:fill="auto"/>
            <w:noWrap/>
            <w:vAlign w:val="center"/>
          </w:tcPr>
          <w:p>
            <w:pPr>
              <w:rPr>
                <w:color w:val="000000"/>
                <w:sz w:val="18"/>
                <w:szCs w:val="18"/>
              </w:rPr>
            </w:pPr>
          </w:p>
        </w:tc>
        <w:tc>
          <w:tcPr>
            <w:tcW w:w="2535" w:type="dxa"/>
            <w:tcBorders>
              <w:top w:val="nil"/>
              <w:left w:val="nil"/>
              <w:bottom w:val="nil"/>
              <w:right w:val="nil"/>
            </w:tcBorders>
            <w:shd w:val="clear" w:color="auto" w:fill="auto"/>
            <w:vAlign w:val="center"/>
          </w:tcPr>
          <w:p>
            <w:pPr>
              <w:rPr>
                <w:color w:val="000000"/>
                <w:sz w:val="18"/>
                <w:szCs w:val="18"/>
              </w:rPr>
            </w:pPr>
          </w:p>
        </w:tc>
        <w:tc>
          <w:tcPr>
            <w:tcW w:w="1050" w:type="dxa"/>
            <w:tcBorders>
              <w:top w:val="nil"/>
              <w:left w:val="nil"/>
              <w:bottom w:val="nil"/>
              <w:right w:val="nil"/>
            </w:tcBorders>
            <w:shd w:val="clear" w:color="auto" w:fill="auto"/>
            <w:noWrap/>
            <w:vAlign w:val="center"/>
          </w:tcPr>
          <w:p>
            <w:pPr>
              <w:rPr>
                <w:color w:val="000000"/>
                <w:sz w:val="18"/>
                <w:szCs w:val="18"/>
              </w:rPr>
            </w:pPr>
          </w:p>
        </w:tc>
        <w:tc>
          <w:tcPr>
            <w:tcW w:w="1080" w:type="dxa"/>
            <w:tcBorders>
              <w:top w:val="nil"/>
              <w:left w:val="nil"/>
              <w:bottom w:val="nil"/>
              <w:right w:val="nil"/>
            </w:tcBorders>
            <w:shd w:val="clear" w:color="auto" w:fill="auto"/>
            <w:noWrap/>
            <w:vAlign w:val="center"/>
          </w:tcPr>
          <w:p>
            <w:pPr>
              <w:rPr>
                <w:color w:val="000000"/>
                <w:sz w:val="18"/>
                <w:szCs w:val="18"/>
              </w:rPr>
            </w:pPr>
          </w:p>
        </w:tc>
        <w:tc>
          <w:tcPr>
            <w:tcW w:w="1980" w:type="dxa"/>
            <w:gridSpan w:val="2"/>
            <w:tcBorders>
              <w:top w:val="nil"/>
              <w:left w:val="nil"/>
              <w:bottom w:val="nil"/>
              <w:right w:val="nil"/>
            </w:tcBorders>
            <w:shd w:val="clear" w:color="auto" w:fill="auto"/>
            <w:noWrap/>
            <w:vAlign w:val="center"/>
          </w:tcPr>
          <w:p>
            <w:pPr>
              <w:jc w:val="right"/>
              <w:textAlignment w:val="center"/>
              <w:rPr>
                <w:color w:val="000000"/>
                <w:sz w:val="18"/>
                <w:szCs w:val="18"/>
              </w:rPr>
            </w:pPr>
            <w:r>
              <w:rPr>
                <w:rFonts w:hint="eastAsia"/>
                <w:color w:val="000000"/>
                <w:sz w:val="18"/>
                <w:szCs w:val="18"/>
              </w:rPr>
              <w:t>公开04表</w:t>
            </w:r>
          </w:p>
        </w:tc>
      </w:tr>
      <w:tr>
        <w:tblPrEx>
          <w:tblLayout w:type="fixed"/>
          <w:tblCellMar>
            <w:top w:w="0" w:type="dxa"/>
            <w:left w:w="108" w:type="dxa"/>
            <w:bottom w:w="0" w:type="dxa"/>
            <w:right w:w="108" w:type="dxa"/>
          </w:tblCellMar>
        </w:tblPrEx>
        <w:trPr>
          <w:trHeight w:val="300" w:hRule="atLeast"/>
          <w:jc w:val="center"/>
        </w:trPr>
        <w:tc>
          <w:tcPr>
            <w:tcW w:w="5981" w:type="dxa"/>
            <w:gridSpan w:val="3"/>
            <w:tcBorders>
              <w:top w:val="nil"/>
              <w:left w:val="nil"/>
              <w:bottom w:val="single" w:color="808080" w:sz="4" w:space="0"/>
              <w:right w:val="nil"/>
            </w:tcBorders>
            <w:shd w:val="clear" w:color="auto" w:fill="auto"/>
            <w:vAlign w:val="center"/>
          </w:tcPr>
          <w:p>
            <w:pPr>
              <w:textAlignment w:val="center"/>
              <w:rPr>
                <w:color w:val="000000"/>
                <w:sz w:val="18"/>
                <w:szCs w:val="18"/>
              </w:rPr>
            </w:pPr>
            <w:r>
              <w:rPr>
                <w:rFonts w:hint="eastAsia"/>
                <w:color w:val="000000"/>
                <w:sz w:val="18"/>
                <w:szCs w:val="18"/>
              </w:rPr>
              <w:t>公开部门：重庆市垫江县民政局</w:t>
            </w:r>
          </w:p>
        </w:tc>
        <w:tc>
          <w:tcPr>
            <w:tcW w:w="1050" w:type="dxa"/>
            <w:tcBorders>
              <w:top w:val="nil"/>
              <w:left w:val="nil"/>
              <w:bottom w:val="single" w:color="808080" w:sz="4" w:space="0"/>
              <w:right w:val="nil"/>
            </w:tcBorders>
            <w:shd w:val="clear" w:color="auto" w:fill="auto"/>
            <w:noWrap/>
            <w:vAlign w:val="center"/>
          </w:tcPr>
          <w:p>
            <w:pPr>
              <w:jc w:val="center"/>
              <w:textAlignment w:val="center"/>
              <w:rPr>
                <w:color w:val="000000"/>
                <w:sz w:val="18"/>
                <w:szCs w:val="18"/>
              </w:rPr>
            </w:pPr>
            <w:r>
              <w:rPr>
                <w:rFonts w:hint="eastAsia"/>
                <w:color w:val="000000"/>
                <w:sz w:val="18"/>
                <w:szCs w:val="18"/>
              </w:rPr>
              <w:t>2020年度</w:t>
            </w:r>
          </w:p>
        </w:tc>
        <w:tc>
          <w:tcPr>
            <w:tcW w:w="1080" w:type="dxa"/>
            <w:tcBorders>
              <w:top w:val="nil"/>
              <w:left w:val="nil"/>
              <w:bottom w:val="single" w:color="808080" w:sz="4" w:space="0"/>
              <w:right w:val="nil"/>
            </w:tcBorders>
            <w:shd w:val="clear" w:color="auto" w:fill="auto"/>
            <w:noWrap/>
            <w:vAlign w:val="center"/>
          </w:tcPr>
          <w:p>
            <w:pPr>
              <w:rPr>
                <w:color w:val="000000"/>
                <w:sz w:val="18"/>
                <w:szCs w:val="18"/>
              </w:rPr>
            </w:pPr>
          </w:p>
        </w:tc>
        <w:tc>
          <w:tcPr>
            <w:tcW w:w="1980" w:type="dxa"/>
            <w:gridSpan w:val="2"/>
            <w:tcBorders>
              <w:top w:val="nil"/>
              <w:left w:val="nil"/>
              <w:bottom w:val="single" w:color="808080" w:sz="4" w:space="0"/>
              <w:right w:val="nil"/>
            </w:tcBorders>
            <w:shd w:val="clear" w:color="auto" w:fill="auto"/>
            <w:noWrap/>
            <w:vAlign w:val="center"/>
          </w:tcPr>
          <w:p>
            <w:pPr>
              <w:jc w:val="right"/>
              <w:textAlignment w:val="center"/>
              <w:rPr>
                <w:color w:val="000000"/>
                <w:sz w:val="18"/>
                <w:szCs w:val="18"/>
              </w:rPr>
            </w:pPr>
            <w:r>
              <w:rPr>
                <w:rFonts w:hint="eastAsia"/>
                <w:color w:val="000000"/>
                <w:sz w:val="18"/>
                <w:szCs w:val="18"/>
              </w:rPr>
              <w:t>单位：万元</w:t>
            </w:r>
          </w:p>
        </w:tc>
      </w:tr>
      <w:tr>
        <w:tblPrEx>
          <w:tblLayout w:type="fixed"/>
          <w:tblCellMar>
            <w:top w:w="0" w:type="dxa"/>
            <w:left w:w="108" w:type="dxa"/>
            <w:bottom w:w="0" w:type="dxa"/>
            <w:right w:w="108" w:type="dxa"/>
          </w:tblCellMar>
        </w:tblPrEx>
        <w:trPr>
          <w:trHeight w:val="300" w:hRule="atLeast"/>
          <w:jc w:val="center"/>
        </w:trPr>
        <w:tc>
          <w:tcPr>
            <w:tcW w:w="3446" w:type="dxa"/>
            <w:gridSpan w:val="2"/>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收     入</w:t>
            </w:r>
          </w:p>
        </w:tc>
        <w:tc>
          <w:tcPr>
            <w:tcW w:w="6645" w:type="dxa"/>
            <w:gridSpan w:val="5"/>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支     出</w:t>
            </w:r>
          </w:p>
        </w:tc>
      </w:tr>
      <w:tr>
        <w:tblPrEx>
          <w:tblLayout w:type="fixed"/>
          <w:tblCellMar>
            <w:top w:w="0" w:type="dxa"/>
            <w:left w:w="108" w:type="dxa"/>
            <w:bottom w:w="0" w:type="dxa"/>
            <w:right w:w="108" w:type="dxa"/>
          </w:tblCellMar>
        </w:tblPrEx>
        <w:trPr>
          <w:trHeight w:val="285" w:hRule="atLeast"/>
          <w:jc w:val="center"/>
        </w:trPr>
        <w:tc>
          <w:tcPr>
            <w:tcW w:w="2381"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项    目</w:t>
            </w:r>
          </w:p>
        </w:tc>
        <w:tc>
          <w:tcPr>
            <w:tcW w:w="106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决算数</w:t>
            </w:r>
          </w:p>
        </w:tc>
        <w:tc>
          <w:tcPr>
            <w:tcW w:w="253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功能分类科目</w:t>
            </w:r>
          </w:p>
        </w:tc>
        <w:tc>
          <w:tcPr>
            <w:tcW w:w="4110" w:type="dxa"/>
            <w:gridSpan w:val="4"/>
            <w:tcBorders>
              <w:top w:val="nil"/>
              <w:left w:val="nil"/>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决算数</w:t>
            </w:r>
          </w:p>
        </w:tc>
      </w:tr>
      <w:tr>
        <w:tblPrEx>
          <w:tblLayout w:type="fixed"/>
          <w:tblCellMar>
            <w:top w:w="0" w:type="dxa"/>
            <w:left w:w="108" w:type="dxa"/>
            <w:bottom w:w="0" w:type="dxa"/>
            <w:right w:w="108" w:type="dxa"/>
          </w:tblCellMar>
        </w:tblPrEx>
        <w:trPr>
          <w:trHeight w:val="720" w:hRule="atLeast"/>
          <w:jc w:val="center"/>
        </w:trPr>
        <w:tc>
          <w:tcPr>
            <w:tcW w:w="238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106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253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小计</w:t>
            </w:r>
          </w:p>
        </w:tc>
        <w:tc>
          <w:tcPr>
            <w:tcW w:w="1080" w:type="dxa"/>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一般公共预算财政拨款</w:t>
            </w:r>
          </w:p>
        </w:tc>
        <w:tc>
          <w:tcPr>
            <w:tcW w:w="960" w:type="dxa"/>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政府性基金预算财政拨款</w:t>
            </w:r>
          </w:p>
        </w:tc>
        <w:tc>
          <w:tcPr>
            <w:tcW w:w="1020" w:type="dxa"/>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国有资本经营预算财政拨款</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一、一般公共预算财政拨款</w:t>
            </w:r>
          </w:p>
        </w:tc>
        <w:tc>
          <w:tcPr>
            <w:tcW w:w="106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16,209.41</w:t>
            </w: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一、一般公共服务支出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二、政府性基金预算财政拨款</w:t>
            </w:r>
          </w:p>
        </w:tc>
        <w:tc>
          <w:tcPr>
            <w:tcW w:w="106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4,807.68</w:t>
            </w: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二、外交支出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三、国有资本经营预算财政拨款</w:t>
            </w:r>
          </w:p>
        </w:tc>
        <w:tc>
          <w:tcPr>
            <w:tcW w:w="106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三、国防支出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四、公共安全支出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五、教育支出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3.03</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3.03</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六、科学技术支出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七、文化旅游体育与传媒支出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八、社会保障和就业支出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21,390.77</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21,390.77</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九、卫生健康支出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45.60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45.60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十、节能环保支出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十一、城乡社区支出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十二、农林水支出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十三、交通运输支出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十四、资源勘探工业信息等支出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十五、商业服务业等支出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十六、金融支出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十七、援助其他地区支出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十八、自然资源海洋气象等支出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十九、住房保障支出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50.34</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50.34</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二十、粮油物资储备支出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二十一、国有资本经营预算支出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二十二、灾害防治及应急管理支出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二十三、其他支出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572.73</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572.73</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rPr>
                <w:color w:val="000000"/>
                <w:sz w:val="18"/>
                <w:szCs w:val="18"/>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二十四、债务还本支出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本年收入合计</w:t>
            </w:r>
          </w:p>
        </w:tc>
        <w:tc>
          <w:tcPr>
            <w:tcW w:w="106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21,017.09</w:t>
            </w: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二十五、债务付息支出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年初财政拨款结转和结余</w:t>
            </w:r>
          </w:p>
        </w:tc>
        <w:tc>
          <w:tcPr>
            <w:tcW w:w="106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7,818.58</w:t>
            </w: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二十六、抗疫特别国债安排的支出</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3,242.16</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3,242.16</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一、一般公共预算财政拨款</w:t>
            </w:r>
          </w:p>
        </w:tc>
        <w:tc>
          <w:tcPr>
            <w:tcW w:w="106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7,818.58</w:t>
            </w:r>
          </w:p>
        </w:tc>
        <w:tc>
          <w:tcPr>
            <w:tcW w:w="2535" w:type="dxa"/>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本年支出合计</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25,304.64</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21,489.74</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3,814.89</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二、政府性基金预算财政拨款</w:t>
            </w:r>
          </w:p>
        </w:tc>
        <w:tc>
          <w:tcPr>
            <w:tcW w:w="106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253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年末财政拨款结转和结余</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3,531.02</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2,538.24</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992.79</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三、国有资本经营预算财政拨款</w:t>
            </w:r>
          </w:p>
        </w:tc>
        <w:tc>
          <w:tcPr>
            <w:tcW w:w="106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2535" w:type="dxa"/>
            <w:tcBorders>
              <w:top w:val="nil"/>
              <w:left w:val="nil"/>
              <w:bottom w:val="single" w:color="000000" w:sz="4" w:space="0"/>
              <w:right w:val="single" w:color="000000" w:sz="4" w:space="0"/>
            </w:tcBorders>
            <w:shd w:val="clear" w:color="auto" w:fill="auto"/>
            <w:vAlign w:val="center"/>
          </w:tcPr>
          <w:p>
            <w:pPr>
              <w:rPr>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8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2381"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总计</w:t>
            </w:r>
          </w:p>
        </w:tc>
        <w:tc>
          <w:tcPr>
            <w:tcW w:w="106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28,835.66</w:t>
            </w:r>
          </w:p>
        </w:tc>
        <w:tc>
          <w:tcPr>
            <w:tcW w:w="2535" w:type="dxa"/>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总计</w:t>
            </w:r>
          </w:p>
        </w:tc>
        <w:tc>
          <w:tcPr>
            <w:tcW w:w="105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28,835.66</w:t>
            </w:r>
          </w:p>
        </w:tc>
        <w:tc>
          <w:tcPr>
            <w:tcW w:w="108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24,027.98</w:t>
            </w:r>
          </w:p>
        </w:tc>
        <w:tc>
          <w:tcPr>
            <w:tcW w:w="96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4,807.68</w:t>
            </w:r>
          </w:p>
        </w:tc>
        <w:tc>
          <w:tcPr>
            <w:tcW w:w="1020"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071" w:type="dxa"/>
            <w:gridSpan w:val="6"/>
            <w:tcBorders>
              <w:top w:val="nil"/>
              <w:left w:val="nil"/>
              <w:bottom w:val="nil"/>
              <w:right w:val="nil"/>
            </w:tcBorders>
            <w:shd w:val="clear" w:color="auto" w:fill="auto"/>
            <w:vAlign w:val="center"/>
          </w:tcPr>
          <w:p>
            <w:pPr>
              <w:textAlignment w:val="center"/>
              <w:rPr>
                <w:color w:val="000000"/>
                <w:sz w:val="18"/>
                <w:szCs w:val="18"/>
              </w:rPr>
            </w:pPr>
            <w:r>
              <w:rPr>
                <w:rFonts w:hint="eastAsia"/>
                <w:color w:val="000000"/>
                <w:sz w:val="18"/>
                <w:szCs w:val="18"/>
              </w:rPr>
              <w:t>备注：本表反映部门本年度一般公共预算财政拨款和政府性基金预算财政拨款的总收支和年末结转结余情况。</w:t>
            </w:r>
          </w:p>
        </w:tc>
        <w:tc>
          <w:tcPr>
            <w:tcW w:w="1020" w:type="dxa"/>
            <w:tcBorders>
              <w:top w:val="nil"/>
              <w:left w:val="nil"/>
              <w:bottom w:val="nil"/>
              <w:right w:val="nil"/>
            </w:tcBorders>
            <w:shd w:val="clear" w:color="auto" w:fill="auto"/>
            <w:noWrap/>
            <w:vAlign w:val="center"/>
          </w:tcPr>
          <w:p>
            <w:pPr>
              <w:rPr>
                <w:color w:val="000000"/>
                <w:sz w:val="18"/>
                <w:szCs w:val="18"/>
              </w:rPr>
            </w:pPr>
          </w:p>
        </w:tc>
      </w:tr>
    </w:tbl>
    <w:p>
      <w:p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page"/>
      </w:r>
    </w:p>
    <w:tbl>
      <w:tblPr>
        <w:tblStyle w:val="5"/>
        <w:tblW w:w="9789" w:type="dxa"/>
        <w:jc w:val="center"/>
        <w:tblInd w:w="0" w:type="dxa"/>
        <w:tblLayout w:type="fixed"/>
        <w:tblCellMar>
          <w:top w:w="0" w:type="dxa"/>
          <w:left w:w="108" w:type="dxa"/>
          <w:bottom w:w="0" w:type="dxa"/>
          <w:right w:w="108" w:type="dxa"/>
        </w:tblCellMar>
      </w:tblPr>
      <w:tblGrid>
        <w:gridCol w:w="349"/>
        <w:gridCol w:w="348"/>
        <w:gridCol w:w="348"/>
        <w:gridCol w:w="2630"/>
        <w:gridCol w:w="1005"/>
        <w:gridCol w:w="1033"/>
        <w:gridCol w:w="1033"/>
        <w:gridCol w:w="1005"/>
        <w:gridCol w:w="1033"/>
        <w:gridCol w:w="1005"/>
      </w:tblGrid>
      <w:tr>
        <w:tblPrEx>
          <w:tblLayout w:type="fixed"/>
          <w:tblCellMar>
            <w:top w:w="0" w:type="dxa"/>
            <w:left w:w="108" w:type="dxa"/>
            <w:bottom w:w="0" w:type="dxa"/>
            <w:right w:w="108" w:type="dxa"/>
          </w:tblCellMar>
        </w:tblPrEx>
        <w:trPr>
          <w:trHeight w:val="340" w:hRule="atLeast"/>
          <w:jc w:val="center"/>
        </w:trPr>
        <w:tc>
          <w:tcPr>
            <w:tcW w:w="3675" w:type="dxa"/>
            <w:gridSpan w:val="4"/>
            <w:tcBorders>
              <w:top w:val="nil"/>
              <w:left w:val="nil"/>
              <w:bottom w:val="nil"/>
              <w:right w:val="nil"/>
            </w:tcBorders>
            <w:shd w:val="clear" w:color="auto" w:fill="auto"/>
            <w:noWrap/>
            <w:vAlign w:val="center"/>
          </w:tcPr>
          <w:p>
            <w:pPr>
              <w:textAlignment w:val="center"/>
              <w:rPr>
                <w:color w:val="000000"/>
                <w:sz w:val="18"/>
                <w:szCs w:val="18"/>
              </w:rPr>
            </w:pPr>
            <w:r>
              <w:rPr>
                <w:rFonts w:hint="eastAsia"/>
                <w:color w:val="000000"/>
                <w:sz w:val="18"/>
                <w:szCs w:val="18"/>
              </w:rPr>
              <w:t>附件5</w:t>
            </w:r>
          </w:p>
        </w:tc>
        <w:tc>
          <w:tcPr>
            <w:tcW w:w="1005" w:type="dxa"/>
            <w:tcBorders>
              <w:top w:val="nil"/>
              <w:left w:val="nil"/>
              <w:bottom w:val="nil"/>
              <w:right w:val="nil"/>
            </w:tcBorders>
            <w:shd w:val="clear" w:color="auto" w:fill="auto"/>
            <w:noWrap/>
            <w:vAlign w:val="center"/>
          </w:tcPr>
          <w:p>
            <w:pPr>
              <w:jc w:val="center"/>
              <w:rPr>
                <w:rFonts w:ascii="黑体" w:eastAsia="黑体" w:cs="黑体"/>
                <w:color w:val="000000"/>
                <w:sz w:val="18"/>
                <w:szCs w:val="18"/>
              </w:rPr>
            </w:pPr>
          </w:p>
        </w:tc>
        <w:tc>
          <w:tcPr>
            <w:tcW w:w="1033" w:type="dxa"/>
            <w:tcBorders>
              <w:top w:val="nil"/>
              <w:left w:val="nil"/>
              <w:bottom w:val="nil"/>
              <w:right w:val="nil"/>
            </w:tcBorders>
            <w:shd w:val="clear" w:color="auto" w:fill="auto"/>
            <w:noWrap/>
            <w:vAlign w:val="center"/>
          </w:tcPr>
          <w:p>
            <w:pPr>
              <w:rPr>
                <w:color w:val="000000"/>
                <w:sz w:val="18"/>
                <w:szCs w:val="18"/>
              </w:rPr>
            </w:pPr>
          </w:p>
        </w:tc>
        <w:tc>
          <w:tcPr>
            <w:tcW w:w="1033" w:type="dxa"/>
            <w:tcBorders>
              <w:top w:val="nil"/>
              <w:left w:val="nil"/>
              <w:bottom w:val="nil"/>
              <w:right w:val="nil"/>
            </w:tcBorders>
            <w:shd w:val="clear" w:color="auto" w:fill="auto"/>
            <w:noWrap/>
            <w:vAlign w:val="center"/>
          </w:tcPr>
          <w:p>
            <w:pPr>
              <w:rPr>
                <w:color w:val="000000"/>
                <w:sz w:val="18"/>
                <w:szCs w:val="18"/>
              </w:rPr>
            </w:pPr>
          </w:p>
        </w:tc>
        <w:tc>
          <w:tcPr>
            <w:tcW w:w="1005" w:type="dxa"/>
            <w:tcBorders>
              <w:top w:val="nil"/>
              <w:left w:val="nil"/>
              <w:bottom w:val="nil"/>
              <w:right w:val="nil"/>
            </w:tcBorders>
            <w:shd w:val="clear" w:color="auto" w:fill="auto"/>
            <w:noWrap/>
            <w:vAlign w:val="center"/>
          </w:tcPr>
          <w:p>
            <w:pPr>
              <w:rPr>
                <w:color w:val="000000"/>
                <w:sz w:val="18"/>
                <w:szCs w:val="18"/>
              </w:rPr>
            </w:pPr>
          </w:p>
        </w:tc>
        <w:tc>
          <w:tcPr>
            <w:tcW w:w="1033" w:type="dxa"/>
            <w:tcBorders>
              <w:top w:val="nil"/>
              <w:left w:val="nil"/>
              <w:bottom w:val="nil"/>
              <w:right w:val="nil"/>
            </w:tcBorders>
            <w:shd w:val="clear" w:color="auto" w:fill="auto"/>
            <w:noWrap/>
            <w:vAlign w:val="center"/>
          </w:tcPr>
          <w:p>
            <w:pPr>
              <w:rPr>
                <w:color w:val="000000"/>
                <w:sz w:val="18"/>
                <w:szCs w:val="18"/>
              </w:rPr>
            </w:pPr>
          </w:p>
        </w:tc>
        <w:tc>
          <w:tcPr>
            <w:tcW w:w="1005" w:type="dxa"/>
            <w:tcBorders>
              <w:top w:val="nil"/>
              <w:left w:val="nil"/>
              <w:bottom w:val="nil"/>
              <w:right w:val="nil"/>
            </w:tcBorders>
            <w:shd w:val="clear" w:color="auto" w:fill="auto"/>
            <w:noWrap/>
            <w:vAlign w:val="center"/>
          </w:tcPr>
          <w:p>
            <w:pPr>
              <w:rPr>
                <w:color w:val="000000"/>
                <w:sz w:val="18"/>
                <w:szCs w:val="18"/>
              </w:rPr>
            </w:pPr>
          </w:p>
        </w:tc>
      </w:tr>
      <w:tr>
        <w:tblPrEx>
          <w:tblLayout w:type="fixed"/>
          <w:tblCellMar>
            <w:top w:w="0" w:type="dxa"/>
            <w:left w:w="108" w:type="dxa"/>
            <w:bottom w:w="0" w:type="dxa"/>
            <w:right w:w="108" w:type="dxa"/>
          </w:tblCellMar>
        </w:tblPrEx>
        <w:trPr>
          <w:trHeight w:val="540" w:hRule="atLeast"/>
          <w:jc w:val="center"/>
        </w:trPr>
        <w:tc>
          <w:tcPr>
            <w:tcW w:w="9789" w:type="dxa"/>
            <w:gridSpan w:val="10"/>
            <w:tcBorders>
              <w:top w:val="nil"/>
              <w:left w:val="nil"/>
              <w:bottom w:val="nil"/>
              <w:right w:val="nil"/>
            </w:tcBorders>
            <w:shd w:val="clear" w:color="auto" w:fill="auto"/>
            <w:noWrap/>
            <w:vAlign w:val="center"/>
          </w:tcPr>
          <w:p>
            <w:pPr>
              <w:jc w:val="center"/>
              <w:textAlignment w:val="center"/>
              <w:rPr>
                <w:rFonts w:ascii="黑体" w:eastAsia="黑体" w:cs="黑体"/>
                <w:color w:val="000000"/>
                <w:sz w:val="36"/>
                <w:szCs w:val="36"/>
              </w:rPr>
            </w:pPr>
            <w:r>
              <w:rPr>
                <w:rFonts w:hint="eastAsia" w:ascii="黑体" w:eastAsia="黑体" w:cs="黑体"/>
                <w:color w:val="000000"/>
                <w:sz w:val="36"/>
                <w:szCs w:val="36"/>
              </w:rPr>
              <w:t>一般公共预算财政拨款收入支出决算表</w:t>
            </w:r>
          </w:p>
        </w:tc>
      </w:tr>
      <w:tr>
        <w:tblPrEx>
          <w:tblLayout w:type="fixed"/>
          <w:tblCellMar>
            <w:top w:w="0" w:type="dxa"/>
            <w:left w:w="108" w:type="dxa"/>
            <w:bottom w:w="0" w:type="dxa"/>
            <w:right w:w="108" w:type="dxa"/>
          </w:tblCellMar>
        </w:tblPrEx>
        <w:trPr>
          <w:trHeight w:val="300" w:hRule="atLeast"/>
          <w:jc w:val="center"/>
        </w:trPr>
        <w:tc>
          <w:tcPr>
            <w:tcW w:w="349" w:type="dxa"/>
            <w:tcBorders>
              <w:top w:val="nil"/>
              <w:left w:val="nil"/>
              <w:bottom w:val="nil"/>
              <w:right w:val="nil"/>
            </w:tcBorders>
            <w:shd w:val="clear" w:color="auto" w:fill="auto"/>
            <w:noWrap/>
            <w:vAlign w:val="center"/>
          </w:tcPr>
          <w:p>
            <w:pPr>
              <w:rPr>
                <w:color w:val="000000"/>
                <w:sz w:val="18"/>
                <w:szCs w:val="18"/>
              </w:rPr>
            </w:pPr>
          </w:p>
        </w:tc>
        <w:tc>
          <w:tcPr>
            <w:tcW w:w="348" w:type="dxa"/>
            <w:tcBorders>
              <w:top w:val="nil"/>
              <w:left w:val="nil"/>
              <w:bottom w:val="nil"/>
              <w:right w:val="nil"/>
            </w:tcBorders>
            <w:shd w:val="clear" w:color="auto" w:fill="auto"/>
            <w:noWrap/>
            <w:vAlign w:val="center"/>
          </w:tcPr>
          <w:p>
            <w:pPr>
              <w:rPr>
                <w:color w:val="000000"/>
                <w:sz w:val="18"/>
                <w:szCs w:val="18"/>
              </w:rPr>
            </w:pPr>
          </w:p>
        </w:tc>
        <w:tc>
          <w:tcPr>
            <w:tcW w:w="348" w:type="dxa"/>
            <w:tcBorders>
              <w:top w:val="nil"/>
              <w:left w:val="nil"/>
              <w:bottom w:val="nil"/>
              <w:right w:val="nil"/>
            </w:tcBorders>
            <w:shd w:val="clear" w:color="auto" w:fill="auto"/>
            <w:noWrap/>
            <w:vAlign w:val="center"/>
          </w:tcPr>
          <w:p>
            <w:pPr>
              <w:rPr>
                <w:color w:val="000000"/>
                <w:sz w:val="18"/>
                <w:szCs w:val="18"/>
              </w:rPr>
            </w:pPr>
          </w:p>
        </w:tc>
        <w:tc>
          <w:tcPr>
            <w:tcW w:w="2630" w:type="dxa"/>
            <w:tcBorders>
              <w:top w:val="nil"/>
              <w:left w:val="nil"/>
              <w:bottom w:val="nil"/>
              <w:right w:val="nil"/>
            </w:tcBorders>
            <w:shd w:val="clear" w:color="auto" w:fill="auto"/>
            <w:vAlign w:val="center"/>
          </w:tcPr>
          <w:p>
            <w:pPr>
              <w:rPr>
                <w:color w:val="000000"/>
                <w:sz w:val="18"/>
                <w:szCs w:val="18"/>
              </w:rPr>
            </w:pPr>
          </w:p>
        </w:tc>
        <w:tc>
          <w:tcPr>
            <w:tcW w:w="1005" w:type="dxa"/>
            <w:tcBorders>
              <w:top w:val="nil"/>
              <w:left w:val="nil"/>
              <w:bottom w:val="nil"/>
              <w:right w:val="nil"/>
            </w:tcBorders>
            <w:shd w:val="clear" w:color="auto" w:fill="auto"/>
            <w:noWrap/>
            <w:vAlign w:val="center"/>
          </w:tcPr>
          <w:p>
            <w:pPr>
              <w:rPr>
                <w:color w:val="000000"/>
                <w:sz w:val="18"/>
                <w:szCs w:val="18"/>
              </w:rPr>
            </w:pPr>
          </w:p>
        </w:tc>
        <w:tc>
          <w:tcPr>
            <w:tcW w:w="1033" w:type="dxa"/>
            <w:tcBorders>
              <w:top w:val="nil"/>
              <w:left w:val="nil"/>
              <w:bottom w:val="nil"/>
              <w:right w:val="nil"/>
            </w:tcBorders>
            <w:shd w:val="clear" w:color="auto" w:fill="auto"/>
            <w:noWrap/>
            <w:vAlign w:val="center"/>
          </w:tcPr>
          <w:p>
            <w:pPr>
              <w:rPr>
                <w:color w:val="000000"/>
                <w:sz w:val="18"/>
                <w:szCs w:val="18"/>
              </w:rPr>
            </w:pPr>
          </w:p>
        </w:tc>
        <w:tc>
          <w:tcPr>
            <w:tcW w:w="1033" w:type="dxa"/>
            <w:tcBorders>
              <w:top w:val="nil"/>
              <w:left w:val="nil"/>
              <w:bottom w:val="nil"/>
              <w:right w:val="nil"/>
            </w:tcBorders>
            <w:shd w:val="clear" w:color="auto" w:fill="auto"/>
            <w:noWrap/>
            <w:vAlign w:val="center"/>
          </w:tcPr>
          <w:p>
            <w:pPr>
              <w:rPr>
                <w:color w:val="000000"/>
                <w:sz w:val="18"/>
                <w:szCs w:val="18"/>
              </w:rPr>
            </w:pPr>
          </w:p>
        </w:tc>
        <w:tc>
          <w:tcPr>
            <w:tcW w:w="1005" w:type="dxa"/>
            <w:tcBorders>
              <w:top w:val="nil"/>
              <w:left w:val="nil"/>
              <w:bottom w:val="nil"/>
              <w:right w:val="nil"/>
            </w:tcBorders>
            <w:shd w:val="clear" w:color="auto" w:fill="auto"/>
            <w:noWrap/>
            <w:vAlign w:val="center"/>
          </w:tcPr>
          <w:p>
            <w:pPr>
              <w:rPr>
                <w:color w:val="000000"/>
                <w:sz w:val="18"/>
                <w:szCs w:val="18"/>
              </w:rPr>
            </w:pPr>
          </w:p>
        </w:tc>
        <w:tc>
          <w:tcPr>
            <w:tcW w:w="2038" w:type="dxa"/>
            <w:gridSpan w:val="2"/>
            <w:tcBorders>
              <w:top w:val="nil"/>
              <w:left w:val="nil"/>
              <w:bottom w:val="nil"/>
              <w:right w:val="nil"/>
            </w:tcBorders>
            <w:shd w:val="clear" w:color="auto" w:fill="auto"/>
            <w:noWrap/>
            <w:vAlign w:val="center"/>
          </w:tcPr>
          <w:p>
            <w:pPr>
              <w:jc w:val="right"/>
              <w:textAlignment w:val="center"/>
              <w:rPr>
                <w:color w:val="000000"/>
                <w:sz w:val="18"/>
                <w:szCs w:val="18"/>
              </w:rPr>
            </w:pPr>
            <w:r>
              <w:rPr>
                <w:rFonts w:hint="eastAsia"/>
                <w:color w:val="000000"/>
                <w:sz w:val="18"/>
                <w:szCs w:val="18"/>
              </w:rPr>
              <w:t>公开05表</w:t>
            </w:r>
          </w:p>
        </w:tc>
      </w:tr>
      <w:tr>
        <w:tblPrEx>
          <w:tblLayout w:type="fixed"/>
          <w:tblCellMar>
            <w:top w:w="0" w:type="dxa"/>
            <w:left w:w="108" w:type="dxa"/>
            <w:bottom w:w="0" w:type="dxa"/>
            <w:right w:w="108" w:type="dxa"/>
          </w:tblCellMar>
        </w:tblPrEx>
        <w:trPr>
          <w:trHeight w:val="300" w:hRule="atLeast"/>
          <w:jc w:val="center"/>
        </w:trPr>
        <w:tc>
          <w:tcPr>
            <w:tcW w:w="3675" w:type="dxa"/>
            <w:gridSpan w:val="4"/>
            <w:tcBorders>
              <w:top w:val="nil"/>
              <w:left w:val="nil"/>
              <w:bottom w:val="single" w:color="808080" w:sz="4" w:space="0"/>
              <w:right w:val="nil"/>
            </w:tcBorders>
            <w:shd w:val="clear" w:color="auto" w:fill="auto"/>
            <w:noWrap/>
            <w:vAlign w:val="center"/>
          </w:tcPr>
          <w:p>
            <w:pPr>
              <w:textAlignment w:val="center"/>
              <w:rPr>
                <w:color w:val="000000"/>
                <w:sz w:val="18"/>
                <w:szCs w:val="18"/>
              </w:rPr>
            </w:pPr>
            <w:r>
              <w:rPr>
                <w:rFonts w:hint="eastAsia"/>
                <w:color w:val="000000"/>
                <w:sz w:val="18"/>
                <w:szCs w:val="18"/>
              </w:rPr>
              <w:t>公开部门：重庆市垫江县民政局</w:t>
            </w:r>
          </w:p>
        </w:tc>
        <w:tc>
          <w:tcPr>
            <w:tcW w:w="1005" w:type="dxa"/>
            <w:tcBorders>
              <w:top w:val="nil"/>
              <w:left w:val="nil"/>
              <w:bottom w:val="single" w:color="808080" w:sz="4" w:space="0"/>
              <w:right w:val="nil"/>
            </w:tcBorders>
            <w:shd w:val="clear" w:color="auto" w:fill="auto"/>
            <w:noWrap/>
            <w:vAlign w:val="center"/>
          </w:tcPr>
          <w:p>
            <w:pPr>
              <w:jc w:val="center"/>
              <w:textAlignment w:val="center"/>
              <w:rPr>
                <w:color w:val="000000"/>
                <w:sz w:val="18"/>
                <w:szCs w:val="18"/>
              </w:rPr>
            </w:pPr>
            <w:r>
              <w:rPr>
                <w:rFonts w:hint="eastAsia"/>
                <w:color w:val="000000"/>
                <w:sz w:val="18"/>
                <w:szCs w:val="18"/>
              </w:rPr>
              <w:t>2020年度</w:t>
            </w:r>
          </w:p>
        </w:tc>
        <w:tc>
          <w:tcPr>
            <w:tcW w:w="1033" w:type="dxa"/>
            <w:tcBorders>
              <w:top w:val="nil"/>
              <w:left w:val="nil"/>
              <w:bottom w:val="single" w:color="808080" w:sz="4" w:space="0"/>
              <w:right w:val="nil"/>
            </w:tcBorders>
            <w:shd w:val="clear" w:color="auto" w:fill="auto"/>
            <w:noWrap/>
            <w:vAlign w:val="center"/>
          </w:tcPr>
          <w:p>
            <w:pPr>
              <w:rPr>
                <w:color w:val="000000"/>
                <w:sz w:val="18"/>
                <w:szCs w:val="18"/>
              </w:rPr>
            </w:pPr>
          </w:p>
        </w:tc>
        <w:tc>
          <w:tcPr>
            <w:tcW w:w="1033" w:type="dxa"/>
            <w:tcBorders>
              <w:top w:val="nil"/>
              <w:left w:val="nil"/>
              <w:bottom w:val="single" w:color="808080" w:sz="4" w:space="0"/>
              <w:right w:val="nil"/>
            </w:tcBorders>
            <w:shd w:val="clear" w:color="auto" w:fill="auto"/>
            <w:noWrap/>
            <w:vAlign w:val="center"/>
          </w:tcPr>
          <w:p>
            <w:pPr>
              <w:rPr>
                <w:color w:val="000000"/>
                <w:sz w:val="18"/>
                <w:szCs w:val="18"/>
              </w:rPr>
            </w:pPr>
          </w:p>
        </w:tc>
        <w:tc>
          <w:tcPr>
            <w:tcW w:w="1005" w:type="dxa"/>
            <w:tcBorders>
              <w:top w:val="nil"/>
              <w:left w:val="nil"/>
              <w:bottom w:val="single" w:color="808080" w:sz="4" w:space="0"/>
              <w:right w:val="nil"/>
            </w:tcBorders>
            <w:shd w:val="clear" w:color="auto" w:fill="auto"/>
            <w:noWrap/>
            <w:vAlign w:val="center"/>
          </w:tcPr>
          <w:p>
            <w:pPr>
              <w:rPr>
                <w:color w:val="000000"/>
                <w:sz w:val="18"/>
                <w:szCs w:val="18"/>
              </w:rPr>
            </w:pPr>
          </w:p>
        </w:tc>
        <w:tc>
          <w:tcPr>
            <w:tcW w:w="2038" w:type="dxa"/>
            <w:gridSpan w:val="2"/>
            <w:tcBorders>
              <w:top w:val="nil"/>
              <w:left w:val="nil"/>
              <w:bottom w:val="single" w:color="808080" w:sz="4" w:space="0"/>
              <w:right w:val="nil"/>
            </w:tcBorders>
            <w:shd w:val="clear" w:color="auto" w:fill="auto"/>
            <w:noWrap/>
            <w:vAlign w:val="center"/>
          </w:tcPr>
          <w:p>
            <w:pPr>
              <w:jc w:val="right"/>
              <w:textAlignment w:val="center"/>
              <w:rPr>
                <w:color w:val="000000"/>
                <w:sz w:val="18"/>
                <w:szCs w:val="18"/>
              </w:rPr>
            </w:pPr>
            <w:r>
              <w:rPr>
                <w:rFonts w:hint="eastAsia"/>
                <w:color w:val="000000"/>
                <w:sz w:val="18"/>
                <w:szCs w:val="18"/>
              </w:rPr>
              <w:t>单位：万元</w:t>
            </w:r>
          </w:p>
        </w:tc>
      </w:tr>
      <w:tr>
        <w:tblPrEx>
          <w:tblLayout w:type="fixed"/>
          <w:tblCellMar>
            <w:top w:w="0" w:type="dxa"/>
            <w:left w:w="108" w:type="dxa"/>
            <w:bottom w:w="0" w:type="dxa"/>
            <w:right w:w="108" w:type="dxa"/>
          </w:tblCellMar>
        </w:tblPrEx>
        <w:trPr>
          <w:trHeight w:val="300" w:hRule="atLeast"/>
          <w:jc w:val="center"/>
        </w:trPr>
        <w:tc>
          <w:tcPr>
            <w:tcW w:w="3675" w:type="dxa"/>
            <w:gridSpan w:val="4"/>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项目</w:t>
            </w:r>
          </w:p>
        </w:tc>
        <w:tc>
          <w:tcPr>
            <w:tcW w:w="100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年初结转结余</w:t>
            </w:r>
          </w:p>
        </w:tc>
        <w:tc>
          <w:tcPr>
            <w:tcW w:w="1033"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本年收入</w:t>
            </w:r>
          </w:p>
        </w:tc>
        <w:tc>
          <w:tcPr>
            <w:tcW w:w="3071" w:type="dxa"/>
            <w:gridSpan w:val="3"/>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本年支出</w:t>
            </w:r>
          </w:p>
        </w:tc>
        <w:tc>
          <w:tcPr>
            <w:tcW w:w="100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年末结转和结余</w:t>
            </w:r>
          </w:p>
        </w:tc>
      </w:tr>
      <w:tr>
        <w:tblPrEx>
          <w:tblLayout w:type="fixed"/>
          <w:tblCellMar>
            <w:top w:w="0" w:type="dxa"/>
            <w:left w:w="108" w:type="dxa"/>
            <w:bottom w:w="0" w:type="dxa"/>
            <w:right w:w="108" w:type="dxa"/>
          </w:tblCellMar>
        </w:tblPrEx>
        <w:trPr>
          <w:trHeight w:val="312" w:hRule="atLeast"/>
          <w:jc w:val="center"/>
        </w:trPr>
        <w:tc>
          <w:tcPr>
            <w:tcW w:w="104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功能分类科目编码</w:t>
            </w:r>
          </w:p>
        </w:tc>
        <w:tc>
          <w:tcPr>
            <w:tcW w:w="263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项目（按“项”级功能分类科目）</w:t>
            </w:r>
          </w:p>
        </w:tc>
        <w:tc>
          <w:tcPr>
            <w:tcW w:w="100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3"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3"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合计</w:t>
            </w:r>
          </w:p>
        </w:tc>
        <w:tc>
          <w:tcPr>
            <w:tcW w:w="100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基本支出</w:t>
            </w:r>
          </w:p>
        </w:tc>
        <w:tc>
          <w:tcPr>
            <w:tcW w:w="1033"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项目支出</w:t>
            </w:r>
          </w:p>
        </w:tc>
        <w:tc>
          <w:tcPr>
            <w:tcW w:w="100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r>
      <w:tr>
        <w:tblPrEx>
          <w:tblLayout w:type="fixed"/>
          <w:tblCellMar>
            <w:top w:w="0" w:type="dxa"/>
            <w:left w:w="108" w:type="dxa"/>
            <w:bottom w:w="0" w:type="dxa"/>
            <w:right w:w="108" w:type="dxa"/>
          </w:tblCellMar>
        </w:tblPrEx>
        <w:trPr>
          <w:trHeight w:val="615" w:hRule="atLeast"/>
          <w:jc w:val="center"/>
        </w:trPr>
        <w:tc>
          <w:tcPr>
            <w:tcW w:w="104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2630"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0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3"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3"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0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3"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0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r>
      <w:tr>
        <w:tblPrEx>
          <w:tblLayout w:type="fixed"/>
          <w:tblCellMar>
            <w:top w:w="0" w:type="dxa"/>
            <w:left w:w="108" w:type="dxa"/>
            <w:bottom w:w="0" w:type="dxa"/>
            <w:right w:w="108" w:type="dxa"/>
          </w:tblCellMar>
        </w:tblPrEx>
        <w:trPr>
          <w:trHeight w:val="312" w:hRule="atLeast"/>
          <w:jc w:val="center"/>
        </w:trPr>
        <w:tc>
          <w:tcPr>
            <w:tcW w:w="104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2630"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0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3"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3"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0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3"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0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3675" w:type="dxa"/>
            <w:gridSpan w:val="4"/>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合计</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7,818.58</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16,209.41</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21,489.74</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1,386.45</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20,103.30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2,538.24</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205</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教育支出</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3.03</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3.03</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3.03</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20508</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进修及培训</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3.03</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3.03</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3.03</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2050803</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培训支出</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3.03</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3.03</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3.03</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社会保障和就业支出</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7,818.57</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16,110.44</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21,390.78</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1,287.47</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20,103.31</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2,538.22</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20802</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民政管理事务</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973.20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1,032.85</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1,934.63</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546.21</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1,388.42</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71.41</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2080201</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行政运行</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16.65</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288.52</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305.17</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305.17</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2080207</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行政区划和地名管理</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98.43</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17.47</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47.00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47.00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68.89</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2080208</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基层政权建设和社区治理</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234.69</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49.74</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284.43</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284.43</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2080299</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其他民政管理事务支出</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623.43</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677.12</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1,298.03</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241.04</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1,056.99</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2.52</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20805</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行政事业单位养老支出</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30.43</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183.02</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213.44</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213.44</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2080501</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行政单位离退休</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10.36</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10.36</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10.36</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2080505</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机关事业单位基本养老保险缴费支出</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65.36</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65.36</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65.36</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2080506</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机关事业单位职业年金缴费支出</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19.59</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32.56</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52.14</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52.14</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2080599</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其他行政事业单位养老支出</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10.84</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74.74</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85.58</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85.58</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20810</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社会福利</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1,994.47</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1,731.12</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3,393.13</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527.82</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2,865.31</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332.46</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2081001</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儿童福利</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570.67</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107.50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607.73</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607.73</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70.44</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2081002</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老年福利</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697.43</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1,115.38</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1,559.97</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1,559.97</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252.85</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2081004</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殡葬</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705.35</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264.62</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960.80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263.19</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697.61</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9.17</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2081005</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社会福利事业单位</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21.02</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243.62</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264.63</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264.63</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20811</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残疾人事业</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329.86</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1,108.53</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1,152.67</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1,152.67</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285.72</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2081107</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残疾人生活和护理补贴</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329.86</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1,108.53</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1,152.67</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1,152.67</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285.72</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20819</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最低生活保障</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3,955.65</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7,608.61</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10,110.04</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10,110.04</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1,454.22</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2081901</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城市最低生活保障金支出</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1,674.11</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2,239.66</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2,763.76</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2,763.76</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1,150.01</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2081902</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农村最低生活保障金支出</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2,281.54</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5,368.95</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7,346.28</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7,346.28</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304.21</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20820</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临时救助</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422.58</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1,634.37</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1,662.54</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1,662.54</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394.41</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2082001</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临时救助支出</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315.59</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1,571.14</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1,571.14</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1,571.14</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315.59</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2082002</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流浪乞讨人员救助支出</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106.99</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63.23</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91.40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91.40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78.82</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20821</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特困人员救助供养</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8.05</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2,230.28</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2,238.33</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2,238.33</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2082101</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城市特困人员救助供养支出</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293.00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293.00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293.00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2082102</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农村特困人员救助供养支出</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8.05</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1,937.28</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1,945.33</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1,945.33</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20825</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其他生活救助</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104.33</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581.66</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686.00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686.00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2082501</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其他城市生活救助</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13.74</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13.74</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13.74</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2082502</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其他农村生活救助</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104.33</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567.92</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672.26</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672.26</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210</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卫生健康支出</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45.61</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45.61</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45.61</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21011</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行政事业单位医疗</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45.61</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45.61</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45.61</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2101101</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行政单位医疗</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15.26</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15.26</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15.26</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2101102</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事业单位医疗</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30.35</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30.35</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30.35</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221</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住房保障支出</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50.34</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50.34</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50.34</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22102</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住房改革支出</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50.34</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50.34</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50.34</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2210201</w:t>
            </w:r>
          </w:p>
        </w:tc>
        <w:tc>
          <w:tcPr>
            <w:tcW w:w="2630"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住房公积金</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50.34</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50.34</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50.34</w:t>
            </w:r>
          </w:p>
        </w:tc>
        <w:tc>
          <w:tcPr>
            <w:tcW w:w="1033"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0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784" w:type="dxa"/>
            <w:gridSpan w:val="9"/>
            <w:tcBorders>
              <w:top w:val="nil"/>
              <w:left w:val="nil"/>
              <w:bottom w:val="nil"/>
              <w:right w:val="nil"/>
            </w:tcBorders>
            <w:shd w:val="clear" w:color="auto" w:fill="auto"/>
            <w:noWrap/>
            <w:vAlign w:val="center"/>
          </w:tcPr>
          <w:p>
            <w:pPr>
              <w:textAlignment w:val="center"/>
              <w:rPr>
                <w:color w:val="000000"/>
                <w:sz w:val="18"/>
                <w:szCs w:val="18"/>
              </w:rPr>
            </w:pPr>
            <w:r>
              <w:rPr>
                <w:rFonts w:hint="eastAsia"/>
                <w:color w:val="000000"/>
                <w:sz w:val="18"/>
                <w:szCs w:val="18"/>
              </w:rPr>
              <w:t>备注：本表反映部门本年度一般公共预算财政拨款收支余情况。</w:t>
            </w:r>
          </w:p>
        </w:tc>
        <w:tc>
          <w:tcPr>
            <w:tcW w:w="1005" w:type="dxa"/>
            <w:tcBorders>
              <w:top w:val="nil"/>
              <w:left w:val="nil"/>
              <w:bottom w:val="nil"/>
              <w:right w:val="nil"/>
            </w:tcBorders>
            <w:shd w:val="clear" w:color="auto" w:fill="auto"/>
            <w:noWrap/>
            <w:vAlign w:val="center"/>
          </w:tcPr>
          <w:p>
            <w:pPr>
              <w:rPr>
                <w:color w:val="000000"/>
                <w:sz w:val="18"/>
                <w:szCs w:val="18"/>
              </w:rPr>
            </w:pPr>
          </w:p>
        </w:tc>
      </w:tr>
    </w:tbl>
    <w:p>
      <w:p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page"/>
      </w:r>
    </w:p>
    <w:tbl>
      <w:tblPr>
        <w:tblStyle w:val="5"/>
        <w:tblW w:w="10620" w:type="dxa"/>
        <w:jc w:val="center"/>
        <w:tblInd w:w="0" w:type="dxa"/>
        <w:tblLayout w:type="fixed"/>
        <w:tblCellMar>
          <w:top w:w="0" w:type="dxa"/>
          <w:left w:w="108" w:type="dxa"/>
          <w:bottom w:w="0" w:type="dxa"/>
          <w:right w:w="108" w:type="dxa"/>
        </w:tblCellMar>
      </w:tblPr>
      <w:tblGrid>
        <w:gridCol w:w="840"/>
        <w:gridCol w:w="1785"/>
        <w:gridCol w:w="936"/>
        <w:gridCol w:w="840"/>
        <w:gridCol w:w="1776"/>
        <w:gridCol w:w="915"/>
        <w:gridCol w:w="840"/>
        <w:gridCol w:w="1773"/>
        <w:gridCol w:w="915"/>
      </w:tblGrid>
      <w:tr>
        <w:tblPrEx>
          <w:tblLayout w:type="fixed"/>
          <w:tblCellMar>
            <w:top w:w="0" w:type="dxa"/>
            <w:left w:w="108" w:type="dxa"/>
            <w:bottom w:w="0" w:type="dxa"/>
            <w:right w:w="108" w:type="dxa"/>
          </w:tblCellMar>
        </w:tblPrEx>
        <w:trPr>
          <w:trHeight w:val="340" w:hRule="atLeast"/>
          <w:jc w:val="center"/>
        </w:trPr>
        <w:tc>
          <w:tcPr>
            <w:tcW w:w="2625" w:type="dxa"/>
            <w:gridSpan w:val="2"/>
            <w:tcBorders>
              <w:top w:val="nil"/>
              <w:left w:val="nil"/>
              <w:bottom w:val="nil"/>
              <w:right w:val="nil"/>
            </w:tcBorders>
            <w:shd w:val="clear" w:color="auto" w:fill="auto"/>
            <w:noWrap/>
            <w:vAlign w:val="center"/>
          </w:tcPr>
          <w:p>
            <w:pPr>
              <w:textAlignment w:val="center"/>
              <w:rPr>
                <w:color w:val="000000"/>
                <w:sz w:val="18"/>
                <w:szCs w:val="18"/>
              </w:rPr>
            </w:pPr>
            <w:r>
              <w:rPr>
                <w:rFonts w:hint="eastAsia"/>
                <w:color w:val="000000"/>
                <w:sz w:val="18"/>
                <w:szCs w:val="18"/>
              </w:rPr>
              <w:t>附件6</w:t>
            </w:r>
          </w:p>
        </w:tc>
        <w:tc>
          <w:tcPr>
            <w:tcW w:w="936" w:type="dxa"/>
            <w:tcBorders>
              <w:top w:val="nil"/>
              <w:left w:val="nil"/>
              <w:bottom w:val="nil"/>
              <w:right w:val="nil"/>
            </w:tcBorders>
            <w:shd w:val="clear" w:color="auto" w:fill="auto"/>
            <w:noWrap/>
            <w:vAlign w:val="center"/>
          </w:tcPr>
          <w:p>
            <w:pPr>
              <w:rPr>
                <w:color w:val="000000"/>
                <w:sz w:val="18"/>
                <w:szCs w:val="18"/>
              </w:rPr>
            </w:pPr>
          </w:p>
        </w:tc>
        <w:tc>
          <w:tcPr>
            <w:tcW w:w="840" w:type="dxa"/>
            <w:tcBorders>
              <w:top w:val="nil"/>
              <w:left w:val="nil"/>
              <w:bottom w:val="nil"/>
              <w:right w:val="nil"/>
            </w:tcBorders>
            <w:shd w:val="clear" w:color="auto" w:fill="auto"/>
            <w:noWrap/>
            <w:vAlign w:val="center"/>
          </w:tcPr>
          <w:p>
            <w:pPr>
              <w:rPr>
                <w:color w:val="000000"/>
                <w:sz w:val="18"/>
                <w:szCs w:val="18"/>
              </w:rPr>
            </w:pPr>
          </w:p>
        </w:tc>
        <w:tc>
          <w:tcPr>
            <w:tcW w:w="1776" w:type="dxa"/>
            <w:tcBorders>
              <w:top w:val="nil"/>
              <w:left w:val="nil"/>
              <w:bottom w:val="nil"/>
              <w:right w:val="nil"/>
            </w:tcBorders>
            <w:shd w:val="clear" w:color="auto" w:fill="auto"/>
            <w:vAlign w:val="center"/>
          </w:tcPr>
          <w:p>
            <w:pPr>
              <w:jc w:val="center"/>
              <w:rPr>
                <w:rFonts w:ascii="黑体" w:eastAsia="黑体" w:cs="黑体"/>
                <w:color w:val="000000"/>
                <w:sz w:val="18"/>
                <w:szCs w:val="18"/>
              </w:rPr>
            </w:pPr>
          </w:p>
        </w:tc>
        <w:tc>
          <w:tcPr>
            <w:tcW w:w="915" w:type="dxa"/>
            <w:tcBorders>
              <w:top w:val="nil"/>
              <w:left w:val="nil"/>
              <w:bottom w:val="nil"/>
              <w:right w:val="nil"/>
            </w:tcBorders>
            <w:shd w:val="clear" w:color="auto" w:fill="auto"/>
            <w:noWrap/>
            <w:vAlign w:val="center"/>
          </w:tcPr>
          <w:p>
            <w:pPr>
              <w:rPr>
                <w:color w:val="000000"/>
                <w:sz w:val="18"/>
                <w:szCs w:val="18"/>
              </w:rPr>
            </w:pPr>
          </w:p>
        </w:tc>
        <w:tc>
          <w:tcPr>
            <w:tcW w:w="840" w:type="dxa"/>
            <w:tcBorders>
              <w:top w:val="nil"/>
              <w:left w:val="nil"/>
              <w:bottom w:val="nil"/>
              <w:right w:val="nil"/>
            </w:tcBorders>
            <w:shd w:val="clear" w:color="auto" w:fill="auto"/>
            <w:noWrap/>
            <w:vAlign w:val="center"/>
          </w:tcPr>
          <w:p>
            <w:pPr>
              <w:rPr>
                <w:color w:val="000000"/>
                <w:sz w:val="18"/>
                <w:szCs w:val="18"/>
              </w:rPr>
            </w:pPr>
          </w:p>
        </w:tc>
        <w:tc>
          <w:tcPr>
            <w:tcW w:w="1773" w:type="dxa"/>
            <w:tcBorders>
              <w:top w:val="nil"/>
              <w:left w:val="nil"/>
              <w:bottom w:val="nil"/>
              <w:right w:val="nil"/>
            </w:tcBorders>
            <w:shd w:val="clear" w:color="auto" w:fill="auto"/>
            <w:vAlign w:val="center"/>
          </w:tcPr>
          <w:p>
            <w:pPr>
              <w:rPr>
                <w:color w:val="000000"/>
                <w:sz w:val="18"/>
                <w:szCs w:val="18"/>
              </w:rPr>
            </w:pPr>
          </w:p>
        </w:tc>
        <w:tc>
          <w:tcPr>
            <w:tcW w:w="915" w:type="dxa"/>
            <w:tcBorders>
              <w:top w:val="nil"/>
              <w:left w:val="nil"/>
              <w:bottom w:val="nil"/>
              <w:right w:val="nil"/>
            </w:tcBorders>
            <w:shd w:val="clear" w:color="auto" w:fill="auto"/>
            <w:noWrap/>
            <w:vAlign w:val="center"/>
          </w:tcPr>
          <w:p>
            <w:pPr>
              <w:rPr>
                <w:color w:val="000000"/>
                <w:sz w:val="18"/>
                <w:szCs w:val="18"/>
              </w:rPr>
            </w:pPr>
          </w:p>
        </w:tc>
      </w:tr>
      <w:tr>
        <w:tblPrEx>
          <w:tblLayout w:type="fixed"/>
          <w:tblCellMar>
            <w:top w:w="0" w:type="dxa"/>
            <w:left w:w="108" w:type="dxa"/>
            <w:bottom w:w="0" w:type="dxa"/>
            <w:right w:w="108" w:type="dxa"/>
          </w:tblCellMar>
        </w:tblPrEx>
        <w:trPr>
          <w:trHeight w:val="460" w:hRule="atLeast"/>
          <w:jc w:val="center"/>
        </w:trPr>
        <w:tc>
          <w:tcPr>
            <w:tcW w:w="10620" w:type="dxa"/>
            <w:gridSpan w:val="9"/>
            <w:tcBorders>
              <w:top w:val="nil"/>
              <w:left w:val="nil"/>
              <w:bottom w:val="nil"/>
              <w:right w:val="nil"/>
            </w:tcBorders>
            <w:shd w:val="clear" w:color="auto" w:fill="auto"/>
            <w:noWrap/>
            <w:vAlign w:val="center"/>
          </w:tcPr>
          <w:p>
            <w:pPr>
              <w:jc w:val="center"/>
              <w:textAlignment w:val="center"/>
              <w:rPr>
                <w:rFonts w:ascii="黑体" w:eastAsia="黑体" w:cs="黑体"/>
                <w:color w:val="000000"/>
                <w:sz w:val="36"/>
                <w:szCs w:val="36"/>
              </w:rPr>
            </w:pPr>
            <w:r>
              <w:rPr>
                <w:rFonts w:hint="eastAsia" w:ascii="黑体" w:eastAsia="黑体" w:cs="黑体"/>
                <w:color w:val="000000"/>
                <w:sz w:val="36"/>
                <w:szCs w:val="36"/>
              </w:rPr>
              <w:t>一般公共预算财政拨款基本支出决算表</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nil"/>
              <w:bottom w:val="nil"/>
              <w:right w:val="nil"/>
            </w:tcBorders>
            <w:shd w:val="clear" w:color="auto" w:fill="auto"/>
            <w:noWrap/>
            <w:vAlign w:val="center"/>
          </w:tcPr>
          <w:p>
            <w:pPr>
              <w:rPr>
                <w:color w:val="000000"/>
                <w:sz w:val="18"/>
                <w:szCs w:val="18"/>
              </w:rPr>
            </w:pPr>
          </w:p>
        </w:tc>
        <w:tc>
          <w:tcPr>
            <w:tcW w:w="1785" w:type="dxa"/>
            <w:tcBorders>
              <w:top w:val="nil"/>
              <w:left w:val="nil"/>
              <w:bottom w:val="nil"/>
              <w:right w:val="nil"/>
            </w:tcBorders>
            <w:shd w:val="clear" w:color="auto" w:fill="auto"/>
            <w:vAlign w:val="center"/>
          </w:tcPr>
          <w:p>
            <w:pPr>
              <w:rPr>
                <w:color w:val="000000"/>
                <w:sz w:val="18"/>
                <w:szCs w:val="18"/>
              </w:rPr>
            </w:pPr>
          </w:p>
        </w:tc>
        <w:tc>
          <w:tcPr>
            <w:tcW w:w="936" w:type="dxa"/>
            <w:tcBorders>
              <w:top w:val="nil"/>
              <w:left w:val="nil"/>
              <w:bottom w:val="nil"/>
              <w:right w:val="nil"/>
            </w:tcBorders>
            <w:shd w:val="clear" w:color="auto" w:fill="auto"/>
            <w:noWrap/>
            <w:vAlign w:val="center"/>
          </w:tcPr>
          <w:p>
            <w:pPr>
              <w:rPr>
                <w:color w:val="000000"/>
                <w:sz w:val="18"/>
                <w:szCs w:val="18"/>
              </w:rPr>
            </w:pPr>
          </w:p>
        </w:tc>
        <w:tc>
          <w:tcPr>
            <w:tcW w:w="840" w:type="dxa"/>
            <w:tcBorders>
              <w:top w:val="nil"/>
              <w:left w:val="nil"/>
              <w:bottom w:val="nil"/>
              <w:right w:val="nil"/>
            </w:tcBorders>
            <w:shd w:val="clear" w:color="auto" w:fill="auto"/>
            <w:noWrap/>
            <w:vAlign w:val="center"/>
          </w:tcPr>
          <w:p>
            <w:pPr>
              <w:rPr>
                <w:color w:val="000000"/>
                <w:sz w:val="18"/>
                <w:szCs w:val="18"/>
              </w:rPr>
            </w:pPr>
          </w:p>
        </w:tc>
        <w:tc>
          <w:tcPr>
            <w:tcW w:w="1776" w:type="dxa"/>
            <w:tcBorders>
              <w:top w:val="nil"/>
              <w:left w:val="nil"/>
              <w:bottom w:val="nil"/>
              <w:right w:val="nil"/>
            </w:tcBorders>
            <w:shd w:val="clear" w:color="auto" w:fill="auto"/>
            <w:vAlign w:val="center"/>
          </w:tcPr>
          <w:p>
            <w:pPr>
              <w:rPr>
                <w:color w:val="000000"/>
                <w:sz w:val="18"/>
                <w:szCs w:val="18"/>
              </w:rPr>
            </w:pPr>
          </w:p>
        </w:tc>
        <w:tc>
          <w:tcPr>
            <w:tcW w:w="915" w:type="dxa"/>
            <w:tcBorders>
              <w:top w:val="nil"/>
              <w:left w:val="nil"/>
              <w:bottom w:val="nil"/>
              <w:right w:val="nil"/>
            </w:tcBorders>
            <w:shd w:val="clear" w:color="auto" w:fill="auto"/>
            <w:noWrap/>
            <w:vAlign w:val="center"/>
          </w:tcPr>
          <w:p>
            <w:pPr>
              <w:rPr>
                <w:color w:val="000000"/>
                <w:sz w:val="18"/>
                <w:szCs w:val="18"/>
              </w:rPr>
            </w:pPr>
          </w:p>
        </w:tc>
        <w:tc>
          <w:tcPr>
            <w:tcW w:w="840" w:type="dxa"/>
            <w:tcBorders>
              <w:top w:val="nil"/>
              <w:left w:val="nil"/>
              <w:bottom w:val="nil"/>
              <w:right w:val="nil"/>
            </w:tcBorders>
            <w:shd w:val="clear" w:color="auto" w:fill="auto"/>
            <w:noWrap/>
            <w:vAlign w:val="center"/>
          </w:tcPr>
          <w:p>
            <w:pPr>
              <w:rPr>
                <w:color w:val="000000"/>
                <w:sz w:val="18"/>
                <w:szCs w:val="18"/>
              </w:rPr>
            </w:pPr>
          </w:p>
        </w:tc>
        <w:tc>
          <w:tcPr>
            <w:tcW w:w="2688" w:type="dxa"/>
            <w:gridSpan w:val="2"/>
            <w:tcBorders>
              <w:top w:val="nil"/>
              <w:left w:val="nil"/>
              <w:bottom w:val="nil"/>
              <w:right w:val="nil"/>
            </w:tcBorders>
            <w:shd w:val="clear" w:color="auto" w:fill="auto"/>
            <w:noWrap/>
            <w:vAlign w:val="center"/>
          </w:tcPr>
          <w:p>
            <w:pPr>
              <w:jc w:val="right"/>
              <w:textAlignment w:val="center"/>
              <w:rPr>
                <w:color w:val="000000"/>
                <w:sz w:val="18"/>
                <w:szCs w:val="18"/>
              </w:rPr>
            </w:pPr>
            <w:r>
              <w:rPr>
                <w:rFonts w:hint="eastAsia"/>
                <w:color w:val="000000"/>
                <w:sz w:val="18"/>
                <w:szCs w:val="18"/>
              </w:rPr>
              <w:t>公开06表</w:t>
            </w:r>
          </w:p>
        </w:tc>
      </w:tr>
      <w:tr>
        <w:tblPrEx>
          <w:tblLayout w:type="fixed"/>
          <w:tblCellMar>
            <w:top w:w="0" w:type="dxa"/>
            <w:left w:w="108" w:type="dxa"/>
            <w:bottom w:w="0" w:type="dxa"/>
            <w:right w:w="108" w:type="dxa"/>
          </w:tblCellMar>
        </w:tblPrEx>
        <w:trPr>
          <w:trHeight w:val="300" w:hRule="atLeast"/>
          <w:jc w:val="center"/>
        </w:trPr>
        <w:tc>
          <w:tcPr>
            <w:tcW w:w="6177" w:type="dxa"/>
            <w:gridSpan w:val="5"/>
            <w:tcBorders>
              <w:top w:val="nil"/>
              <w:left w:val="nil"/>
              <w:bottom w:val="single" w:color="808080" w:sz="4" w:space="0"/>
              <w:right w:val="nil"/>
            </w:tcBorders>
            <w:shd w:val="clear" w:color="auto" w:fill="auto"/>
            <w:noWrap/>
            <w:vAlign w:val="center"/>
          </w:tcPr>
          <w:p>
            <w:pPr>
              <w:textAlignment w:val="center"/>
              <w:rPr>
                <w:color w:val="000000"/>
                <w:sz w:val="18"/>
                <w:szCs w:val="18"/>
              </w:rPr>
            </w:pPr>
            <w:r>
              <w:rPr>
                <w:rFonts w:hint="eastAsia"/>
                <w:color w:val="000000"/>
                <w:sz w:val="18"/>
                <w:szCs w:val="18"/>
              </w:rPr>
              <w:t>公开部门：重庆市垫江县民政局                     2020年度</w:t>
            </w:r>
          </w:p>
        </w:tc>
        <w:tc>
          <w:tcPr>
            <w:tcW w:w="915" w:type="dxa"/>
            <w:tcBorders>
              <w:top w:val="nil"/>
              <w:left w:val="nil"/>
              <w:bottom w:val="single" w:color="808080" w:sz="4" w:space="0"/>
              <w:right w:val="nil"/>
            </w:tcBorders>
            <w:shd w:val="clear" w:color="auto" w:fill="auto"/>
            <w:noWrap/>
            <w:vAlign w:val="center"/>
          </w:tcPr>
          <w:p>
            <w:pPr>
              <w:rPr>
                <w:color w:val="000000"/>
                <w:sz w:val="18"/>
                <w:szCs w:val="18"/>
              </w:rPr>
            </w:pPr>
          </w:p>
        </w:tc>
        <w:tc>
          <w:tcPr>
            <w:tcW w:w="840" w:type="dxa"/>
            <w:tcBorders>
              <w:top w:val="nil"/>
              <w:left w:val="nil"/>
              <w:bottom w:val="single" w:color="808080" w:sz="4" w:space="0"/>
              <w:right w:val="nil"/>
            </w:tcBorders>
            <w:shd w:val="clear" w:color="auto" w:fill="auto"/>
            <w:noWrap/>
            <w:vAlign w:val="center"/>
          </w:tcPr>
          <w:p>
            <w:pPr>
              <w:rPr>
                <w:color w:val="000000"/>
                <w:sz w:val="18"/>
                <w:szCs w:val="18"/>
              </w:rPr>
            </w:pPr>
          </w:p>
        </w:tc>
        <w:tc>
          <w:tcPr>
            <w:tcW w:w="2688" w:type="dxa"/>
            <w:gridSpan w:val="2"/>
            <w:tcBorders>
              <w:top w:val="nil"/>
              <w:left w:val="nil"/>
              <w:bottom w:val="single" w:color="808080" w:sz="4" w:space="0"/>
              <w:right w:val="nil"/>
            </w:tcBorders>
            <w:shd w:val="clear" w:color="auto" w:fill="auto"/>
            <w:noWrap/>
            <w:vAlign w:val="center"/>
          </w:tcPr>
          <w:p>
            <w:pPr>
              <w:jc w:val="right"/>
              <w:textAlignment w:val="center"/>
              <w:rPr>
                <w:color w:val="000000"/>
                <w:sz w:val="18"/>
                <w:szCs w:val="18"/>
              </w:rPr>
            </w:pPr>
            <w:r>
              <w:rPr>
                <w:rFonts w:hint="eastAsia"/>
                <w:color w:val="000000"/>
                <w:sz w:val="18"/>
                <w:szCs w:val="18"/>
              </w:rPr>
              <w:t>金额单位：万元</w:t>
            </w:r>
          </w:p>
        </w:tc>
      </w:tr>
      <w:tr>
        <w:tblPrEx>
          <w:tblLayout w:type="fixed"/>
          <w:tblCellMar>
            <w:top w:w="0" w:type="dxa"/>
            <w:left w:w="108" w:type="dxa"/>
            <w:bottom w:w="0" w:type="dxa"/>
            <w:right w:w="108" w:type="dxa"/>
          </w:tblCellMar>
        </w:tblPrEx>
        <w:trPr>
          <w:trHeight w:val="300" w:hRule="atLeast"/>
          <w:jc w:val="center"/>
        </w:trPr>
        <w:tc>
          <w:tcPr>
            <w:tcW w:w="3561" w:type="dxa"/>
            <w:gridSpan w:val="3"/>
            <w:tcBorders>
              <w:top w:val="nil"/>
              <w:left w:val="single" w:color="3F3F3F" w:sz="4" w:space="0"/>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人员经费</w:t>
            </w:r>
          </w:p>
        </w:tc>
        <w:tc>
          <w:tcPr>
            <w:tcW w:w="7059" w:type="dxa"/>
            <w:gridSpan w:val="6"/>
            <w:tcBorders>
              <w:top w:val="nil"/>
              <w:left w:val="nil"/>
              <w:bottom w:val="single" w:color="000000" w:sz="4" w:space="0"/>
              <w:right w:val="single" w:color="3F3F3F"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公用经费</w:t>
            </w:r>
          </w:p>
        </w:tc>
      </w:tr>
      <w:tr>
        <w:tblPrEx>
          <w:tblLayout w:type="fixed"/>
          <w:tblCellMar>
            <w:top w:w="0" w:type="dxa"/>
            <w:left w:w="108" w:type="dxa"/>
            <w:bottom w:w="0" w:type="dxa"/>
            <w:right w:w="108" w:type="dxa"/>
          </w:tblCellMar>
        </w:tblPrEx>
        <w:trPr>
          <w:trHeight w:val="312" w:hRule="atLeast"/>
          <w:jc w:val="center"/>
        </w:trPr>
        <w:tc>
          <w:tcPr>
            <w:tcW w:w="840" w:type="dxa"/>
            <w:vMerge w:val="restart"/>
            <w:tcBorders>
              <w:top w:val="nil"/>
              <w:left w:val="single" w:color="3F3F3F" w:sz="4" w:space="0"/>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经济分类科目编码</w:t>
            </w:r>
          </w:p>
        </w:tc>
        <w:tc>
          <w:tcPr>
            <w:tcW w:w="178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经济分类科目（按“款”级功能分类科目）</w:t>
            </w:r>
          </w:p>
        </w:tc>
        <w:tc>
          <w:tcPr>
            <w:tcW w:w="936"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金额</w:t>
            </w:r>
          </w:p>
        </w:tc>
        <w:tc>
          <w:tcPr>
            <w:tcW w:w="84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经济分类科目编码</w:t>
            </w:r>
          </w:p>
        </w:tc>
        <w:tc>
          <w:tcPr>
            <w:tcW w:w="1776"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经济分类科目（按“款”级功能分类科目）</w:t>
            </w:r>
          </w:p>
        </w:tc>
        <w:tc>
          <w:tcPr>
            <w:tcW w:w="91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金额</w:t>
            </w:r>
          </w:p>
        </w:tc>
        <w:tc>
          <w:tcPr>
            <w:tcW w:w="84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经济分类科目编码</w:t>
            </w:r>
          </w:p>
        </w:tc>
        <w:tc>
          <w:tcPr>
            <w:tcW w:w="1773"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经济分类科目（按“款”级功能分类科目）</w:t>
            </w:r>
          </w:p>
        </w:tc>
        <w:tc>
          <w:tcPr>
            <w:tcW w:w="91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金额</w:t>
            </w:r>
          </w:p>
        </w:tc>
      </w:tr>
      <w:tr>
        <w:tblPrEx>
          <w:tblLayout w:type="fixed"/>
          <w:tblCellMar>
            <w:top w:w="0" w:type="dxa"/>
            <w:left w:w="108" w:type="dxa"/>
            <w:bottom w:w="0" w:type="dxa"/>
            <w:right w:w="108" w:type="dxa"/>
          </w:tblCellMar>
        </w:tblPrEx>
        <w:trPr>
          <w:trHeight w:val="600" w:hRule="atLeast"/>
          <w:jc w:val="center"/>
        </w:trPr>
        <w:tc>
          <w:tcPr>
            <w:tcW w:w="840" w:type="dxa"/>
            <w:vMerge w:val="continue"/>
            <w:tcBorders>
              <w:top w:val="nil"/>
              <w:left w:val="single" w:color="3F3F3F"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178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936"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840"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776"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91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840"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773"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91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301</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工资福利支出</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982.34</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商品和服务支出</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297.60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310</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资本性支出</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0.81</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30101</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基本工资</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167.68</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30201</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办公费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9.90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31001</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房屋建筑物购建</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30102</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津贴补贴</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75.87</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30202</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印刷费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0.92</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31002</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办公设备购置</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0.81</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30103</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奖金</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28.68</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30203</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咨询费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31003</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专用设备购置</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30106</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伙食补助费</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6.10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30204</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手续费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31005</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基础设施建设</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30107</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绩效工资</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303.20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30205</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水费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6.19</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31006</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大型修缮</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30108</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机关事业单位基本养老保险费</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65.36</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30206</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电费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24.70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31007</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信息网络及软件购置更新</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30109</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职业年金缴费</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52.15</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30207</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邮电费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9.49</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31008</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物资储备</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30110</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职工基本医疗保险缴费</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46.86</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30208</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取暖费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31009</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土地补偿</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30111</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公务员医疗补助缴费</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30209</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物业管理费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31010</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安置补助</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30112</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其他社会保障缴费</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2.52</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30211</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差旅费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50.70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31011</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地上附着物和青苗补偿</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30113</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住房公积金</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68.36</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30212</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因公出国（境）费用</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31012</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拆迁补偿</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30114</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医疗费</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25.52</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30213</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维修（护）费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12.69</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31013</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公务用车购置</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30199</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其他工资福利支出</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140.06</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30214</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租赁费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31019</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其他交通工具购置</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303</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对个人和家庭的补助</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105.70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30215</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会议费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0.12</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31021</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文物和陈列品购置</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30301</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离休费</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10.36</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30216</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培训费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2.46</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31022</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无形资产购置</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30302</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退休费</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30217</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公务接待费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0.72</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31099</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其他资本性支出</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3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30303</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退职（役）费</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30218</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专用材料费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7.12</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312</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对企业补助</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30304</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抚恤金</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9.33</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30224</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被装购置费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31201</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资本金注入</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30305</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生活补助</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30225</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专用燃料费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31203</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政府投资基金股权投资</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30306</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救济费</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30226</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劳务费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81.90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31204</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费用补贴</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30307</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医疗费补助</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32.88</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30227</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委托业务费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31205</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利息补贴</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30308</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助学金</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30228</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工会经费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5.85</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31299</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其他对企业补助</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30309</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奖励金</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30229</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福利费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0.27</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399</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其他支出</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30310</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个人农业生产补贴</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30231</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公务用车运行维护费</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18.38</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39906</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赠与</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30311</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代缴社会保险费</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30239</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其他交通费用</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11.91</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39907</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国家赔偿费用支出</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30399</w:t>
            </w:r>
          </w:p>
        </w:tc>
        <w:tc>
          <w:tcPr>
            <w:tcW w:w="1785"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其他个人和家庭的补助支出</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53.12</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30240</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税金及附加费用</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39908</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对民间非营利组织和群众性自治组织补贴</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785" w:type="dxa"/>
            <w:tcBorders>
              <w:top w:val="nil"/>
              <w:left w:val="nil"/>
              <w:bottom w:val="single" w:color="000000" w:sz="4" w:space="0"/>
              <w:right w:val="single" w:color="000000" w:sz="4" w:space="0"/>
            </w:tcBorders>
            <w:shd w:val="clear" w:color="auto" w:fill="auto"/>
            <w:vAlign w:val="center"/>
          </w:tcPr>
          <w:p>
            <w:pPr>
              <w:rPr>
                <w:color w:val="000000"/>
                <w:sz w:val="18"/>
                <w:szCs w:val="18"/>
              </w:rPr>
            </w:pPr>
          </w:p>
        </w:tc>
        <w:tc>
          <w:tcPr>
            <w:tcW w:w="93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30299</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其他商品和服务支出</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54.29</w:t>
            </w: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39999</w:t>
            </w:r>
          </w:p>
        </w:tc>
        <w:tc>
          <w:tcPr>
            <w:tcW w:w="1773"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其他支出</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785" w:type="dxa"/>
            <w:tcBorders>
              <w:top w:val="nil"/>
              <w:left w:val="nil"/>
              <w:bottom w:val="single" w:color="000000" w:sz="4" w:space="0"/>
              <w:right w:val="single" w:color="000000" w:sz="4" w:space="0"/>
            </w:tcBorders>
            <w:shd w:val="clear" w:color="auto" w:fill="auto"/>
            <w:vAlign w:val="center"/>
          </w:tcPr>
          <w:p>
            <w:pPr>
              <w:rPr>
                <w:color w:val="000000"/>
                <w:sz w:val="18"/>
                <w:szCs w:val="18"/>
              </w:rPr>
            </w:pPr>
          </w:p>
        </w:tc>
        <w:tc>
          <w:tcPr>
            <w:tcW w:w="93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307</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债务利息及费用支出</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773" w:type="dxa"/>
            <w:tcBorders>
              <w:top w:val="nil"/>
              <w:left w:val="nil"/>
              <w:bottom w:val="single" w:color="000000" w:sz="4" w:space="0"/>
              <w:right w:val="single" w:color="000000" w:sz="4" w:space="0"/>
            </w:tcBorders>
            <w:shd w:val="clear" w:color="auto" w:fill="auto"/>
            <w:vAlign w:val="center"/>
          </w:tcPr>
          <w:p>
            <w:pPr>
              <w:rPr>
                <w:color w:val="000000"/>
                <w:sz w:val="18"/>
                <w:szCs w:val="18"/>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785" w:type="dxa"/>
            <w:tcBorders>
              <w:top w:val="nil"/>
              <w:left w:val="nil"/>
              <w:bottom w:val="single" w:color="000000" w:sz="4" w:space="0"/>
              <w:right w:val="single" w:color="000000" w:sz="4" w:space="0"/>
            </w:tcBorders>
            <w:shd w:val="clear" w:color="auto" w:fill="auto"/>
            <w:vAlign w:val="center"/>
          </w:tcPr>
          <w:p>
            <w:pPr>
              <w:rPr>
                <w:color w:val="000000"/>
                <w:sz w:val="18"/>
                <w:szCs w:val="18"/>
              </w:rPr>
            </w:pPr>
          </w:p>
        </w:tc>
        <w:tc>
          <w:tcPr>
            <w:tcW w:w="93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30701</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国内债务付息</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773" w:type="dxa"/>
            <w:tcBorders>
              <w:top w:val="nil"/>
              <w:left w:val="nil"/>
              <w:bottom w:val="single" w:color="000000" w:sz="4" w:space="0"/>
              <w:right w:val="single" w:color="000000" w:sz="4" w:space="0"/>
            </w:tcBorders>
            <w:shd w:val="clear" w:color="auto" w:fill="auto"/>
            <w:vAlign w:val="center"/>
          </w:tcPr>
          <w:p>
            <w:pPr>
              <w:rPr>
                <w:color w:val="000000"/>
                <w:sz w:val="18"/>
                <w:szCs w:val="18"/>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785" w:type="dxa"/>
            <w:tcBorders>
              <w:top w:val="nil"/>
              <w:left w:val="nil"/>
              <w:bottom w:val="single" w:color="000000" w:sz="4" w:space="0"/>
              <w:right w:val="single" w:color="000000" w:sz="4" w:space="0"/>
            </w:tcBorders>
            <w:shd w:val="clear" w:color="auto" w:fill="auto"/>
            <w:vAlign w:val="center"/>
          </w:tcPr>
          <w:p>
            <w:pPr>
              <w:rPr>
                <w:color w:val="000000"/>
                <w:sz w:val="18"/>
                <w:szCs w:val="18"/>
              </w:rPr>
            </w:pPr>
          </w:p>
        </w:tc>
        <w:tc>
          <w:tcPr>
            <w:tcW w:w="93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30702</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国外债务付息</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773" w:type="dxa"/>
            <w:tcBorders>
              <w:top w:val="nil"/>
              <w:left w:val="nil"/>
              <w:bottom w:val="single" w:color="000000" w:sz="4" w:space="0"/>
              <w:right w:val="single" w:color="000000" w:sz="4" w:space="0"/>
            </w:tcBorders>
            <w:shd w:val="clear" w:color="auto" w:fill="auto"/>
            <w:vAlign w:val="center"/>
          </w:tcPr>
          <w:p>
            <w:pPr>
              <w:rPr>
                <w:color w:val="000000"/>
                <w:sz w:val="18"/>
                <w:szCs w:val="18"/>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785" w:type="dxa"/>
            <w:tcBorders>
              <w:top w:val="nil"/>
              <w:left w:val="nil"/>
              <w:bottom w:val="single" w:color="000000" w:sz="4" w:space="0"/>
              <w:right w:val="single" w:color="000000" w:sz="4" w:space="0"/>
            </w:tcBorders>
            <w:shd w:val="clear" w:color="auto" w:fill="auto"/>
            <w:vAlign w:val="center"/>
          </w:tcPr>
          <w:p>
            <w:pPr>
              <w:rPr>
                <w:color w:val="000000"/>
                <w:sz w:val="18"/>
                <w:szCs w:val="18"/>
              </w:rPr>
            </w:pPr>
          </w:p>
        </w:tc>
        <w:tc>
          <w:tcPr>
            <w:tcW w:w="93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30703</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国内债务发行费用</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773" w:type="dxa"/>
            <w:tcBorders>
              <w:top w:val="nil"/>
              <w:left w:val="nil"/>
              <w:bottom w:val="single" w:color="000000" w:sz="4" w:space="0"/>
              <w:right w:val="single" w:color="000000" w:sz="4" w:space="0"/>
            </w:tcBorders>
            <w:shd w:val="clear" w:color="auto" w:fill="auto"/>
            <w:vAlign w:val="center"/>
          </w:tcPr>
          <w:p>
            <w:pPr>
              <w:rPr>
                <w:color w:val="000000"/>
                <w:sz w:val="18"/>
                <w:szCs w:val="18"/>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785" w:type="dxa"/>
            <w:tcBorders>
              <w:top w:val="nil"/>
              <w:left w:val="nil"/>
              <w:bottom w:val="single" w:color="000000" w:sz="4" w:space="0"/>
              <w:right w:val="single" w:color="000000" w:sz="4" w:space="0"/>
            </w:tcBorders>
            <w:shd w:val="clear" w:color="auto" w:fill="auto"/>
            <w:vAlign w:val="center"/>
          </w:tcPr>
          <w:p>
            <w:pPr>
              <w:rPr>
                <w:color w:val="000000"/>
                <w:sz w:val="18"/>
                <w:szCs w:val="18"/>
              </w:rPr>
            </w:pPr>
          </w:p>
        </w:tc>
        <w:tc>
          <w:tcPr>
            <w:tcW w:w="936"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840" w:type="dxa"/>
            <w:tcBorders>
              <w:top w:val="nil"/>
              <w:left w:val="nil"/>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30704</w:t>
            </w:r>
          </w:p>
        </w:tc>
        <w:tc>
          <w:tcPr>
            <w:tcW w:w="1776"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国外债务发行费用</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840"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1773" w:type="dxa"/>
            <w:tcBorders>
              <w:top w:val="nil"/>
              <w:left w:val="nil"/>
              <w:bottom w:val="single" w:color="000000" w:sz="4" w:space="0"/>
              <w:right w:val="single" w:color="000000" w:sz="4" w:space="0"/>
            </w:tcBorders>
            <w:shd w:val="clear" w:color="auto" w:fill="auto"/>
            <w:vAlign w:val="center"/>
          </w:tcPr>
          <w:p>
            <w:pPr>
              <w:rPr>
                <w:color w:val="000000"/>
                <w:sz w:val="18"/>
                <w:szCs w:val="18"/>
              </w:rPr>
            </w:pPr>
          </w:p>
        </w:tc>
        <w:tc>
          <w:tcPr>
            <w:tcW w:w="915"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2625"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人员经费合计</w:t>
            </w:r>
          </w:p>
        </w:tc>
        <w:tc>
          <w:tcPr>
            <w:tcW w:w="936"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1,088.03</w:t>
            </w:r>
          </w:p>
        </w:tc>
        <w:tc>
          <w:tcPr>
            <w:tcW w:w="6144" w:type="dxa"/>
            <w:gridSpan w:val="5"/>
            <w:tcBorders>
              <w:top w:val="nil"/>
              <w:left w:val="nil"/>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公用经费合计</w:t>
            </w:r>
          </w:p>
        </w:tc>
        <w:tc>
          <w:tcPr>
            <w:tcW w:w="91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298.41</w:t>
            </w:r>
          </w:p>
        </w:tc>
      </w:tr>
      <w:tr>
        <w:tblPrEx>
          <w:tblLayout w:type="fixed"/>
          <w:tblCellMar>
            <w:top w:w="0" w:type="dxa"/>
            <w:left w:w="108" w:type="dxa"/>
            <w:bottom w:w="0" w:type="dxa"/>
            <w:right w:w="108" w:type="dxa"/>
          </w:tblCellMar>
        </w:tblPrEx>
        <w:trPr>
          <w:trHeight w:val="300" w:hRule="atLeast"/>
          <w:jc w:val="center"/>
        </w:trPr>
        <w:tc>
          <w:tcPr>
            <w:tcW w:w="10620" w:type="dxa"/>
            <w:gridSpan w:val="9"/>
            <w:tcBorders>
              <w:top w:val="nil"/>
              <w:left w:val="nil"/>
              <w:bottom w:val="nil"/>
              <w:right w:val="nil"/>
            </w:tcBorders>
            <w:shd w:val="clear" w:color="auto" w:fill="auto"/>
            <w:vAlign w:val="center"/>
          </w:tcPr>
          <w:p>
            <w:pPr>
              <w:textAlignment w:val="center"/>
              <w:rPr>
                <w:color w:val="000000"/>
                <w:sz w:val="18"/>
                <w:szCs w:val="18"/>
              </w:rPr>
            </w:pPr>
            <w:r>
              <w:rPr>
                <w:rFonts w:hint="eastAsia"/>
                <w:color w:val="000000"/>
                <w:sz w:val="18"/>
                <w:szCs w:val="18"/>
              </w:rPr>
              <w:t>注：本表反映部门本年度一般公共预算财政拨款基本支出明细情况。</w:t>
            </w:r>
          </w:p>
        </w:tc>
      </w:tr>
    </w:tbl>
    <w:p>
      <w:p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page"/>
      </w:r>
    </w:p>
    <w:tbl>
      <w:tblPr>
        <w:tblStyle w:val="5"/>
        <w:tblW w:w="10620" w:type="dxa"/>
        <w:jc w:val="center"/>
        <w:tblInd w:w="0" w:type="dxa"/>
        <w:tblLayout w:type="fixed"/>
        <w:tblCellMar>
          <w:top w:w="0" w:type="dxa"/>
          <w:left w:w="108" w:type="dxa"/>
          <w:bottom w:w="0" w:type="dxa"/>
          <w:right w:w="108" w:type="dxa"/>
        </w:tblCellMar>
      </w:tblPr>
      <w:tblGrid>
        <w:gridCol w:w="356"/>
        <w:gridCol w:w="355"/>
        <w:gridCol w:w="355"/>
        <w:gridCol w:w="3344"/>
        <w:gridCol w:w="1035"/>
        <w:gridCol w:w="1035"/>
        <w:gridCol w:w="1035"/>
        <w:gridCol w:w="1035"/>
        <w:gridCol w:w="1035"/>
        <w:gridCol w:w="1035"/>
      </w:tblGrid>
      <w:tr>
        <w:tblPrEx>
          <w:tblLayout w:type="fixed"/>
          <w:tblCellMar>
            <w:top w:w="0" w:type="dxa"/>
            <w:left w:w="108" w:type="dxa"/>
            <w:bottom w:w="0" w:type="dxa"/>
            <w:right w:w="108" w:type="dxa"/>
          </w:tblCellMar>
        </w:tblPrEx>
        <w:trPr>
          <w:trHeight w:val="340" w:hRule="atLeast"/>
          <w:jc w:val="center"/>
        </w:trPr>
        <w:tc>
          <w:tcPr>
            <w:tcW w:w="4410" w:type="dxa"/>
            <w:gridSpan w:val="4"/>
            <w:tcBorders>
              <w:top w:val="nil"/>
              <w:left w:val="nil"/>
              <w:bottom w:val="nil"/>
              <w:right w:val="nil"/>
            </w:tcBorders>
            <w:shd w:val="clear" w:color="auto" w:fill="auto"/>
            <w:noWrap/>
            <w:vAlign w:val="center"/>
          </w:tcPr>
          <w:p>
            <w:pPr>
              <w:textAlignment w:val="center"/>
              <w:rPr>
                <w:color w:val="000000"/>
                <w:sz w:val="18"/>
                <w:szCs w:val="18"/>
              </w:rPr>
            </w:pPr>
            <w:r>
              <w:rPr>
                <w:rFonts w:hint="eastAsia"/>
                <w:color w:val="000000"/>
                <w:sz w:val="18"/>
                <w:szCs w:val="18"/>
              </w:rPr>
              <w:t>附件7</w:t>
            </w:r>
          </w:p>
        </w:tc>
        <w:tc>
          <w:tcPr>
            <w:tcW w:w="1035" w:type="dxa"/>
            <w:tcBorders>
              <w:top w:val="nil"/>
              <w:left w:val="nil"/>
              <w:bottom w:val="nil"/>
              <w:right w:val="nil"/>
            </w:tcBorders>
            <w:shd w:val="clear" w:color="auto" w:fill="auto"/>
            <w:noWrap/>
            <w:vAlign w:val="center"/>
          </w:tcPr>
          <w:p>
            <w:pPr>
              <w:jc w:val="center"/>
              <w:rPr>
                <w:rFonts w:ascii="黑体" w:eastAsia="黑体" w:cs="黑体"/>
                <w:color w:val="000000"/>
                <w:sz w:val="18"/>
                <w:szCs w:val="18"/>
              </w:rPr>
            </w:pPr>
          </w:p>
        </w:tc>
        <w:tc>
          <w:tcPr>
            <w:tcW w:w="1035" w:type="dxa"/>
            <w:tcBorders>
              <w:top w:val="nil"/>
              <w:left w:val="nil"/>
              <w:bottom w:val="nil"/>
              <w:right w:val="nil"/>
            </w:tcBorders>
            <w:shd w:val="clear" w:color="auto" w:fill="auto"/>
            <w:noWrap/>
            <w:vAlign w:val="center"/>
          </w:tcPr>
          <w:p>
            <w:pPr>
              <w:rPr>
                <w:color w:val="000000"/>
                <w:sz w:val="18"/>
                <w:szCs w:val="18"/>
              </w:rPr>
            </w:pPr>
          </w:p>
        </w:tc>
        <w:tc>
          <w:tcPr>
            <w:tcW w:w="1035" w:type="dxa"/>
            <w:tcBorders>
              <w:top w:val="nil"/>
              <w:left w:val="nil"/>
              <w:bottom w:val="nil"/>
              <w:right w:val="nil"/>
            </w:tcBorders>
            <w:shd w:val="clear" w:color="auto" w:fill="auto"/>
            <w:noWrap/>
            <w:vAlign w:val="center"/>
          </w:tcPr>
          <w:p>
            <w:pPr>
              <w:rPr>
                <w:color w:val="000000"/>
                <w:sz w:val="18"/>
                <w:szCs w:val="18"/>
              </w:rPr>
            </w:pPr>
          </w:p>
        </w:tc>
        <w:tc>
          <w:tcPr>
            <w:tcW w:w="1035" w:type="dxa"/>
            <w:tcBorders>
              <w:top w:val="nil"/>
              <w:left w:val="nil"/>
              <w:bottom w:val="nil"/>
              <w:right w:val="nil"/>
            </w:tcBorders>
            <w:shd w:val="clear" w:color="auto" w:fill="auto"/>
            <w:noWrap/>
            <w:vAlign w:val="center"/>
          </w:tcPr>
          <w:p>
            <w:pPr>
              <w:rPr>
                <w:color w:val="000000"/>
                <w:sz w:val="18"/>
                <w:szCs w:val="18"/>
              </w:rPr>
            </w:pPr>
          </w:p>
        </w:tc>
        <w:tc>
          <w:tcPr>
            <w:tcW w:w="1035" w:type="dxa"/>
            <w:tcBorders>
              <w:top w:val="nil"/>
              <w:left w:val="nil"/>
              <w:bottom w:val="nil"/>
              <w:right w:val="nil"/>
            </w:tcBorders>
            <w:shd w:val="clear" w:color="auto" w:fill="auto"/>
            <w:noWrap/>
            <w:vAlign w:val="center"/>
          </w:tcPr>
          <w:p>
            <w:pPr>
              <w:rPr>
                <w:color w:val="000000"/>
                <w:sz w:val="18"/>
                <w:szCs w:val="18"/>
              </w:rPr>
            </w:pPr>
          </w:p>
        </w:tc>
        <w:tc>
          <w:tcPr>
            <w:tcW w:w="1035" w:type="dxa"/>
            <w:tcBorders>
              <w:top w:val="nil"/>
              <w:left w:val="nil"/>
              <w:bottom w:val="nil"/>
              <w:right w:val="nil"/>
            </w:tcBorders>
            <w:shd w:val="clear" w:color="auto" w:fill="auto"/>
            <w:noWrap/>
            <w:vAlign w:val="center"/>
          </w:tcPr>
          <w:p>
            <w:pPr>
              <w:rPr>
                <w:color w:val="000000"/>
                <w:sz w:val="18"/>
                <w:szCs w:val="18"/>
              </w:rPr>
            </w:pPr>
          </w:p>
        </w:tc>
      </w:tr>
      <w:tr>
        <w:tblPrEx>
          <w:tblLayout w:type="fixed"/>
          <w:tblCellMar>
            <w:top w:w="0" w:type="dxa"/>
            <w:left w:w="108" w:type="dxa"/>
            <w:bottom w:w="0" w:type="dxa"/>
            <w:right w:w="108" w:type="dxa"/>
          </w:tblCellMar>
        </w:tblPrEx>
        <w:trPr>
          <w:trHeight w:val="500" w:hRule="atLeast"/>
          <w:jc w:val="center"/>
        </w:trPr>
        <w:tc>
          <w:tcPr>
            <w:tcW w:w="10620" w:type="dxa"/>
            <w:gridSpan w:val="10"/>
            <w:tcBorders>
              <w:top w:val="nil"/>
              <w:left w:val="nil"/>
              <w:bottom w:val="nil"/>
              <w:right w:val="nil"/>
            </w:tcBorders>
            <w:shd w:val="clear" w:color="auto" w:fill="auto"/>
            <w:noWrap/>
            <w:vAlign w:val="center"/>
          </w:tcPr>
          <w:p>
            <w:pPr>
              <w:jc w:val="center"/>
              <w:textAlignment w:val="center"/>
              <w:rPr>
                <w:rFonts w:ascii="黑体" w:eastAsia="黑体" w:cs="黑体"/>
                <w:color w:val="000000"/>
                <w:sz w:val="36"/>
                <w:szCs w:val="36"/>
              </w:rPr>
            </w:pPr>
            <w:r>
              <w:rPr>
                <w:rFonts w:hint="eastAsia" w:ascii="黑体" w:eastAsia="黑体" w:cs="黑体"/>
                <w:color w:val="000000"/>
                <w:sz w:val="36"/>
                <w:szCs w:val="36"/>
              </w:rPr>
              <w:t>政府性基金预算财政拨款收入支出决算表</w:t>
            </w:r>
          </w:p>
        </w:tc>
      </w:tr>
      <w:tr>
        <w:tblPrEx>
          <w:tblLayout w:type="fixed"/>
          <w:tblCellMar>
            <w:top w:w="0" w:type="dxa"/>
            <w:left w:w="108" w:type="dxa"/>
            <w:bottom w:w="0" w:type="dxa"/>
            <w:right w:w="108" w:type="dxa"/>
          </w:tblCellMar>
        </w:tblPrEx>
        <w:trPr>
          <w:trHeight w:val="300" w:hRule="atLeast"/>
          <w:jc w:val="center"/>
        </w:trPr>
        <w:tc>
          <w:tcPr>
            <w:tcW w:w="356" w:type="dxa"/>
            <w:tcBorders>
              <w:top w:val="nil"/>
              <w:left w:val="nil"/>
              <w:bottom w:val="nil"/>
              <w:right w:val="nil"/>
            </w:tcBorders>
            <w:shd w:val="clear" w:color="auto" w:fill="auto"/>
            <w:noWrap/>
            <w:vAlign w:val="center"/>
          </w:tcPr>
          <w:p>
            <w:pPr>
              <w:rPr>
                <w:color w:val="000000"/>
                <w:sz w:val="18"/>
                <w:szCs w:val="18"/>
              </w:rPr>
            </w:pPr>
          </w:p>
        </w:tc>
        <w:tc>
          <w:tcPr>
            <w:tcW w:w="355" w:type="dxa"/>
            <w:tcBorders>
              <w:top w:val="nil"/>
              <w:left w:val="nil"/>
              <w:bottom w:val="nil"/>
              <w:right w:val="nil"/>
            </w:tcBorders>
            <w:shd w:val="clear" w:color="auto" w:fill="auto"/>
            <w:noWrap/>
            <w:vAlign w:val="center"/>
          </w:tcPr>
          <w:p>
            <w:pPr>
              <w:rPr>
                <w:color w:val="000000"/>
                <w:sz w:val="18"/>
                <w:szCs w:val="18"/>
              </w:rPr>
            </w:pPr>
          </w:p>
        </w:tc>
        <w:tc>
          <w:tcPr>
            <w:tcW w:w="355" w:type="dxa"/>
            <w:tcBorders>
              <w:top w:val="nil"/>
              <w:left w:val="nil"/>
              <w:bottom w:val="nil"/>
              <w:right w:val="nil"/>
            </w:tcBorders>
            <w:shd w:val="clear" w:color="auto" w:fill="auto"/>
            <w:noWrap/>
            <w:vAlign w:val="center"/>
          </w:tcPr>
          <w:p>
            <w:pPr>
              <w:rPr>
                <w:color w:val="000000"/>
                <w:sz w:val="18"/>
                <w:szCs w:val="18"/>
              </w:rPr>
            </w:pPr>
          </w:p>
        </w:tc>
        <w:tc>
          <w:tcPr>
            <w:tcW w:w="3344" w:type="dxa"/>
            <w:tcBorders>
              <w:top w:val="nil"/>
              <w:left w:val="nil"/>
              <w:bottom w:val="nil"/>
              <w:right w:val="nil"/>
            </w:tcBorders>
            <w:shd w:val="clear" w:color="auto" w:fill="auto"/>
            <w:vAlign w:val="center"/>
          </w:tcPr>
          <w:p>
            <w:pPr>
              <w:rPr>
                <w:color w:val="000000"/>
                <w:sz w:val="18"/>
                <w:szCs w:val="18"/>
              </w:rPr>
            </w:pPr>
          </w:p>
        </w:tc>
        <w:tc>
          <w:tcPr>
            <w:tcW w:w="1035" w:type="dxa"/>
            <w:tcBorders>
              <w:top w:val="nil"/>
              <w:left w:val="nil"/>
              <w:bottom w:val="nil"/>
              <w:right w:val="nil"/>
            </w:tcBorders>
            <w:shd w:val="clear" w:color="auto" w:fill="auto"/>
            <w:noWrap/>
            <w:vAlign w:val="center"/>
          </w:tcPr>
          <w:p>
            <w:pPr>
              <w:rPr>
                <w:color w:val="000000"/>
                <w:sz w:val="18"/>
                <w:szCs w:val="18"/>
              </w:rPr>
            </w:pPr>
          </w:p>
        </w:tc>
        <w:tc>
          <w:tcPr>
            <w:tcW w:w="1035" w:type="dxa"/>
            <w:tcBorders>
              <w:top w:val="nil"/>
              <w:left w:val="nil"/>
              <w:bottom w:val="nil"/>
              <w:right w:val="nil"/>
            </w:tcBorders>
            <w:shd w:val="clear" w:color="auto" w:fill="auto"/>
            <w:noWrap/>
            <w:vAlign w:val="center"/>
          </w:tcPr>
          <w:p>
            <w:pPr>
              <w:rPr>
                <w:color w:val="000000"/>
                <w:sz w:val="18"/>
                <w:szCs w:val="18"/>
              </w:rPr>
            </w:pPr>
          </w:p>
        </w:tc>
        <w:tc>
          <w:tcPr>
            <w:tcW w:w="1035" w:type="dxa"/>
            <w:tcBorders>
              <w:top w:val="nil"/>
              <w:left w:val="nil"/>
              <w:bottom w:val="nil"/>
              <w:right w:val="nil"/>
            </w:tcBorders>
            <w:shd w:val="clear" w:color="auto" w:fill="auto"/>
            <w:noWrap/>
            <w:vAlign w:val="center"/>
          </w:tcPr>
          <w:p>
            <w:pPr>
              <w:rPr>
                <w:color w:val="000000"/>
                <w:sz w:val="18"/>
                <w:szCs w:val="18"/>
              </w:rPr>
            </w:pPr>
          </w:p>
        </w:tc>
        <w:tc>
          <w:tcPr>
            <w:tcW w:w="1035" w:type="dxa"/>
            <w:tcBorders>
              <w:top w:val="nil"/>
              <w:left w:val="nil"/>
              <w:bottom w:val="nil"/>
              <w:right w:val="nil"/>
            </w:tcBorders>
            <w:shd w:val="clear" w:color="auto" w:fill="auto"/>
            <w:noWrap/>
            <w:vAlign w:val="center"/>
          </w:tcPr>
          <w:p>
            <w:pPr>
              <w:rPr>
                <w:color w:val="000000"/>
                <w:sz w:val="18"/>
                <w:szCs w:val="18"/>
              </w:rPr>
            </w:pPr>
          </w:p>
        </w:tc>
        <w:tc>
          <w:tcPr>
            <w:tcW w:w="2070" w:type="dxa"/>
            <w:gridSpan w:val="2"/>
            <w:tcBorders>
              <w:top w:val="nil"/>
              <w:left w:val="nil"/>
              <w:bottom w:val="nil"/>
              <w:right w:val="nil"/>
            </w:tcBorders>
            <w:shd w:val="clear" w:color="auto" w:fill="auto"/>
            <w:noWrap/>
            <w:vAlign w:val="center"/>
          </w:tcPr>
          <w:p>
            <w:pPr>
              <w:jc w:val="right"/>
              <w:textAlignment w:val="center"/>
              <w:rPr>
                <w:color w:val="000000"/>
                <w:sz w:val="18"/>
                <w:szCs w:val="18"/>
              </w:rPr>
            </w:pPr>
            <w:r>
              <w:rPr>
                <w:rFonts w:hint="eastAsia"/>
                <w:color w:val="000000"/>
                <w:sz w:val="18"/>
                <w:szCs w:val="18"/>
              </w:rPr>
              <w:t>公开07表</w:t>
            </w:r>
          </w:p>
        </w:tc>
      </w:tr>
      <w:tr>
        <w:tblPrEx>
          <w:tblLayout w:type="fixed"/>
          <w:tblCellMar>
            <w:top w:w="0" w:type="dxa"/>
            <w:left w:w="108" w:type="dxa"/>
            <w:bottom w:w="0" w:type="dxa"/>
            <w:right w:w="108" w:type="dxa"/>
          </w:tblCellMar>
        </w:tblPrEx>
        <w:trPr>
          <w:trHeight w:val="300" w:hRule="atLeast"/>
          <w:jc w:val="center"/>
        </w:trPr>
        <w:tc>
          <w:tcPr>
            <w:tcW w:w="4410" w:type="dxa"/>
            <w:gridSpan w:val="4"/>
            <w:tcBorders>
              <w:top w:val="nil"/>
              <w:left w:val="nil"/>
              <w:bottom w:val="single" w:color="808080" w:sz="4" w:space="0"/>
              <w:right w:val="nil"/>
            </w:tcBorders>
            <w:shd w:val="clear" w:color="auto" w:fill="auto"/>
            <w:noWrap/>
            <w:vAlign w:val="center"/>
          </w:tcPr>
          <w:p>
            <w:pPr>
              <w:textAlignment w:val="center"/>
              <w:rPr>
                <w:color w:val="000000"/>
                <w:sz w:val="18"/>
                <w:szCs w:val="18"/>
              </w:rPr>
            </w:pPr>
            <w:r>
              <w:rPr>
                <w:rFonts w:hint="eastAsia"/>
                <w:color w:val="000000"/>
                <w:sz w:val="18"/>
                <w:szCs w:val="18"/>
              </w:rPr>
              <w:t>公开部门：重庆市垫江县民政局</w:t>
            </w:r>
          </w:p>
        </w:tc>
        <w:tc>
          <w:tcPr>
            <w:tcW w:w="1035" w:type="dxa"/>
            <w:tcBorders>
              <w:top w:val="nil"/>
              <w:left w:val="nil"/>
              <w:bottom w:val="single" w:color="808080" w:sz="4" w:space="0"/>
              <w:right w:val="nil"/>
            </w:tcBorders>
            <w:shd w:val="clear" w:color="auto" w:fill="auto"/>
            <w:noWrap/>
            <w:vAlign w:val="center"/>
          </w:tcPr>
          <w:p>
            <w:pPr>
              <w:jc w:val="center"/>
              <w:textAlignment w:val="center"/>
              <w:rPr>
                <w:color w:val="000000"/>
                <w:sz w:val="18"/>
                <w:szCs w:val="18"/>
              </w:rPr>
            </w:pPr>
            <w:r>
              <w:rPr>
                <w:rFonts w:hint="eastAsia"/>
                <w:color w:val="000000"/>
                <w:sz w:val="18"/>
                <w:szCs w:val="18"/>
              </w:rPr>
              <w:t>2020年度</w:t>
            </w:r>
          </w:p>
        </w:tc>
        <w:tc>
          <w:tcPr>
            <w:tcW w:w="1035" w:type="dxa"/>
            <w:tcBorders>
              <w:top w:val="nil"/>
              <w:left w:val="nil"/>
              <w:bottom w:val="single" w:color="808080" w:sz="4" w:space="0"/>
              <w:right w:val="nil"/>
            </w:tcBorders>
            <w:shd w:val="clear" w:color="auto" w:fill="auto"/>
            <w:noWrap/>
            <w:vAlign w:val="center"/>
          </w:tcPr>
          <w:p>
            <w:pPr>
              <w:rPr>
                <w:color w:val="000000"/>
                <w:sz w:val="18"/>
                <w:szCs w:val="18"/>
              </w:rPr>
            </w:pPr>
          </w:p>
        </w:tc>
        <w:tc>
          <w:tcPr>
            <w:tcW w:w="1035" w:type="dxa"/>
            <w:tcBorders>
              <w:top w:val="nil"/>
              <w:left w:val="nil"/>
              <w:bottom w:val="single" w:color="808080" w:sz="4" w:space="0"/>
              <w:right w:val="nil"/>
            </w:tcBorders>
            <w:shd w:val="clear" w:color="auto" w:fill="auto"/>
            <w:noWrap/>
            <w:vAlign w:val="center"/>
          </w:tcPr>
          <w:p>
            <w:pPr>
              <w:rPr>
                <w:color w:val="000000"/>
                <w:sz w:val="18"/>
                <w:szCs w:val="18"/>
              </w:rPr>
            </w:pPr>
          </w:p>
        </w:tc>
        <w:tc>
          <w:tcPr>
            <w:tcW w:w="1035" w:type="dxa"/>
            <w:tcBorders>
              <w:top w:val="nil"/>
              <w:left w:val="nil"/>
              <w:bottom w:val="single" w:color="808080" w:sz="4" w:space="0"/>
              <w:right w:val="nil"/>
            </w:tcBorders>
            <w:shd w:val="clear" w:color="auto" w:fill="auto"/>
            <w:noWrap/>
            <w:vAlign w:val="center"/>
          </w:tcPr>
          <w:p>
            <w:pPr>
              <w:rPr>
                <w:color w:val="000000"/>
                <w:sz w:val="18"/>
                <w:szCs w:val="18"/>
              </w:rPr>
            </w:pPr>
          </w:p>
        </w:tc>
        <w:tc>
          <w:tcPr>
            <w:tcW w:w="2070" w:type="dxa"/>
            <w:gridSpan w:val="2"/>
            <w:tcBorders>
              <w:top w:val="nil"/>
              <w:left w:val="nil"/>
              <w:bottom w:val="single" w:color="808080" w:sz="4" w:space="0"/>
              <w:right w:val="nil"/>
            </w:tcBorders>
            <w:shd w:val="clear" w:color="auto" w:fill="auto"/>
            <w:noWrap/>
            <w:vAlign w:val="center"/>
          </w:tcPr>
          <w:p>
            <w:pPr>
              <w:jc w:val="right"/>
              <w:textAlignment w:val="center"/>
              <w:rPr>
                <w:color w:val="000000"/>
                <w:sz w:val="18"/>
                <w:szCs w:val="18"/>
              </w:rPr>
            </w:pPr>
            <w:r>
              <w:rPr>
                <w:rFonts w:hint="eastAsia"/>
                <w:color w:val="000000"/>
                <w:sz w:val="18"/>
                <w:szCs w:val="18"/>
              </w:rPr>
              <w:t>单位：万元</w:t>
            </w:r>
          </w:p>
        </w:tc>
      </w:tr>
      <w:tr>
        <w:tblPrEx>
          <w:tblLayout w:type="fixed"/>
          <w:tblCellMar>
            <w:top w:w="0" w:type="dxa"/>
            <w:left w:w="108" w:type="dxa"/>
            <w:bottom w:w="0" w:type="dxa"/>
            <w:right w:w="108" w:type="dxa"/>
          </w:tblCellMar>
        </w:tblPrEx>
        <w:trPr>
          <w:trHeight w:val="300" w:hRule="atLeast"/>
          <w:jc w:val="center"/>
        </w:trPr>
        <w:tc>
          <w:tcPr>
            <w:tcW w:w="4410" w:type="dxa"/>
            <w:gridSpan w:val="4"/>
            <w:tcBorders>
              <w:top w:val="nil"/>
              <w:left w:val="single" w:color="000000" w:sz="4" w:space="0"/>
              <w:bottom w:val="single" w:color="000000" w:sz="4" w:space="0"/>
              <w:right w:val="single" w:color="000000" w:sz="4" w:space="0"/>
            </w:tcBorders>
            <w:shd w:val="clear" w:color="auto" w:fill="auto"/>
            <w:vAlign w:val="center"/>
          </w:tcPr>
          <w:p>
            <w:pPr>
              <w:jc w:val="both"/>
              <w:textAlignment w:val="center"/>
              <w:rPr>
                <w:b/>
                <w:bCs/>
                <w:color w:val="000000"/>
                <w:sz w:val="18"/>
                <w:szCs w:val="18"/>
              </w:rPr>
            </w:pPr>
            <w:r>
              <w:rPr>
                <w:rFonts w:hint="eastAsia"/>
                <w:b/>
                <w:bCs/>
                <w:color w:val="000000"/>
                <w:sz w:val="18"/>
                <w:szCs w:val="18"/>
              </w:rPr>
              <w:t>项目</w:t>
            </w:r>
          </w:p>
        </w:tc>
        <w:tc>
          <w:tcPr>
            <w:tcW w:w="103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年初结转和结余</w:t>
            </w:r>
          </w:p>
        </w:tc>
        <w:tc>
          <w:tcPr>
            <w:tcW w:w="103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本年收入</w:t>
            </w:r>
          </w:p>
        </w:tc>
        <w:tc>
          <w:tcPr>
            <w:tcW w:w="3105" w:type="dxa"/>
            <w:gridSpan w:val="3"/>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本年支出</w:t>
            </w:r>
          </w:p>
        </w:tc>
        <w:tc>
          <w:tcPr>
            <w:tcW w:w="103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年末结转和结余</w:t>
            </w:r>
          </w:p>
        </w:tc>
      </w:tr>
      <w:tr>
        <w:tblPrEx>
          <w:tblLayout w:type="fixed"/>
          <w:tblCellMar>
            <w:top w:w="0" w:type="dxa"/>
            <w:left w:w="108" w:type="dxa"/>
            <w:bottom w:w="0" w:type="dxa"/>
            <w:right w:w="108" w:type="dxa"/>
          </w:tblCellMar>
        </w:tblPrEx>
        <w:trPr>
          <w:trHeight w:val="312" w:hRule="atLeast"/>
          <w:jc w:val="center"/>
        </w:trPr>
        <w:tc>
          <w:tcPr>
            <w:tcW w:w="106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功能分类科目编码</w:t>
            </w:r>
          </w:p>
        </w:tc>
        <w:tc>
          <w:tcPr>
            <w:tcW w:w="3344"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项目（按“项”级功能分类科目）</w:t>
            </w: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合计</w:t>
            </w:r>
          </w:p>
        </w:tc>
        <w:tc>
          <w:tcPr>
            <w:tcW w:w="103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基本支出</w:t>
            </w:r>
          </w:p>
        </w:tc>
        <w:tc>
          <w:tcPr>
            <w:tcW w:w="103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项目支出</w:t>
            </w: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r>
      <w:tr>
        <w:tblPrEx>
          <w:tblLayout w:type="fixed"/>
          <w:tblCellMar>
            <w:top w:w="0" w:type="dxa"/>
            <w:left w:w="108" w:type="dxa"/>
            <w:bottom w:w="0" w:type="dxa"/>
            <w:right w:w="108" w:type="dxa"/>
          </w:tblCellMar>
        </w:tblPrEx>
        <w:trPr>
          <w:trHeight w:val="312" w:hRule="atLeast"/>
          <w:jc w:val="center"/>
        </w:trPr>
        <w:tc>
          <w:tcPr>
            <w:tcW w:w="106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44"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r>
      <w:tr>
        <w:tblPrEx>
          <w:tblLayout w:type="fixed"/>
          <w:tblCellMar>
            <w:top w:w="0" w:type="dxa"/>
            <w:left w:w="108" w:type="dxa"/>
            <w:bottom w:w="0" w:type="dxa"/>
            <w:right w:w="108" w:type="dxa"/>
          </w:tblCellMar>
        </w:tblPrEx>
        <w:trPr>
          <w:trHeight w:val="600" w:hRule="atLeast"/>
          <w:jc w:val="center"/>
        </w:trPr>
        <w:tc>
          <w:tcPr>
            <w:tcW w:w="106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3344"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4410" w:type="dxa"/>
            <w:gridSpan w:val="4"/>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合计</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4,807.68</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3,814.89</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3,814.89</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992.79</w:t>
            </w:r>
          </w:p>
        </w:tc>
      </w:tr>
      <w:tr>
        <w:tblPrEx>
          <w:tblLayout w:type="fixed"/>
          <w:tblCellMar>
            <w:top w:w="0" w:type="dxa"/>
            <w:left w:w="108" w:type="dxa"/>
            <w:bottom w:w="0" w:type="dxa"/>
            <w:right w:w="108" w:type="dxa"/>
          </w:tblCellMar>
        </w:tblPrEx>
        <w:trPr>
          <w:trHeight w:val="300"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229</w:t>
            </w:r>
          </w:p>
        </w:tc>
        <w:tc>
          <w:tcPr>
            <w:tcW w:w="3344"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其他支出</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1,565.52</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572.73</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572.73</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992.79</w:t>
            </w:r>
          </w:p>
        </w:tc>
      </w:tr>
      <w:tr>
        <w:tblPrEx>
          <w:tblLayout w:type="fixed"/>
          <w:tblCellMar>
            <w:top w:w="0" w:type="dxa"/>
            <w:left w:w="108" w:type="dxa"/>
            <w:bottom w:w="0" w:type="dxa"/>
            <w:right w:w="108" w:type="dxa"/>
          </w:tblCellMar>
        </w:tblPrEx>
        <w:trPr>
          <w:trHeight w:val="300"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22904</w:t>
            </w:r>
          </w:p>
        </w:tc>
        <w:tc>
          <w:tcPr>
            <w:tcW w:w="3344"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其他政府性基金及对应专项债务收入安排的支出</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1,000.00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7.21</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7.21</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992.79</w:t>
            </w:r>
          </w:p>
        </w:tc>
      </w:tr>
      <w:tr>
        <w:tblPrEx>
          <w:tblLayout w:type="fixed"/>
          <w:tblCellMar>
            <w:top w:w="0" w:type="dxa"/>
            <w:left w:w="108" w:type="dxa"/>
            <w:bottom w:w="0" w:type="dxa"/>
            <w:right w:w="108" w:type="dxa"/>
          </w:tblCellMar>
        </w:tblPrEx>
        <w:trPr>
          <w:trHeight w:val="300"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2290402</w:t>
            </w:r>
          </w:p>
        </w:tc>
        <w:tc>
          <w:tcPr>
            <w:tcW w:w="3344"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其他地方自行试点项目收益专项债券收入安排的支出</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1,000.00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7.21</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7.21</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992.79</w:t>
            </w:r>
          </w:p>
        </w:tc>
      </w:tr>
      <w:tr>
        <w:tblPrEx>
          <w:tblLayout w:type="fixed"/>
          <w:tblCellMar>
            <w:top w:w="0" w:type="dxa"/>
            <w:left w:w="108" w:type="dxa"/>
            <w:bottom w:w="0" w:type="dxa"/>
            <w:right w:w="108" w:type="dxa"/>
          </w:tblCellMar>
        </w:tblPrEx>
        <w:trPr>
          <w:trHeight w:val="300"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22908</w:t>
            </w:r>
          </w:p>
        </w:tc>
        <w:tc>
          <w:tcPr>
            <w:tcW w:w="3344"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彩票发行销售机构业务费安排的支出</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13.16</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13.16</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13.16</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2290808</w:t>
            </w:r>
          </w:p>
        </w:tc>
        <w:tc>
          <w:tcPr>
            <w:tcW w:w="3344"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彩票市场调控资金支出</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13.16</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13.16</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13.16</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22960</w:t>
            </w:r>
          </w:p>
        </w:tc>
        <w:tc>
          <w:tcPr>
            <w:tcW w:w="3344"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彩票公益金安排的支出</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552.36</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552.36</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552.36</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2296002</w:t>
            </w:r>
          </w:p>
        </w:tc>
        <w:tc>
          <w:tcPr>
            <w:tcW w:w="3344"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用于社会福利的彩票公益金支出</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241.51</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241.51</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241.51</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2296099</w:t>
            </w:r>
          </w:p>
        </w:tc>
        <w:tc>
          <w:tcPr>
            <w:tcW w:w="3344"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用于其他社会公益事业的彩票公益金支出</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310.85</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310.85</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310.85</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234</w:t>
            </w:r>
          </w:p>
        </w:tc>
        <w:tc>
          <w:tcPr>
            <w:tcW w:w="3344"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抗疫特别国债安排的支出</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3,242.16</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3,242.16</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3,242.16</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b/>
                <w:bCs/>
                <w:color w:val="000000"/>
                <w:sz w:val="18"/>
                <w:szCs w:val="18"/>
              </w:rPr>
            </w:pPr>
            <w:r>
              <w:rPr>
                <w:rFonts w:hint="eastAsia"/>
                <w:b/>
                <w:bCs/>
                <w:color w:val="000000"/>
                <w:sz w:val="18"/>
                <w:szCs w:val="18"/>
              </w:rPr>
              <w:t>23402</w:t>
            </w:r>
          </w:p>
        </w:tc>
        <w:tc>
          <w:tcPr>
            <w:tcW w:w="3344"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抗疫相关支出</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3,242.16</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3,242.16</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3,242.16</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b/>
                <w:bCs/>
                <w:color w:val="000000"/>
                <w:sz w:val="18"/>
                <w:szCs w:val="18"/>
              </w:rPr>
            </w:pPr>
            <w:r>
              <w:rPr>
                <w:rFonts w:hint="eastAsia"/>
                <w:b/>
                <w:bCs/>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6" w:type="dxa"/>
            <w:gridSpan w:val="3"/>
            <w:tcBorders>
              <w:top w:val="nil"/>
              <w:left w:val="single" w:color="000000" w:sz="4" w:space="0"/>
              <w:bottom w:val="single" w:color="000000" w:sz="4" w:space="0"/>
              <w:right w:val="single" w:color="000000" w:sz="4" w:space="0"/>
            </w:tcBorders>
            <w:shd w:val="clear" w:color="auto" w:fill="auto"/>
            <w:noWrap/>
            <w:vAlign w:val="center"/>
          </w:tcPr>
          <w:p>
            <w:pPr>
              <w:textAlignment w:val="center"/>
              <w:rPr>
                <w:color w:val="000000"/>
                <w:sz w:val="18"/>
                <w:szCs w:val="18"/>
              </w:rPr>
            </w:pPr>
            <w:r>
              <w:rPr>
                <w:rFonts w:hint="eastAsia"/>
                <w:color w:val="000000"/>
                <w:sz w:val="18"/>
                <w:szCs w:val="18"/>
              </w:rPr>
              <w:t>2340205</w:t>
            </w:r>
          </w:p>
        </w:tc>
        <w:tc>
          <w:tcPr>
            <w:tcW w:w="3344"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困难群众基本生活补助</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3,242.16</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3,242.16</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3,242.16</w:t>
            </w:r>
          </w:p>
        </w:tc>
        <w:tc>
          <w:tcPr>
            <w:tcW w:w="103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20" w:type="dxa"/>
            <w:gridSpan w:val="10"/>
            <w:tcBorders>
              <w:top w:val="nil"/>
              <w:left w:val="nil"/>
              <w:bottom w:val="nil"/>
              <w:right w:val="nil"/>
            </w:tcBorders>
            <w:shd w:val="clear" w:color="auto" w:fill="auto"/>
            <w:noWrap/>
            <w:vAlign w:val="center"/>
          </w:tcPr>
          <w:p>
            <w:pPr>
              <w:textAlignment w:val="center"/>
              <w:rPr>
                <w:color w:val="000000"/>
                <w:sz w:val="18"/>
                <w:szCs w:val="18"/>
              </w:rPr>
            </w:pPr>
            <w:r>
              <w:rPr>
                <w:rFonts w:hint="eastAsia"/>
                <w:color w:val="000000"/>
                <w:sz w:val="18"/>
                <w:szCs w:val="18"/>
              </w:rPr>
              <w:t>备注：本表反映部门本年度政府性基金预算财政拨款收入支出及结转和结余情况。</w:t>
            </w:r>
          </w:p>
        </w:tc>
      </w:tr>
      <w:tr>
        <w:tblPrEx>
          <w:tblLayout w:type="fixed"/>
          <w:tblCellMar>
            <w:top w:w="0" w:type="dxa"/>
            <w:left w:w="108" w:type="dxa"/>
            <w:bottom w:w="0" w:type="dxa"/>
            <w:right w:w="108" w:type="dxa"/>
          </w:tblCellMar>
        </w:tblPrEx>
        <w:trPr>
          <w:trHeight w:val="300" w:hRule="atLeast"/>
          <w:jc w:val="center"/>
        </w:trPr>
        <w:tc>
          <w:tcPr>
            <w:tcW w:w="10620" w:type="dxa"/>
            <w:gridSpan w:val="10"/>
            <w:tcBorders>
              <w:top w:val="nil"/>
              <w:left w:val="nil"/>
              <w:bottom w:val="nil"/>
              <w:right w:val="nil"/>
            </w:tcBorders>
            <w:shd w:val="clear" w:color="auto" w:fill="auto"/>
            <w:noWrap/>
            <w:vAlign w:val="center"/>
          </w:tcPr>
          <w:p>
            <w:pPr>
              <w:textAlignment w:val="center"/>
              <w:rPr>
                <w:color w:val="000000"/>
                <w:sz w:val="18"/>
                <w:szCs w:val="18"/>
              </w:rPr>
            </w:pPr>
          </w:p>
        </w:tc>
      </w:tr>
    </w:tbl>
    <w:p>
      <w:p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page"/>
      </w:r>
    </w:p>
    <w:tbl>
      <w:tblPr>
        <w:tblStyle w:val="5"/>
        <w:tblW w:w="9015" w:type="dxa"/>
        <w:jc w:val="center"/>
        <w:tblInd w:w="0" w:type="dxa"/>
        <w:tblLayout w:type="fixed"/>
        <w:tblCellMar>
          <w:top w:w="0" w:type="dxa"/>
          <w:left w:w="108" w:type="dxa"/>
          <w:bottom w:w="0" w:type="dxa"/>
          <w:right w:w="108" w:type="dxa"/>
        </w:tblCellMar>
      </w:tblPr>
      <w:tblGrid>
        <w:gridCol w:w="3162"/>
        <w:gridCol w:w="855"/>
        <w:gridCol w:w="981"/>
        <w:gridCol w:w="3162"/>
        <w:gridCol w:w="855"/>
      </w:tblGrid>
      <w:tr>
        <w:tblPrEx>
          <w:tblLayout w:type="fixed"/>
          <w:tblCellMar>
            <w:top w:w="0" w:type="dxa"/>
            <w:left w:w="108" w:type="dxa"/>
            <w:bottom w:w="0" w:type="dxa"/>
            <w:right w:w="108" w:type="dxa"/>
          </w:tblCellMar>
        </w:tblPrEx>
        <w:trPr>
          <w:trHeight w:val="320" w:hRule="atLeast"/>
          <w:jc w:val="center"/>
        </w:trPr>
        <w:tc>
          <w:tcPr>
            <w:tcW w:w="3162" w:type="dxa"/>
            <w:tcBorders>
              <w:top w:val="nil"/>
              <w:left w:val="nil"/>
              <w:bottom w:val="nil"/>
              <w:right w:val="nil"/>
            </w:tcBorders>
            <w:shd w:val="clear" w:color="auto" w:fill="auto"/>
            <w:vAlign w:val="center"/>
          </w:tcPr>
          <w:p>
            <w:pPr>
              <w:textAlignment w:val="center"/>
              <w:rPr>
                <w:color w:val="000000"/>
                <w:sz w:val="18"/>
                <w:szCs w:val="18"/>
              </w:rPr>
            </w:pPr>
            <w:r>
              <w:rPr>
                <w:rFonts w:hint="eastAsia"/>
                <w:color w:val="000000"/>
                <w:sz w:val="18"/>
                <w:szCs w:val="18"/>
              </w:rPr>
              <w:t>附件8</w:t>
            </w:r>
          </w:p>
        </w:tc>
        <w:tc>
          <w:tcPr>
            <w:tcW w:w="855" w:type="dxa"/>
            <w:tcBorders>
              <w:top w:val="nil"/>
              <w:left w:val="nil"/>
              <w:bottom w:val="nil"/>
              <w:right w:val="nil"/>
            </w:tcBorders>
            <w:shd w:val="clear" w:color="auto" w:fill="auto"/>
            <w:noWrap/>
            <w:vAlign w:val="center"/>
          </w:tcPr>
          <w:p>
            <w:pPr>
              <w:rPr>
                <w:color w:val="000000"/>
                <w:sz w:val="18"/>
                <w:szCs w:val="18"/>
              </w:rPr>
            </w:pPr>
          </w:p>
        </w:tc>
        <w:tc>
          <w:tcPr>
            <w:tcW w:w="981" w:type="dxa"/>
            <w:tcBorders>
              <w:top w:val="nil"/>
              <w:left w:val="nil"/>
              <w:bottom w:val="nil"/>
              <w:right w:val="nil"/>
            </w:tcBorders>
            <w:shd w:val="clear" w:color="auto" w:fill="auto"/>
            <w:noWrap/>
            <w:vAlign w:val="center"/>
          </w:tcPr>
          <w:p>
            <w:pPr>
              <w:jc w:val="center"/>
              <w:rPr>
                <w:rFonts w:ascii="黑体" w:eastAsia="黑体" w:cs="黑体"/>
                <w:color w:val="000000"/>
                <w:sz w:val="18"/>
                <w:szCs w:val="18"/>
              </w:rPr>
            </w:pPr>
          </w:p>
        </w:tc>
        <w:tc>
          <w:tcPr>
            <w:tcW w:w="3162" w:type="dxa"/>
            <w:tcBorders>
              <w:top w:val="nil"/>
              <w:left w:val="nil"/>
              <w:bottom w:val="nil"/>
              <w:right w:val="nil"/>
            </w:tcBorders>
            <w:shd w:val="clear" w:color="auto" w:fill="auto"/>
            <w:vAlign w:val="center"/>
          </w:tcPr>
          <w:p>
            <w:pPr>
              <w:rPr>
                <w:color w:val="000000"/>
                <w:sz w:val="18"/>
                <w:szCs w:val="18"/>
              </w:rPr>
            </w:pPr>
          </w:p>
        </w:tc>
        <w:tc>
          <w:tcPr>
            <w:tcW w:w="855" w:type="dxa"/>
            <w:tcBorders>
              <w:top w:val="nil"/>
              <w:left w:val="nil"/>
              <w:bottom w:val="nil"/>
              <w:right w:val="nil"/>
            </w:tcBorders>
            <w:shd w:val="clear" w:color="auto" w:fill="auto"/>
            <w:noWrap/>
            <w:vAlign w:val="center"/>
          </w:tcPr>
          <w:p>
            <w:pPr>
              <w:rPr>
                <w:color w:val="000000"/>
                <w:sz w:val="18"/>
                <w:szCs w:val="18"/>
              </w:rPr>
            </w:pPr>
          </w:p>
        </w:tc>
      </w:tr>
      <w:tr>
        <w:tblPrEx>
          <w:tblLayout w:type="fixed"/>
          <w:tblCellMar>
            <w:top w:w="0" w:type="dxa"/>
            <w:left w:w="108" w:type="dxa"/>
            <w:bottom w:w="0" w:type="dxa"/>
            <w:right w:w="108" w:type="dxa"/>
          </w:tblCellMar>
        </w:tblPrEx>
        <w:trPr>
          <w:trHeight w:val="500" w:hRule="atLeast"/>
          <w:jc w:val="center"/>
        </w:trPr>
        <w:tc>
          <w:tcPr>
            <w:tcW w:w="9015" w:type="dxa"/>
            <w:gridSpan w:val="5"/>
            <w:tcBorders>
              <w:top w:val="nil"/>
              <w:left w:val="nil"/>
              <w:bottom w:val="nil"/>
              <w:right w:val="nil"/>
            </w:tcBorders>
            <w:shd w:val="clear" w:color="auto" w:fill="auto"/>
            <w:noWrap/>
            <w:vAlign w:val="center"/>
          </w:tcPr>
          <w:p>
            <w:pPr>
              <w:jc w:val="center"/>
              <w:textAlignment w:val="center"/>
              <w:rPr>
                <w:rFonts w:ascii="黑体" w:eastAsia="黑体" w:cs="黑体"/>
                <w:color w:val="000000"/>
                <w:sz w:val="36"/>
                <w:szCs w:val="36"/>
              </w:rPr>
            </w:pPr>
            <w:r>
              <w:rPr>
                <w:rFonts w:hint="eastAsia" w:ascii="黑体" w:eastAsia="黑体" w:cs="黑体"/>
                <w:color w:val="000000"/>
                <w:sz w:val="36"/>
                <w:szCs w:val="36"/>
              </w:rPr>
              <w:t>机构运行信息表</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nil"/>
              <w:bottom w:val="nil"/>
              <w:right w:val="nil"/>
            </w:tcBorders>
            <w:shd w:val="clear" w:color="auto" w:fill="auto"/>
            <w:vAlign w:val="center"/>
          </w:tcPr>
          <w:p>
            <w:pPr>
              <w:rPr>
                <w:color w:val="000000"/>
                <w:sz w:val="18"/>
                <w:szCs w:val="18"/>
              </w:rPr>
            </w:pPr>
          </w:p>
        </w:tc>
        <w:tc>
          <w:tcPr>
            <w:tcW w:w="855" w:type="dxa"/>
            <w:tcBorders>
              <w:top w:val="nil"/>
              <w:left w:val="nil"/>
              <w:bottom w:val="nil"/>
              <w:right w:val="nil"/>
            </w:tcBorders>
            <w:shd w:val="clear" w:color="auto" w:fill="auto"/>
            <w:noWrap/>
            <w:vAlign w:val="center"/>
          </w:tcPr>
          <w:p>
            <w:pPr>
              <w:rPr>
                <w:color w:val="000000"/>
                <w:sz w:val="18"/>
                <w:szCs w:val="18"/>
              </w:rPr>
            </w:pPr>
          </w:p>
        </w:tc>
        <w:tc>
          <w:tcPr>
            <w:tcW w:w="981" w:type="dxa"/>
            <w:tcBorders>
              <w:top w:val="nil"/>
              <w:left w:val="nil"/>
              <w:bottom w:val="nil"/>
              <w:right w:val="nil"/>
            </w:tcBorders>
            <w:shd w:val="clear" w:color="auto" w:fill="auto"/>
            <w:noWrap/>
            <w:vAlign w:val="center"/>
          </w:tcPr>
          <w:p>
            <w:pPr>
              <w:rPr>
                <w:color w:val="000000"/>
                <w:sz w:val="18"/>
                <w:szCs w:val="18"/>
              </w:rPr>
            </w:pPr>
          </w:p>
        </w:tc>
        <w:tc>
          <w:tcPr>
            <w:tcW w:w="4017" w:type="dxa"/>
            <w:gridSpan w:val="2"/>
            <w:tcBorders>
              <w:top w:val="nil"/>
              <w:left w:val="nil"/>
              <w:bottom w:val="nil"/>
              <w:right w:val="nil"/>
            </w:tcBorders>
            <w:shd w:val="clear" w:color="auto" w:fill="auto"/>
            <w:noWrap/>
            <w:vAlign w:val="center"/>
          </w:tcPr>
          <w:p>
            <w:pPr>
              <w:jc w:val="right"/>
              <w:textAlignment w:val="center"/>
              <w:rPr>
                <w:color w:val="000000"/>
                <w:sz w:val="18"/>
                <w:szCs w:val="18"/>
              </w:rPr>
            </w:pPr>
            <w:r>
              <w:rPr>
                <w:rFonts w:hint="eastAsia"/>
                <w:color w:val="000000"/>
                <w:sz w:val="18"/>
                <w:szCs w:val="18"/>
              </w:rPr>
              <w:t>公开08表</w:t>
            </w:r>
          </w:p>
        </w:tc>
      </w:tr>
      <w:tr>
        <w:tblPrEx>
          <w:tblLayout w:type="fixed"/>
          <w:tblCellMar>
            <w:top w:w="0" w:type="dxa"/>
            <w:left w:w="108" w:type="dxa"/>
            <w:bottom w:w="0" w:type="dxa"/>
            <w:right w:w="108" w:type="dxa"/>
          </w:tblCellMar>
        </w:tblPrEx>
        <w:trPr>
          <w:trHeight w:val="300" w:hRule="atLeast"/>
          <w:jc w:val="center"/>
        </w:trPr>
        <w:tc>
          <w:tcPr>
            <w:tcW w:w="4017" w:type="dxa"/>
            <w:gridSpan w:val="2"/>
            <w:tcBorders>
              <w:top w:val="nil"/>
              <w:left w:val="nil"/>
              <w:bottom w:val="single" w:color="808080" w:sz="4" w:space="0"/>
              <w:right w:val="nil"/>
            </w:tcBorders>
            <w:shd w:val="clear" w:color="auto" w:fill="auto"/>
            <w:vAlign w:val="center"/>
          </w:tcPr>
          <w:p>
            <w:pPr>
              <w:textAlignment w:val="center"/>
              <w:rPr>
                <w:color w:val="000000"/>
                <w:sz w:val="18"/>
                <w:szCs w:val="18"/>
              </w:rPr>
            </w:pPr>
            <w:r>
              <w:rPr>
                <w:rFonts w:hint="eastAsia"/>
                <w:color w:val="000000"/>
                <w:sz w:val="18"/>
                <w:szCs w:val="18"/>
              </w:rPr>
              <w:t>公开部门：重庆市垫江县民政局</w:t>
            </w:r>
          </w:p>
        </w:tc>
        <w:tc>
          <w:tcPr>
            <w:tcW w:w="981" w:type="dxa"/>
            <w:tcBorders>
              <w:top w:val="nil"/>
              <w:left w:val="nil"/>
              <w:bottom w:val="single" w:color="808080" w:sz="4" w:space="0"/>
              <w:right w:val="nil"/>
            </w:tcBorders>
            <w:shd w:val="clear" w:color="auto" w:fill="auto"/>
            <w:noWrap/>
            <w:vAlign w:val="center"/>
          </w:tcPr>
          <w:p>
            <w:pPr>
              <w:jc w:val="center"/>
              <w:textAlignment w:val="center"/>
              <w:rPr>
                <w:color w:val="000000"/>
                <w:sz w:val="18"/>
                <w:szCs w:val="18"/>
              </w:rPr>
            </w:pPr>
            <w:r>
              <w:rPr>
                <w:rFonts w:hint="eastAsia"/>
                <w:color w:val="000000"/>
                <w:sz w:val="18"/>
                <w:szCs w:val="18"/>
              </w:rPr>
              <w:t>2020年度</w:t>
            </w:r>
          </w:p>
        </w:tc>
        <w:tc>
          <w:tcPr>
            <w:tcW w:w="4017" w:type="dxa"/>
            <w:gridSpan w:val="2"/>
            <w:tcBorders>
              <w:top w:val="nil"/>
              <w:left w:val="nil"/>
              <w:bottom w:val="single" w:color="808080" w:sz="4" w:space="0"/>
              <w:right w:val="nil"/>
            </w:tcBorders>
            <w:shd w:val="clear" w:color="auto" w:fill="auto"/>
            <w:noWrap/>
            <w:vAlign w:val="center"/>
          </w:tcPr>
          <w:p>
            <w:pPr>
              <w:jc w:val="right"/>
              <w:textAlignment w:val="center"/>
              <w:rPr>
                <w:color w:val="000000"/>
                <w:sz w:val="18"/>
                <w:szCs w:val="18"/>
              </w:rPr>
            </w:pPr>
            <w:r>
              <w:rPr>
                <w:rFonts w:hint="eastAsia"/>
                <w:color w:val="000000"/>
                <w:sz w:val="18"/>
                <w:szCs w:val="18"/>
              </w:rPr>
              <w:t>单位：万元</w:t>
            </w:r>
          </w:p>
        </w:tc>
      </w:tr>
      <w:tr>
        <w:tblPrEx>
          <w:tblLayout w:type="fixed"/>
          <w:tblCellMar>
            <w:top w:w="0" w:type="dxa"/>
            <w:left w:w="108" w:type="dxa"/>
            <w:bottom w:w="0" w:type="dxa"/>
            <w:right w:w="108" w:type="dxa"/>
          </w:tblCellMar>
        </w:tblPrEx>
        <w:trPr>
          <w:trHeight w:val="45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项  目</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预算数</w:t>
            </w:r>
          </w:p>
        </w:tc>
        <w:tc>
          <w:tcPr>
            <w:tcW w:w="981" w:type="dxa"/>
            <w:tcBorders>
              <w:top w:val="nil"/>
              <w:left w:val="nil"/>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决算数</w:t>
            </w:r>
          </w:p>
        </w:tc>
        <w:tc>
          <w:tcPr>
            <w:tcW w:w="3162" w:type="dxa"/>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项  目</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b/>
                <w:bCs/>
                <w:color w:val="000000"/>
                <w:sz w:val="18"/>
                <w:szCs w:val="18"/>
              </w:rPr>
            </w:pPr>
            <w:r>
              <w:rPr>
                <w:rFonts w:hint="eastAsia"/>
                <w:b/>
                <w:bCs/>
                <w:color w:val="000000"/>
                <w:sz w:val="18"/>
                <w:szCs w:val="18"/>
              </w:rPr>
              <w:t>决算数</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一、“三公”经费支出</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四、机关运行经费</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103.91</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（一）支出合计</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25.07</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22.84</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（一）行政单位</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95.08</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1．因公出国（境）费</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（二）参照公务员法管理事业单位</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8.83</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2．公务用车购置及运行维护费</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19.80</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18.38</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五、国有资产占用情况</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（1）公务用车购置费</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（一）车辆数合计（辆）</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8</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（2）公务用车运行维护费</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19.80</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18.38</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1.副部（省）级及以上领导用车</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3．公务接待费</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5.27</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4.47</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2.主要领导干部用车</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（1）国内接待费</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4.47</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3.机要通信用车</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其中：外事接待费</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4.应急保障用车</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（2）国（境）外接待费</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0.00</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5.执法执勤用车</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（二）相关统计数</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6.特种专业技术用车</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1．因公出国（境）团组数（个）</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7.离退休干部用车</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2．因公出国（境）人次数（人）</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8.其他用车</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3．公务用车购置数（辆）</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（二）单价50万元（含）以上通用设备（台，套）</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1</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4．公务用车保有量（辆）</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8</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（三）单价100万（含）元以上专用设备（台，套）</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5．国内公务接待批次（个）</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44</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b/>
                <w:bCs/>
                <w:color w:val="000000"/>
                <w:sz w:val="18"/>
                <w:szCs w:val="18"/>
              </w:rPr>
            </w:pPr>
            <w:r>
              <w:rPr>
                <w:rFonts w:hint="eastAsia"/>
                <w:b/>
                <w:bCs/>
                <w:color w:val="000000"/>
                <w:sz w:val="18"/>
                <w:szCs w:val="18"/>
              </w:rPr>
              <w:t>六、政府采购支出信息</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其中：外事接待批次（个）</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（一）政府采购支出合计</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669.48</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6．国内公务接待人次（人）</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593</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1．政府采购货物支出</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419.19</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其中：外事接待人次（人）</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2．政府采购工程支出</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25.47</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7．国（境）外公务接待批次（个）</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3．政府采购服务支出</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224.83</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8．国（境）外公务接待人次（人）</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（二）政府采购授予中小企业合同金额</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669.48</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二、会议费</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0.23</w:t>
            </w:r>
          </w:p>
        </w:tc>
        <w:tc>
          <w:tcPr>
            <w:tcW w:w="3162" w:type="dxa"/>
            <w:tcBorders>
              <w:top w:val="nil"/>
              <w:left w:val="nil"/>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 xml:space="preserve">        其中：授予小微企业合同金额</w:t>
            </w:r>
          </w:p>
        </w:tc>
        <w:tc>
          <w:tcPr>
            <w:tcW w:w="855"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669.48</w:t>
            </w:r>
          </w:p>
        </w:tc>
      </w:tr>
      <w:tr>
        <w:tblPrEx>
          <w:tblLayout w:type="fixed"/>
          <w:tblCellMar>
            <w:top w:w="0" w:type="dxa"/>
            <w:left w:w="108" w:type="dxa"/>
            <w:bottom w:w="0" w:type="dxa"/>
            <w:right w:w="108" w:type="dxa"/>
          </w:tblCellMar>
        </w:tblPrEx>
        <w:trPr>
          <w:trHeight w:val="300" w:hRule="atLeast"/>
          <w:jc w:val="center"/>
        </w:trPr>
        <w:tc>
          <w:tcPr>
            <w:tcW w:w="3162" w:type="dxa"/>
            <w:tcBorders>
              <w:top w:val="nil"/>
              <w:left w:val="single" w:color="000000" w:sz="4" w:space="0"/>
              <w:bottom w:val="single" w:color="000000" w:sz="4" w:space="0"/>
              <w:right w:val="single" w:color="000000" w:sz="4" w:space="0"/>
            </w:tcBorders>
            <w:shd w:val="clear" w:color="auto" w:fill="auto"/>
            <w:vAlign w:val="center"/>
          </w:tcPr>
          <w:p>
            <w:pPr>
              <w:textAlignment w:val="center"/>
              <w:rPr>
                <w:color w:val="000000"/>
                <w:sz w:val="18"/>
                <w:szCs w:val="18"/>
              </w:rPr>
            </w:pPr>
            <w:r>
              <w:rPr>
                <w:rFonts w:hint="eastAsia"/>
                <w:color w:val="000000"/>
                <w:sz w:val="18"/>
                <w:szCs w:val="18"/>
              </w:rPr>
              <w:t>三、培训费</w:t>
            </w:r>
          </w:p>
        </w:tc>
        <w:tc>
          <w:tcPr>
            <w:tcW w:w="855" w:type="dxa"/>
            <w:tcBorders>
              <w:top w:val="nil"/>
              <w:left w:val="nil"/>
              <w:bottom w:val="single" w:color="000000" w:sz="4" w:space="0"/>
              <w:right w:val="single" w:color="000000" w:sz="4" w:space="0"/>
            </w:tcBorders>
            <w:shd w:val="clear" w:color="auto" w:fill="auto"/>
            <w:noWrap/>
            <w:vAlign w:val="center"/>
          </w:tcPr>
          <w:p>
            <w:pPr>
              <w:jc w:val="center"/>
              <w:textAlignment w:val="center"/>
              <w:rPr>
                <w:color w:val="000000"/>
                <w:sz w:val="18"/>
                <w:szCs w:val="18"/>
              </w:rPr>
            </w:pPr>
            <w:r>
              <w:rPr>
                <w:rFonts w:hint="eastAsia"/>
                <w:color w:val="00000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jc w:val="right"/>
              <w:textAlignment w:val="center"/>
              <w:rPr>
                <w:color w:val="000000"/>
                <w:sz w:val="18"/>
                <w:szCs w:val="18"/>
              </w:rPr>
            </w:pPr>
            <w:r>
              <w:rPr>
                <w:rFonts w:hint="eastAsia"/>
                <w:color w:val="000000"/>
                <w:sz w:val="18"/>
                <w:szCs w:val="18"/>
              </w:rPr>
              <w:t>9.16</w:t>
            </w:r>
          </w:p>
        </w:tc>
        <w:tc>
          <w:tcPr>
            <w:tcW w:w="3162" w:type="dxa"/>
            <w:tcBorders>
              <w:top w:val="nil"/>
              <w:left w:val="nil"/>
              <w:bottom w:val="single" w:color="000000" w:sz="4" w:space="0"/>
              <w:right w:val="single" w:color="000000" w:sz="4" w:space="0"/>
            </w:tcBorders>
            <w:shd w:val="clear" w:color="auto" w:fill="auto"/>
            <w:vAlign w:val="center"/>
          </w:tcPr>
          <w:p>
            <w:pPr>
              <w:rPr>
                <w:color w:val="000000"/>
                <w:sz w:val="18"/>
                <w:szCs w:val="18"/>
              </w:rPr>
            </w:pPr>
          </w:p>
        </w:tc>
        <w:tc>
          <w:tcPr>
            <w:tcW w:w="855"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9015" w:type="dxa"/>
            <w:gridSpan w:val="5"/>
            <w:tcBorders>
              <w:top w:val="nil"/>
              <w:left w:val="nil"/>
              <w:bottom w:val="nil"/>
              <w:right w:val="nil"/>
            </w:tcBorders>
            <w:shd w:val="clear" w:color="auto" w:fill="auto"/>
            <w:vAlign w:val="center"/>
          </w:tcPr>
          <w:p>
            <w:pPr>
              <w:textAlignment w:val="center"/>
              <w:rPr>
                <w:color w:val="000000"/>
                <w:sz w:val="18"/>
                <w:szCs w:val="18"/>
              </w:rPr>
            </w:pPr>
            <w:r>
              <w:rPr>
                <w:rFonts w:hint="eastAsia"/>
                <w:color w:val="000000"/>
                <w:sz w:val="18"/>
                <w:szCs w:val="18"/>
              </w:rPr>
              <w:t>备注：预算数年初部门预算批复数，决算数包括当年财政拨款预算和以前年度结转结余资金安排的实际支出。</w:t>
            </w:r>
          </w:p>
        </w:tc>
      </w:tr>
      <w:tr>
        <w:tblPrEx>
          <w:tblLayout w:type="fixed"/>
          <w:tblCellMar>
            <w:top w:w="0" w:type="dxa"/>
            <w:left w:w="108" w:type="dxa"/>
            <w:bottom w:w="0" w:type="dxa"/>
            <w:right w:w="108" w:type="dxa"/>
          </w:tblCellMar>
        </w:tblPrEx>
        <w:trPr>
          <w:trHeight w:val="300" w:hRule="atLeast"/>
          <w:jc w:val="center"/>
        </w:trPr>
        <w:tc>
          <w:tcPr>
            <w:tcW w:w="9015" w:type="dxa"/>
            <w:gridSpan w:val="5"/>
            <w:tcBorders>
              <w:top w:val="nil"/>
              <w:left w:val="nil"/>
              <w:bottom w:val="nil"/>
              <w:right w:val="nil"/>
            </w:tcBorders>
            <w:shd w:val="clear" w:color="auto" w:fill="auto"/>
            <w:vAlign w:val="center"/>
          </w:tcPr>
          <w:p>
            <w:pPr>
              <w:textAlignment w:val="center"/>
              <w:rPr>
                <w:color w:val="000000"/>
                <w:sz w:val="18"/>
                <w:szCs w:val="18"/>
              </w:rPr>
            </w:pPr>
          </w:p>
        </w:tc>
      </w:tr>
    </w:tbl>
    <w:p>
      <w:p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page"/>
      </w:r>
    </w:p>
    <w:tbl>
      <w:tblPr>
        <w:tblStyle w:val="5"/>
        <w:tblW w:w="9061" w:type="dxa"/>
        <w:jc w:val="center"/>
        <w:tblInd w:w="0" w:type="dxa"/>
        <w:tblLayout w:type="fixed"/>
        <w:tblCellMar>
          <w:top w:w="0" w:type="dxa"/>
          <w:left w:w="108" w:type="dxa"/>
          <w:bottom w:w="0" w:type="dxa"/>
          <w:right w:w="108" w:type="dxa"/>
        </w:tblCellMar>
      </w:tblPr>
      <w:tblGrid>
        <w:gridCol w:w="547"/>
        <w:gridCol w:w="547"/>
        <w:gridCol w:w="547"/>
        <w:gridCol w:w="1426"/>
        <w:gridCol w:w="913"/>
        <w:gridCol w:w="913"/>
        <w:gridCol w:w="4168"/>
      </w:tblGrid>
      <w:tr>
        <w:tblPrEx>
          <w:tblLayout w:type="fixed"/>
          <w:tblCellMar>
            <w:top w:w="0" w:type="dxa"/>
            <w:left w:w="108" w:type="dxa"/>
            <w:bottom w:w="0" w:type="dxa"/>
            <w:right w:w="108" w:type="dxa"/>
          </w:tblCellMar>
        </w:tblPrEx>
        <w:trPr>
          <w:trHeight w:val="280" w:hRule="atLeast"/>
          <w:jc w:val="center"/>
        </w:trPr>
        <w:tc>
          <w:tcPr>
            <w:tcW w:w="9061" w:type="dxa"/>
            <w:gridSpan w:val="7"/>
            <w:tcBorders>
              <w:top w:val="nil"/>
              <w:left w:val="nil"/>
              <w:bottom w:val="nil"/>
              <w:right w:val="nil"/>
            </w:tcBorders>
            <w:shd w:val="clear" w:color="auto" w:fill="auto"/>
            <w:noWrap/>
            <w:vAlign w:val="bottom"/>
          </w:tcPr>
          <w:p>
            <w:pPr>
              <w:textAlignment w:val="bottom"/>
              <w:rPr>
                <w:color w:val="000000"/>
                <w:sz w:val="20"/>
                <w:szCs w:val="20"/>
              </w:rPr>
            </w:pPr>
            <w:r>
              <w:rPr>
                <w:rFonts w:hint="eastAsia"/>
                <w:color w:val="000000"/>
                <w:sz w:val="20"/>
                <w:szCs w:val="20"/>
              </w:rPr>
              <w:t>附件</w:t>
            </w:r>
            <w:r>
              <w:rPr>
                <w:rFonts w:ascii="Arial" w:hAnsi="Arial" w:cs="Arial"/>
                <w:color w:val="000000"/>
                <w:sz w:val="20"/>
                <w:szCs w:val="20"/>
              </w:rPr>
              <w:t>9</w:t>
            </w:r>
          </w:p>
        </w:tc>
      </w:tr>
      <w:tr>
        <w:tblPrEx>
          <w:tblLayout w:type="fixed"/>
          <w:tblCellMar>
            <w:top w:w="0" w:type="dxa"/>
            <w:left w:w="108" w:type="dxa"/>
            <w:bottom w:w="0" w:type="dxa"/>
            <w:right w:w="108" w:type="dxa"/>
          </w:tblCellMar>
        </w:tblPrEx>
        <w:trPr>
          <w:trHeight w:val="555" w:hRule="atLeast"/>
          <w:jc w:val="center"/>
        </w:trPr>
        <w:tc>
          <w:tcPr>
            <w:tcW w:w="9061" w:type="dxa"/>
            <w:gridSpan w:val="7"/>
            <w:tcBorders>
              <w:top w:val="nil"/>
              <w:left w:val="nil"/>
              <w:bottom w:val="nil"/>
              <w:right w:val="nil"/>
            </w:tcBorders>
            <w:shd w:val="clear" w:color="auto" w:fill="FFFFFF"/>
            <w:noWrap/>
            <w:vAlign w:val="center"/>
          </w:tcPr>
          <w:p>
            <w:pPr>
              <w:jc w:val="center"/>
              <w:textAlignment w:val="center"/>
              <w:rPr>
                <w:rFonts w:ascii="黑体" w:eastAsia="黑体" w:cs="黑体"/>
                <w:color w:val="000000"/>
                <w:sz w:val="36"/>
                <w:szCs w:val="36"/>
              </w:rPr>
            </w:pPr>
            <w:r>
              <w:rPr>
                <w:rFonts w:hint="eastAsia" w:ascii="黑体" w:eastAsia="黑体" w:cs="黑体"/>
                <w:color w:val="000000"/>
                <w:sz w:val="36"/>
                <w:szCs w:val="36"/>
              </w:rPr>
              <w:t>国有资本经营预算财政拨款支出决算表</w:t>
            </w:r>
          </w:p>
        </w:tc>
      </w:tr>
      <w:tr>
        <w:tblPrEx>
          <w:tblLayout w:type="fixed"/>
          <w:tblCellMar>
            <w:top w:w="0" w:type="dxa"/>
            <w:left w:w="108" w:type="dxa"/>
            <w:bottom w:w="0" w:type="dxa"/>
            <w:right w:w="108" w:type="dxa"/>
          </w:tblCellMar>
        </w:tblPrEx>
        <w:trPr>
          <w:trHeight w:val="300" w:hRule="atLeast"/>
          <w:jc w:val="center"/>
        </w:trPr>
        <w:tc>
          <w:tcPr>
            <w:tcW w:w="547" w:type="dxa"/>
            <w:tcBorders>
              <w:top w:val="nil"/>
              <w:left w:val="nil"/>
              <w:bottom w:val="nil"/>
              <w:right w:val="nil"/>
            </w:tcBorders>
            <w:shd w:val="clear" w:color="auto" w:fill="auto"/>
            <w:noWrap/>
            <w:vAlign w:val="center"/>
          </w:tcPr>
          <w:p>
            <w:pPr>
              <w:rPr>
                <w:color w:val="000000"/>
                <w:sz w:val="18"/>
                <w:szCs w:val="18"/>
              </w:rPr>
            </w:pPr>
          </w:p>
        </w:tc>
        <w:tc>
          <w:tcPr>
            <w:tcW w:w="547" w:type="dxa"/>
            <w:tcBorders>
              <w:top w:val="nil"/>
              <w:left w:val="nil"/>
              <w:bottom w:val="nil"/>
              <w:right w:val="nil"/>
            </w:tcBorders>
            <w:shd w:val="clear" w:color="auto" w:fill="auto"/>
            <w:noWrap/>
            <w:vAlign w:val="center"/>
          </w:tcPr>
          <w:p>
            <w:pPr>
              <w:rPr>
                <w:color w:val="000000"/>
                <w:sz w:val="18"/>
                <w:szCs w:val="18"/>
              </w:rPr>
            </w:pPr>
          </w:p>
        </w:tc>
        <w:tc>
          <w:tcPr>
            <w:tcW w:w="547" w:type="dxa"/>
            <w:tcBorders>
              <w:top w:val="nil"/>
              <w:left w:val="nil"/>
              <w:bottom w:val="nil"/>
              <w:right w:val="nil"/>
            </w:tcBorders>
            <w:shd w:val="clear" w:color="auto" w:fill="auto"/>
            <w:noWrap/>
            <w:vAlign w:val="center"/>
          </w:tcPr>
          <w:p>
            <w:pPr>
              <w:rPr>
                <w:color w:val="000000"/>
                <w:sz w:val="18"/>
                <w:szCs w:val="18"/>
              </w:rPr>
            </w:pPr>
          </w:p>
        </w:tc>
        <w:tc>
          <w:tcPr>
            <w:tcW w:w="1426" w:type="dxa"/>
            <w:tcBorders>
              <w:top w:val="nil"/>
              <w:left w:val="nil"/>
              <w:bottom w:val="nil"/>
              <w:right w:val="nil"/>
            </w:tcBorders>
            <w:shd w:val="clear" w:color="auto" w:fill="auto"/>
            <w:noWrap/>
            <w:vAlign w:val="center"/>
          </w:tcPr>
          <w:p>
            <w:pPr>
              <w:rPr>
                <w:color w:val="000000"/>
                <w:sz w:val="18"/>
                <w:szCs w:val="18"/>
              </w:rPr>
            </w:pPr>
          </w:p>
        </w:tc>
        <w:tc>
          <w:tcPr>
            <w:tcW w:w="913" w:type="dxa"/>
            <w:tcBorders>
              <w:top w:val="nil"/>
              <w:left w:val="nil"/>
              <w:bottom w:val="nil"/>
              <w:right w:val="nil"/>
            </w:tcBorders>
            <w:shd w:val="clear" w:color="auto" w:fill="auto"/>
            <w:noWrap/>
            <w:vAlign w:val="center"/>
          </w:tcPr>
          <w:p>
            <w:pPr>
              <w:rPr>
                <w:color w:val="000000"/>
                <w:sz w:val="18"/>
                <w:szCs w:val="18"/>
              </w:rPr>
            </w:pPr>
          </w:p>
        </w:tc>
        <w:tc>
          <w:tcPr>
            <w:tcW w:w="913" w:type="dxa"/>
            <w:tcBorders>
              <w:top w:val="nil"/>
              <w:left w:val="nil"/>
              <w:bottom w:val="nil"/>
              <w:right w:val="nil"/>
            </w:tcBorders>
            <w:shd w:val="clear" w:color="auto" w:fill="auto"/>
            <w:noWrap/>
            <w:vAlign w:val="center"/>
          </w:tcPr>
          <w:p>
            <w:pPr>
              <w:rPr>
                <w:color w:val="000000"/>
                <w:sz w:val="18"/>
                <w:szCs w:val="18"/>
              </w:rPr>
            </w:pPr>
          </w:p>
        </w:tc>
        <w:tc>
          <w:tcPr>
            <w:tcW w:w="4168" w:type="dxa"/>
            <w:tcBorders>
              <w:top w:val="nil"/>
              <w:left w:val="nil"/>
              <w:bottom w:val="nil"/>
              <w:right w:val="nil"/>
            </w:tcBorders>
            <w:shd w:val="clear" w:color="auto" w:fill="auto"/>
            <w:noWrap/>
            <w:vAlign w:val="center"/>
          </w:tcPr>
          <w:p>
            <w:pPr>
              <w:jc w:val="right"/>
              <w:textAlignment w:val="center"/>
              <w:rPr>
                <w:color w:val="000000"/>
                <w:sz w:val="18"/>
                <w:szCs w:val="18"/>
              </w:rPr>
            </w:pPr>
            <w:r>
              <w:rPr>
                <w:rFonts w:hint="eastAsia"/>
                <w:color w:val="000000"/>
                <w:sz w:val="18"/>
                <w:szCs w:val="18"/>
              </w:rPr>
              <w:t>公开09表</w:t>
            </w:r>
          </w:p>
        </w:tc>
      </w:tr>
      <w:tr>
        <w:tblPrEx>
          <w:tblLayout w:type="fixed"/>
          <w:tblCellMar>
            <w:top w:w="0" w:type="dxa"/>
            <w:left w:w="108" w:type="dxa"/>
            <w:bottom w:w="0" w:type="dxa"/>
            <w:right w:w="108" w:type="dxa"/>
          </w:tblCellMar>
        </w:tblPrEx>
        <w:trPr>
          <w:trHeight w:val="300" w:hRule="atLeast"/>
          <w:jc w:val="center"/>
        </w:trPr>
        <w:tc>
          <w:tcPr>
            <w:tcW w:w="3067" w:type="dxa"/>
            <w:gridSpan w:val="4"/>
            <w:tcBorders>
              <w:top w:val="nil"/>
              <w:left w:val="nil"/>
              <w:bottom w:val="single" w:color="808080" w:sz="4" w:space="0"/>
              <w:right w:val="nil"/>
            </w:tcBorders>
            <w:shd w:val="clear" w:color="auto" w:fill="auto"/>
            <w:noWrap/>
            <w:vAlign w:val="center"/>
          </w:tcPr>
          <w:p>
            <w:pPr>
              <w:textAlignment w:val="center"/>
              <w:rPr>
                <w:color w:val="000000"/>
                <w:sz w:val="18"/>
                <w:szCs w:val="18"/>
              </w:rPr>
            </w:pPr>
            <w:r>
              <w:rPr>
                <w:rFonts w:hint="eastAsia"/>
                <w:color w:val="000000"/>
                <w:sz w:val="18"/>
                <w:szCs w:val="18"/>
              </w:rPr>
              <w:t>公开部门：重庆市垫江县民政局</w:t>
            </w:r>
          </w:p>
        </w:tc>
        <w:tc>
          <w:tcPr>
            <w:tcW w:w="913" w:type="dxa"/>
            <w:tcBorders>
              <w:top w:val="nil"/>
              <w:left w:val="nil"/>
              <w:bottom w:val="single" w:color="808080" w:sz="4" w:space="0"/>
              <w:right w:val="nil"/>
            </w:tcBorders>
            <w:shd w:val="clear" w:color="auto" w:fill="auto"/>
            <w:noWrap/>
            <w:vAlign w:val="center"/>
          </w:tcPr>
          <w:p>
            <w:pPr>
              <w:jc w:val="center"/>
              <w:textAlignment w:val="center"/>
              <w:rPr>
                <w:color w:val="000000"/>
                <w:sz w:val="18"/>
                <w:szCs w:val="18"/>
              </w:rPr>
            </w:pPr>
            <w:r>
              <w:rPr>
                <w:rFonts w:hint="eastAsia"/>
                <w:color w:val="000000"/>
                <w:sz w:val="18"/>
                <w:szCs w:val="18"/>
              </w:rPr>
              <w:t>2020年度</w:t>
            </w:r>
          </w:p>
        </w:tc>
        <w:tc>
          <w:tcPr>
            <w:tcW w:w="913" w:type="dxa"/>
            <w:tcBorders>
              <w:top w:val="nil"/>
              <w:left w:val="nil"/>
              <w:bottom w:val="single" w:color="808080" w:sz="4" w:space="0"/>
              <w:right w:val="nil"/>
            </w:tcBorders>
            <w:shd w:val="clear" w:color="auto" w:fill="auto"/>
            <w:noWrap/>
            <w:vAlign w:val="center"/>
          </w:tcPr>
          <w:p>
            <w:pPr>
              <w:rPr>
                <w:color w:val="000000"/>
                <w:sz w:val="18"/>
                <w:szCs w:val="18"/>
              </w:rPr>
            </w:pPr>
          </w:p>
        </w:tc>
        <w:tc>
          <w:tcPr>
            <w:tcW w:w="4168" w:type="dxa"/>
            <w:tcBorders>
              <w:top w:val="nil"/>
              <w:left w:val="nil"/>
              <w:bottom w:val="single" w:color="808080" w:sz="4" w:space="0"/>
              <w:right w:val="nil"/>
            </w:tcBorders>
            <w:shd w:val="clear" w:color="auto" w:fill="auto"/>
            <w:noWrap/>
            <w:vAlign w:val="center"/>
          </w:tcPr>
          <w:p>
            <w:pPr>
              <w:jc w:val="right"/>
              <w:textAlignment w:val="center"/>
              <w:rPr>
                <w:color w:val="000000"/>
                <w:sz w:val="18"/>
                <w:szCs w:val="18"/>
              </w:rPr>
            </w:pPr>
            <w:r>
              <w:rPr>
                <w:rFonts w:hint="eastAsia"/>
                <w:color w:val="000000"/>
                <w:sz w:val="18"/>
                <w:szCs w:val="18"/>
              </w:rPr>
              <w:t>单位：万元</w:t>
            </w:r>
          </w:p>
        </w:tc>
      </w:tr>
      <w:tr>
        <w:tblPrEx>
          <w:tblLayout w:type="fixed"/>
          <w:tblCellMar>
            <w:top w:w="0" w:type="dxa"/>
            <w:left w:w="108" w:type="dxa"/>
            <w:bottom w:w="0" w:type="dxa"/>
            <w:right w:w="108" w:type="dxa"/>
          </w:tblCellMar>
        </w:tblPrEx>
        <w:trPr>
          <w:trHeight w:val="300" w:hRule="atLeast"/>
          <w:jc w:val="center"/>
        </w:trPr>
        <w:tc>
          <w:tcPr>
            <w:tcW w:w="3067" w:type="dxa"/>
            <w:gridSpan w:val="4"/>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项目</w:t>
            </w:r>
          </w:p>
        </w:tc>
        <w:tc>
          <w:tcPr>
            <w:tcW w:w="5994" w:type="dxa"/>
            <w:gridSpan w:val="3"/>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本年支出</w:t>
            </w:r>
          </w:p>
        </w:tc>
      </w:tr>
      <w:tr>
        <w:tblPrEx>
          <w:tblLayout w:type="fixed"/>
          <w:tblCellMar>
            <w:top w:w="0" w:type="dxa"/>
            <w:left w:w="108" w:type="dxa"/>
            <w:bottom w:w="0" w:type="dxa"/>
            <w:right w:w="108" w:type="dxa"/>
          </w:tblCellMar>
        </w:tblPrEx>
        <w:trPr>
          <w:trHeight w:val="312" w:hRule="atLeast"/>
          <w:jc w:val="center"/>
        </w:trPr>
        <w:tc>
          <w:tcPr>
            <w:tcW w:w="1641"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功能分类科目编码</w:t>
            </w:r>
          </w:p>
        </w:tc>
        <w:tc>
          <w:tcPr>
            <w:tcW w:w="1426"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科目名称</w:t>
            </w:r>
          </w:p>
        </w:tc>
        <w:tc>
          <w:tcPr>
            <w:tcW w:w="913"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合计</w:t>
            </w:r>
          </w:p>
        </w:tc>
        <w:tc>
          <w:tcPr>
            <w:tcW w:w="913"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基本支出</w:t>
            </w:r>
          </w:p>
        </w:tc>
        <w:tc>
          <w:tcPr>
            <w:tcW w:w="4168"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项目支出</w:t>
            </w:r>
          </w:p>
        </w:tc>
      </w:tr>
      <w:tr>
        <w:tblPrEx>
          <w:tblLayout w:type="fixed"/>
          <w:tblCellMar>
            <w:top w:w="0" w:type="dxa"/>
            <w:left w:w="108" w:type="dxa"/>
            <w:bottom w:w="0" w:type="dxa"/>
            <w:right w:w="108" w:type="dxa"/>
          </w:tblCellMar>
        </w:tblPrEx>
        <w:trPr>
          <w:trHeight w:val="312" w:hRule="atLeast"/>
          <w:jc w:val="center"/>
        </w:trPr>
        <w:tc>
          <w:tcPr>
            <w:tcW w:w="164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1426"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913"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913"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4168"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r>
      <w:tr>
        <w:tblPrEx>
          <w:tblLayout w:type="fixed"/>
          <w:tblCellMar>
            <w:top w:w="0" w:type="dxa"/>
            <w:left w:w="108" w:type="dxa"/>
            <w:bottom w:w="0" w:type="dxa"/>
            <w:right w:w="108" w:type="dxa"/>
          </w:tblCellMar>
        </w:tblPrEx>
        <w:trPr>
          <w:trHeight w:val="600" w:hRule="atLeast"/>
          <w:jc w:val="center"/>
        </w:trPr>
        <w:tc>
          <w:tcPr>
            <w:tcW w:w="164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b/>
                <w:bCs/>
                <w:color w:val="000000"/>
                <w:sz w:val="18"/>
                <w:szCs w:val="18"/>
              </w:rPr>
            </w:pPr>
          </w:p>
        </w:tc>
        <w:tc>
          <w:tcPr>
            <w:tcW w:w="1426"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913"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913"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c>
          <w:tcPr>
            <w:tcW w:w="4168" w:type="dxa"/>
            <w:vMerge w:val="continue"/>
            <w:tcBorders>
              <w:top w:val="nil"/>
              <w:left w:val="nil"/>
              <w:bottom w:val="single" w:color="000000" w:sz="4" w:space="0"/>
              <w:right w:val="single" w:color="000000" w:sz="4" w:space="0"/>
            </w:tcBorders>
            <w:shd w:val="clear" w:color="auto" w:fill="auto"/>
            <w:vAlign w:val="center"/>
          </w:tcPr>
          <w:p>
            <w:pPr>
              <w:jc w:val="center"/>
              <w:rPr>
                <w:b/>
                <w:bCs/>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3067" w:type="dxa"/>
            <w:gridSpan w:val="4"/>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18"/>
                <w:szCs w:val="18"/>
              </w:rPr>
            </w:pPr>
            <w:r>
              <w:rPr>
                <w:rFonts w:hint="eastAsia"/>
                <w:b/>
                <w:bCs/>
                <w:color w:val="000000"/>
                <w:sz w:val="18"/>
                <w:szCs w:val="18"/>
              </w:rPr>
              <w:t>合计</w:t>
            </w:r>
          </w:p>
        </w:tc>
        <w:tc>
          <w:tcPr>
            <w:tcW w:w="91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91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416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1641" w:type="dxa"/>
            <w:gridSpan w:val="3"/>
            <w:tcBorders>
              <w:top w:val="nil"/>
              <w:left w:val="single" w:color="000000" w:sz="4" w:space="0"/>
              <w:bottom w:val="single" w:color="000000" w:sz="4" w:space="0"/>
              <w:right w:val="single" w:color="000000" w:sz="4" w:space="0"/>
            </w:tcBorders>
            <w:shd w:val="clear" w:color="auto" w:fill="auto"/>
            <w:noWrap/>
            <w:vAlign w:val="center"/>
          </w:tcPr>
          <w:p>
            <w:pPr>
              <w:rPr>
                <w:color w:val="000000"/>
                <w:sz w:val="18"/>
                <w:szCs w:val="18"/>
              </w:rPr>
            </w:pPr>
          </w:p>
        </w:tc>
        <w:tc>
          <w:tcPr>
            <w:tcW w:w="1426" w:type="dxa"/>
            <w:tcBorders>
              <w:top w:val="nil"/>
              <w:left w:val="nil"/>
              <w:bottom w:val="single" w:color="000000" w:sz="4" w:space="0"/>
              <w:right w:val="single" w:color="000000" w:sz="4" w:space="0"/>
            </w:tcBorders>
            <w:shd w:val="clear" w:color="auto" w:fill="auto"/>
            <w:noWrap/>
            <w:vAlign w:val="center"/>
          </w:tcPr>
          <w:p>
            <w:pPr>
              <w:rPr>
                <w:color w:val="000000"/>
                <w:sz w:val="18"/>
                <w:szCs w:val="18"/>
              </w:rPr>
            </w:pPr>
          </w:p>
        </w:tc>
        <w:tc>
          <w:tcPr>
            <w:tcW w:w="91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913"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c>
          <w:tcPr>
            <w:tcW w:w="4168" w:type="dxa"/>
            <w:tcBorders>
              <w:top w:val="nil"/>
              <w:left w:val="nil"/>
              <w:bottom w:val="single" w:color="000000" w:sz="4" w:space="0"/>
              <w:right w:val="single" w:color="000000" w:sz="4" w:space="0"/>
            </w:tcBorders>
            <w:shd w:val="clear" w:color="auto" w:fill="auto"/>
            <w:noWrap/>
            <w:vAlign w:val="center"/>
          </w:tcPr>
          <w:p>
            <w:pPr>
              <w:jc w:val="right"/>
              <w:rPr>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9061" w:type="dxa"/>
            <w:gridSpan w:val="7"/>
            <w:tcBorders>
              <w:top w:val="nil"/>
              <w:left w:val="nil"/>
              <w:bottom w:val="nil"/>
              <w:right w:val="nil"/>
            </w:tcBorders>
            <w:shd w:val="clear" w:color="auto" w:fill="auto"/>
            <w:noWrap/>
            <w:vAlign w:val="center"/>
          </w:tcPr>
          <w:p>
            <w:pPr>
              <w:textAlignment w:val="center"/>
              <w:rPr>
                <w:color w:val="000000"/>
                <w:sz w:val="18"/>
                <w:szCs w:val="18"/>
              </w:rPr>
            </w:pPr>
            <w:r>
              <w:rPr>
                <w:rFonts w:hint="eastAsia"/>
                <w:color w:val="000000"/>
                <w:sz w:val="18"/>
                <w:szCs w:val="18"/>
              </w:rPr>
              <w:t>备注：本单位无国有资产经营预算财政拨款支出决算，故本表为空。</w:t>
            </w:r>
          </w:p>
        </w:tc>
      </w:tr>
    </w:tbl>
    <w:p>
      <w:pPr>
        <w:shd w:val="clear" w:color="auto" w:fill="FFFFFF"/>
        <w:spacing w:line="520" w:lineRule="exact"/>
        <w:jc w:val="both"/>
        <w:rPr>
          <w:rFonts w:ascii="方正仿宋_GBK" w:hAnsi="方正仿宋_GBK" w:eastAsia="方正仿宋_GBK" w:cs="方正仿宋_GBK"/>
          <w:color w:val="000000"/>
          <w:sz w:val="32"/>
          <w:szCs w:val="32"/>
        </w:rPr>
      </w:pPr>
    </w:p>
    <w:sectPr>
      <w:footerReference r:id="rId3" w:type="default"/>
      <w:pgSz w:w="11906" w:h="16838"/>
      <w:pgMar w:top="2098" w:right="1474" w:bottom="1984" w:left="1587" w:header="851" w:footer="138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12541"/>
    <w:rsid w:val="00013641"/>
    <w:rsid w:val="00101F49"/>
    <w:rsid w:val="00165990"/>
    <w:rsid w:val="00211C73"/>
    <w:rsid w:val="00270416"/>
    <w:rsid w:val="002934F6"/>
    <w:rsid w:val="00297B90"/>
    <w:rsid w:val="002A7E23"/>
    <w:rsid w:val="002D73FA"/>
    <w:rsid w:val="002F68B7"/>
    <w:rsid w:val="00321DA3"/>
    <w:rsid w:val="00325150"/>
    <w:rsid w:val="00354829"/>
    <w:rsid w:val="00371747"/>
    <w:rsid w:val="003835B5"/>
    <w:rsid w:val="003E4DE2"/>
    <w:rsid w:val="00422773"/>
    <w:rsid w:val="004267B5"/>
    <w:rsid w:val="004637D7"/>
    <w:rsid w:val="004F1B95"/>
    <w:rsid w:val="00500393"/>
    <w:rsid w:val="005005A6"/>
    <w:rsid w:val="005436F3"/>
    <w:rsid w:val="005C1405"/>
    <w:rsid w:val="006077DF"/>
    <w:rsid w:val="00697F03"/>
    <w:rsid w:val="006F567D"/>
    <w:rsid w:val="0078225A"/>
    <w:rsid w:val="007B1220"/>
    <w:rsid w:val="007C5C66"/>
    <w:rsid w:val="0081295A"/>
    <w:rsid w:val="00834832"/>
    <w:rsid w:val="008A0C71"/>
    <w:rsid w:val="008C5CD4"/>
    <w:rsid w:val="008F3404"/>
    <w:rsid w:val="0091097C"/>
    <w:rsid w:val="00937D0B"/>
    <w:rsid w:val="009831DF"/>
    <w:rsid w:val="009C1E51"/>
    <w:rsid w:val="00B06A68"/>
    <w:rsid w:val="00BB6C0D"/>
    <w:rsid w:val="00BC0CF0"/>
    <w:rsid w:val="00C76C54"/>
    <w:rsid w:val="00C817D5"/>
    <w:rsid w:val="00CB6021"/>
    <w:rsid w:val="00E10FDD"/>
    <w:rsid w:val="00E12541"/>
    <w:rsid w:val="00EB4510"/>
    <w:rsid w:val="00EC0539"/>
    <w:rsid w:val="00EF4549"/>
    <w:rsid w:val="00F00794"/>
    <w:rsid w:val="00F17701"/>
    <w:rsid w:val="00F37D35"/>
    <w:rsid w:val="17A629BE"/>
    <w:rsid w:val="39B3256D"/>
    <w:rsid w:val="3EA23677"/>
    <w:rsid w:val="44291A1A"/>
    <w:rsid w:val="449C124D"/>
    <w:rsid w:val="4D270DD9"/>
    <w:rsid w:val="70F00B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font41"/>
    <w:basedOn w:val="6"/>
    <w:qFormat/>
    <w:uiPriority w:val="0"/>
    <w:rPr>
      <w:rFonts w:ascii="Arial" w:hAnsi="Arial" w:cs="Arial"/>
      <w:color w:val="000000"/>
      <w:sz w:val="18"/>
      <w:szCs w:val="18"/>
      <w:u w:val="none"/>
    </w:rPr>
  </w:style>
  <w:style w:type="character" w:customStyle="1" w:styleId="11">
    <w:name w:val="font01"/>
    <w:basedOn w:val="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15432</Words>
  <Characters>22829</Characters>
  <Lines>187</Lines>
  <Paragraphs>52</Paragraphs>
  <TotalTime>19</TotalTime>
  <ScaleCrop>false</ScaleCrop>
  <LinksUpToDate>false</LinksUpToDate>
  <CharactersWithSpaces>23316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2021-08-26T02:21:00Z</dcterms:created>
  <dc:creator>AutoBVT</dc:creator>
  <cp:lastModifiedBy>Administrator</cp:lastModifiedBy>
  <dcterms:modified xsi:type="dcterms:W3CDTF">2025-07-01T03:31:03Z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7D3E6AA25B71415D88C278C50CBA7512</vt:lpwstr>
  </property>
</Properties>
</file>