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一、部门基本情况</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垫江县民政局是县政府工作部门，为正科级。垫江县民政局贯彻落实党中央、市委和县委关于民政工作的方针政策和决策部署，在履行职责过程中坚持和加强党对民政工作的集中统一领导。主要职责是：</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1.负责贯彻执行民政事业法律、法规和方针政策，拟订全县民政事业发展规划和规范性文件，并组织实施和监督检查。</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2.负责拟订全县社会团体、社会服务机构登记和监督管理办法并组织实施，依法对全县社会组织进行登记管理和执法监督。</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3.负责贯彻执行社会救助政策，负责全县城乡居民最低生活保障、特困人员救助供养、临时救助、生活无着流浪乞讨人员救助等工作。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4.负责指导村民委员会和居民委员会的民主选举、民主决策、民主管理工作，指导村(居)民委员会建设和城乡社区服务体系建设，推动村(居)务公开和基层民主政治建设。</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5.负责贯彻执行社区治理政策，指导城乡社区治理体系和治理能力建设。</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6.负责报县政府审批的全县村(居)建制调整的审核工作，负责全县乡镇(街道)以上行政区域界线勘定和县内乡镇(街道)之间行政区域界线争议调处工作，负责界线管理工作。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7.负责报县政府审批的全县道路、桥梁、新建居民区等地理实体的命名、更名审核工作，负责县城地名标志设置和管理工作，负责全县地名档案收集和管理工作。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8.负责组织贯彻落实婚姻登记相关法律、法规和政策，依法开展婚姻登记，推进婚俗改革。</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9.负责拟订全县殡葬管理服务规范并组织监督实施，推进殡葬改革。</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10.统筹推进、督促指导、监督管理养老服务工作，负责拟订全县养老服务体系建设规划、标准并组织实施，承担老年人和特殊困难老年人救助工作。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11.负责牵头落实残疾人权益保护政策，统筹推进残疾人福利制度建设。</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12.负责贯彻执行全县儿童福利、孤弃儿童保障、儿童收养、儿童救助保护政策，健全农村留守儿童关爱保护体系和困境儿童保障机制。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13.负责组织落实促进慈善事业发展政策，指导社会捐助工作，负责全县福利彩票管理工作。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14.负责拟订全县社会工作、志愿服务规划并组织实施，会同有关部门推进社会工作人才队伍建设和志愿者队伍建设。</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15.负责机关、所属事业单位党建工作。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16.完成县委、县政府交办的其他任务。</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17.职能转变。垫江县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18.有关职责分工。</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与垫江县卫生健康委员会的有关职责分工。垫江县民政局负责统筹推进、督促指导、监督管理养老服务工作，拟订全县养老服务体系建设规划并组织实施，承担老年人福利和特殊困难老年人救助工作。垫江县卫生健康委员会负责拟订应对人口老龄化、医养结合措施，综合协调、督查指导、组织推进老龄事业发展，承担老年疾病防治、老年人医疗照护、老年人心理健康与关怀服务等老年健康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(2)与垫江县规划和自然资源局的有关职责分工。垫江县民政局会同垫江县规划和自然资源局组织编制公布垫江县行政区划信息的行政区划图。</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(二)机构设置</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1.办公室</w:t>
      </w:r>
      <w:r>
        <w:rPr>
          <w:rFonts w:hint="eastAsia" w:ascii="方正仿宋_GBK" w:hAnsi="方正仿宋_GBK" w:eastAsia="方正仿宋_GBK" w:cs="方正仿宋_GBK"/>
          <w:color w:val="000000"/>
          <w:sz w:val="24"/>
          <w:szCs w:val="24"/>
        </w:rPr>
        <w:t>。负责拟订全县民政事业发展规划、综合性文件和机关各种规章制度，承办会议会务，负责机关公文运转、目标考核、机要保密、档案管理、政务信息、新闻发布、督查督办、政务值班等工作。负责党的建设和全面从严治党工作，负责机关及下属单位组织人事、机构编制、离退休职工管理工作，负责机关统一战线、民族宗教工作，负责机关群团工作。负责行政执法工作，负责机关综合治理、信访稳定、安全保卫工作。负责民政事业经费、机关行政经费预决算和日常管理，负责国有资产管理和基建工作。负责机关内部控制、内部审计及其他机关事务。</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2.社会救助和儿童福利科</w:t>
      </w:r>
      <w:r>
        <w:rPr>
          <w:rFonts w:hint="eastAsia" w:ascii="方正仿宋_GBK" w:hAnsi="方正仿宋_GBK" w:eastAsia="方正仿宋_GBK" w:cs="方正仿宋_GBK"/>
          <w:color w:val="000000"/>
          <w:sz w:val="24"/>
          <w:szCs w:val="24"/>
        </w:rPr>
        <w:t>。负责拟订全县城乡居民最低生活保障、特困人员救助供养、临时救助等社会救助规划、实施办法，负责全县最低生活保障、特困人员救助供养、临时救助投入资金分配和监管工作，负责参与拟订全县住房、教育、司法等相关救助办法，承担全县城乡居民最低生活保障、特困人员救助供养、临时救助管理工作，承办精简职工和遗属等社会救助工作，指导社会救助家庭经济状况核查认定工作。负责贯彻落实儿童福利、孤弃儿童保障、儿童收养、儿童救助保护政策，负责孤儿供养、困境儿童保障、受艾滋病影响儿童、流浪乞讨儿童救助、未成年人救助保护、农村留守儿童关爱保护工作，负责儿童福利机构建设管理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3.基层政权建设和区划地名科</w:t>
      </w:r>
      <w:r>
        <w:rPr>
          <w:rFonts w:hint="eastAsia" w:ascii="方正仿宋_GBK" w:hAnsi="方正仿宋_GBK" w:eastAsia="方正仿宋_GBK" w:cs="方正仿宋_GBK"/>
          <w:color w:val="000000"/>
          <w:sz w:val="24"/>
          <w:szCs w:val="24"/>
        </w:rPr>
        <w:t>。负责基层民主政治建设和社区治理工作，负责拟订全县城乡基层群众自治建设和社区治理办法并指导实施，指导村(居)民委员会民主选举、民主决策、民主管理工作。负责拟订行政区划、地名管理和行政区域界线管理规范性文件，负责提请县政府审批的全县村(居)建制调整的审核工作，负责组织起草以县政府名义向市政府呈报的行政区划设立、命名、变更和政府驻地迁移等有关文件。负责提请县政府审批的全县道路、桥梁、新建居民区等地理实体的命名、更名审核工作，负责县城地名标志设置和管理工作，负责全县地名档案收集和管理工作。负责全县乡镇、街道以上行政区域界线勘定和县内乡镇、街道之间行政区域界线争议调处工作，负责界线管理工作，承办省级、县级界线联合检查和负责全县界线管理工作的指导及边界纠纷的调处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4.养老服务和社会事务科</w:t>
      </w:r>
      <w:r>
        <w:rPr>
          <w:rFonts w:hint="eastAsia" w:ascii="方正仿宋_GBK" w:hAnsi="方正仿宋_GBK" w:eastAsia="方正仿宋_GBK" w:cs="方正仿宋_GBK"/>
          <w:color w:val="000000"/>
          <w:sz w:val="24"/>
          <w:szCs w:val="24"/>
        </w:rPr>
        <w:t>。负责拟订全县养老服务体系建设和发展规划并组织实施，负责监督管理养老服务工作，承担老年人、残疾人福利工作，推进农村留守老年人关爱服务工作，负责指导、监督、管理特困人员救助供养机构和其它养老服务机构。负责指导、监督婚姻登记机关和社会福利、殡葬服务、生活无着流浪乞讨人员救助管理机构有关工作。负责拟订全县殡葬事业发展规划并组织实施，推进殡葬改革。</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5.慈善事业促进和社会工作科</w:t>
      </w:r>
      <w:r>
        <w:rPr>
          <w:rFonts w:hint="eastAsia" w:ascii="方正仿宋_GBK" w:hAnsi="方正仿宋_GBK" w:eastAsia="方正仿宋_GBK" w:cs="方正仿宋_GBK"/>
          <w:color w:val="000000"/>
          <w:sz w:val="24"/>
          <w:szCs w:val="24"/>
        </w:rPr>
        <w:t>。负责全县福利彩票管理具体工作。负责拟订全县慈善事业发展规划并组织实施，指导全县慈善工作。负责拟订全县社会工作发展规划并组织实施，负责社会工作和志愿者队伍建设工作。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sz w:val="24"/>
          <w:szCs w:val="24"/>
        </w:rPr>
        <w:t>6.社会组织管理科(行政许可服务科)</w:t>
      </w:r>
      <w:r>
        <w:rPr>
          <w:rFonts w:hint="eastAsia" w:ascii="方正仿宋_GBK" w:hAnsi="方正仿宋_GBK" w:eastAsia="方正仿宋_GBK" w:cs="方正仿宋_GBK"/>
          <w:color w:val="000000"/>
          <w:sz w:val="24"/>
          <w:szCs w:val="24"/>
        </w:rPr>
        <w:t>。负责拟订全县社会团体、社会服务机构登记管理办法，按照管理权限对社会组织进行登记、管理、监督。贯彻执行《中华人民共和国行政许可法》，承担全县民政行政审批服务工作，推进行政审批制度改革工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(三)单位构成</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从预算单位构成看，纳入本部门2021年度决算编制的二级预算单位主要包括垫江县民政局（本级）、垫江县社会福利院、垫江县救助管理站、垫江县殡仪馆。</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二、部门决算情况说明</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1.总体情况。</w:t>
      </w:r>
      <w:r>
        <w:rPr>
          <w:rFonts w:hint="eastAsia" w:ascii="方正仿宋_GBK" w:hAnsi="方正仿宋_GBK" w:eastAsia="方正仿宋_GBK" w:cs="方正仿宋_GBK"/>
          <w:sz w:val="24"/>
          <w:szCs w:val="24"/>
        </w:rPr>
        <w:t>2021年度收入总计17,544.09万元，支出总计17,544.09万元。收支较上年决算数减少11,291.57万元、下降39.2%，主要原因是中央和市级拨款资金减少，其中中央资金抗疫特别国债安排2020年的收入3243.16万，2021年没有。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color w:val="FF0000"/>
          <w:sz w:val="24"/>
          <w:szCs w:val="24"/>
          <w:shd w:val="clear" w:color="auto" w:fill="FFFF00"/>
        </w:rPr>
      </w:pPr>
      <w:r>
        <w:rPr>
          <w:rStyle w:val="8"/>
          <w:rFonts w:hint="eastAsia" w:ascii="方正仿宋_GBK" w:hAnsi="方正仿宋_GBK" w:eastAsia="方正仿宋_GBK" w:cs="方正仿宋_GBK"/>
          <w:sz w:val="24"/>
          <w:szCs w:val="24"/>
        </w:rPr>
        <w:t>2.收入情况。</w:t>
      </w:r>
      <w:r>
        <w:rPr>
          <w:rFonts w:hint="eastAsia" w:ascii="方正仿宋_GBK" w:hAnsi="方正仿宋_GBK" w:eastAsia="方正仿宋_GBK" w:cs="方正仿宋_GBK"/>
          <w:sz w:val="24"/>
          <w:szCs w:val="24"/>
        </w:rPr>
        <w:t>2021年度收入合计15,844.06万元，较上年决算数减少5,173.03万元，下降24.6%，主要原因是中央和市级拨款资金减少，特别是中央资金抗疫特别国债资金相较于2020年少安排3242.16万。其中：财政拨款收入15,844.06万元，占100.0%。此外，使用非财政拨款结余0万元，年初结转和结余1,700.03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Style w:val="8"/>
          <w:rFonts w:hint="eastAsia" w:ascii="方正仿宋_GBK" w:hAnsi="方正仿宋_GBK" w:eastAsia="方正仿宋_GBK" w:cs="方正仿宋_GBK"/>
          <w:sz w:val="24"/>
          <w:szCs w:val="24"/>
        </w:rPr>
        <w:t>3.支出情况。</w:t>
      </w:r>
      <w:r>
        <w:rPr>
          <w:rFonts w:hint="eastAsia" w:ascii="方正仿宋_GBK" w:hAnsi="方正仿宋_GBK" w:eastAsia="方正仿宋_GBK" w:cs="方正仿宋_GBK"/>
          <w:sz w:val="24"/>
          <w:szCs w:val="24"/>
        </w:rPr>
        <w:t>2021年度支出合计17,398.22万元，较上年决算数减少7,906.42万元，下降31.2%，主要原因是今年少了中央资金抗疫特别国债支出3242.16万元。其中：基本支出1,453.05万元，占8.4%；项目支出15,945.18万元，占91.6%。</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2" w:firstLineChars="200"/>
        <w:jc w:val="both"/>
        <w:textAlignment w:val="auto"/>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4.结转结余情况。</w:t>
      </w:r>
      <w:r>
        <w:rPr>
          <w:rFonts w:hint="eastAsia" w:ascii="方正仿宋_GBK" w:hAnsi="方正仿宋_GBK" w:eastAsia="方正仿宋_GBK" w:cs="方正仿宋_GBK"/>
          <w:sz w:val="24"/>
          <w:szCs w:val="24"/>
        </w:rPr>
        <w:t>2021年度年末结转和结余145.87万元，较上年决算数减少3,385.15万元，下降95.9%，主要原因是2020殡仪馆其他地方自行试点项目收益专项债券收入安排的支出结余992.79万元，救助站结余流浪乞讨经费394.41万元，本级结转儿童福利70.44万元，老年福利252万元，城乡最低生活保障1454万元，而2021年上述结余已经支付，唯有政府基金结余145万。</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（二）财政拨款收入支出决算总体情况说明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Style w:val="8"/>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2021年度财政拨款收、支总计17,544.09万元。与2020年相比，财政拨款收、支总计各减少11,291.57万元，下降39.2%。主要原因是今年少了中央资金抗疫特别国债支出3242.16万元。</w:t>
      </w:r>
      <w:r>
        <w:rPr>
          <w:rStyle w:val="8"/>
          <w:rFonts w:hint="eastAsia" w:ascii="方正仿宋_GBK" w:hAnsi="方正仿宋_GBK" w:eastAsia="方正仿宋_GBK" w:cs="方正仿宋_GBK"/>
          <w:sz w:val="24"/>
          <w:szCs w:val="24"/>
        </w:rPr>
        <w:t>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（三）一般公共预算财政拨款收入支出决算情况说明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Style w:val="8"/>
          <w:rFonts w:hint="eastAsia" w:ascii="方正仿宋_GBK" w:hAnsi="方正仿宋_GBK" w:eastAsia="方正仿宋_GBK" w:cs="方正仿宋_GBK"/>
          <w:sz w:val="24"/>
          <w:szCs w:val="24"/>
        </w:rPr>
        <w:t>1.收入情况。</w:t>
      </w:r>
      <w:r>
        <w:rPr>
          <w:rFonts w:hint="eastAsia" w:ascii="方正仿宋_GBK" w:hAnsi="方正仿宋_GBK" w:eastAsia="方正仿宋_GBK" w:cs="方正仿宋_GBK"/>
          <w:color w:val="000000" w:themeColor="text1"/>
          <w:sz w:val="24"/>
          <w:szCs w:val="24"/>
          <w14:textFill>
            <w14:solidFill>
              <w14:schemeClr w14:val="tx1"/>
            </w14:solidFill>
          </w14:textFill>
        </w:rPr>
        <w:t>2021年度一般公共预算财政拨款收入15,798.2万元，较上年决算数减少411.21万元，下降2.5%。主要原因是今年少了中央资金抗疫特别国债支出3242.16万元。较年初预算数增加196.16万元，增长1.3%。主要原因是为进一步做好民政工作，年中追加了县级资金。此外，年初财政拨款结转和结余707.24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Style w:val="8"/>
          <w:rFonts w:hint="eastAsia" w:ascii="方正仿宋_GBK" w:hAnsi="方正仿宋_GBK" w:eastAsia="方正仿宋_GBK" w:cs="方正仿宋_GBK"/>
          <w:sz w:val="24"/>
          <w:szCs w:val="24"/>
        </w:rPr>
        <w:t>2.支出情况。</w:t>
      </w:r>
      <w:r>
        <w:rPr>
          <w:rFonts w:hint="eastAsia" w:ascii="方正仿宋_GBK" w:hAnsi="方正仿宋_GBK" w:eastAsia="方正仿宋_GBK" w:cs="方正仿宋_GBK"/>
          <w:sz w:val="24"/>
          <w:szCs w:val="24"/>
        </w:rPr>
        <w:t>2021年度一般公共预算财政拨款支出16,505万元，较上年决算数减少4,984.74万元，下降23.2%。</w:t>
      </w:r>
      <w:r>
        <w:rPr>
          <w:rFonts w:hint="eastAsia" w:ascii="方正仿宋_GBK" w:hAnsi="方正仿宋_GBK" w:eastAsia="方正仿宋_GBK" w:cs="方正仿宋_GBK"/>
          <w:color w:val="000000" w:themeColor="text1"/>
          <w:sz w:val="24"/>
          <w:szCs w:val="24"/>
          <w14:textFill>
            <w14:solidFill>
              <w14:schemeClr w14:val="tx1"/>
            </w14:solidFill>
          </w14:textFill>
        </w:rPr>
        <w:t>主要原因是今年少了中央资金抗疫特别国债支出3242.16万元</w:t>
      </w:r>
      <w:r>
        <w:rPr>
          <w:rFonts w:hint="eastAsia" w:ascii="方正仿宋_GBK" w:hAnsi="方正仿宋_GBK" w:eastAsia="方正仿宋_GBK" w:cs="方正仿宋_GBK"/>
          <w:sz w:val="24"/>
          <w:szCs w:val="24"/>
        </w:rPr>
        <w:t>较年初预算数增加893.78万元，增长5.7%。主要原因是</w:t>
      </w:r>
      <w:r>
        <w:rPr>
          <w:rFonts w:hint="eastAsia" w:ascii="方正仿宋_GBK" w:hAnsi="方正仿宋_GBK" w:eastAsia="方正仿宋_GBK" w:cs="方正仿宋_GBK"/>
          <w:color w:val="000000" w:themeColor="text1"/>
          <w:sz w:val="24"/>
          <w:szCs w:val="24"/>
          <w14:textFill>
            <w14:solidFill>
              <w14:schemeClr w14:val="tx1"/>
            </w14:solidFill>
          </w14:textFill>
        </w:rPr>
        <w:t>为进一步做好民政工作，年中追加了县级资金。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3.结转结余情况。</w:t>
      </w:r>
      <w:r>
        <w:rPr>
          <w:rFonts w:hint="eastAsia" w:ascii="方正仿宋_GBK" w:hAnsi="方正仿宋_GBK" w:eastAsia="方正仿宋_GBK" w:cs="方正仿宋_GBK"/>
          <w:sz w:val="24"/>
          <w:szCs w:val="24"/>
        </w:rPr>
        <w:t>2021年度年末一般公共预算财政拨款结转和结余0.44万元，较上年决算数减少2,537.8万元，下降100.0%，主要原因是</w:t>
      </w:r>
      <w:r>
        <w:rPr>
          <w:rFonts w:hint="eastAsia" w:ascii="方正仿宋_GBK" w:hAnsi="方正仿宋_GBK" w:eastAsia="方正仿宋_GBK" w:cs="方正仿宋_GBK"/>
          <w:color w:val="000000" w:themeColor="text1"/>
          <w:sz w:val="24"/>
          <w:szCs w:val="24"/>
          <w14:textFill>
            <w14:solidFill>
              <w14:schemeClr w14:val="tx1"/>
            </w14:solidFill>
          </w14:textFill>
        </w:rPr>
        <w:t>本年项目收入用于困难群众资金减少，但支出未减少多少，结余减少。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2" w:firstLineChars="200"/>
        <w:jc w:val="both"/>
        <w:textAlignment w:val="auto"/>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4.比较情况。</w:t>
      </w:r>
      <w:r>
        <w:rPr>
          <w:rFonts w:hint="eastAsia" w:ascii="方正仿宋_GBK" w:hAnsi="方正仿宋_GBK" w:eastAsia="方正仿宋_GBK" w:cs="方正仿宋_GBK"/>
          <w:sz w:val="24"/>
          <w:szCs w:val="24"/>
        </w:rPr>
        <w:t>本部门2021年度一般公共预算财政拨款支出主要用于以下几个方面：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sz w:val="24"/>
          <w:szCs w:val="24"/>
        </w:rPr>
        <w:t>（1）教育支出3.09万元，占0.0%，较年初预算数增加0万元，增长0.0%，主要原因是</w:t>
      </w:r>
      <w:r>
        <w:rPr>
          <w:rFonts w:hint="eastAsia" w:ascii="方正仿宋_GBK" w:hAnsi="方正仿宋_GBK" w:eastAsia="方正仿宋_GBK" w:cs="方正仿宋_GBK"/>
          <w:color w:val="000000" w:themeColor="text1"/>
          <w:sz w:val="24"/>
          <w:szCs w:val="24"/>
          <w14:textFill>
            <w14:solidFill>
              <w14:schemeClr w14:val="tx1"/>
            </w14:solidFill>
          </w14:textFill>
        </w:rPr>
        <w:t>严格执行年初预算。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（2）社会保障与就业支出16,404.89万元，占99.4%，较年初预算数增加892.25万元，增长5.8%，主要原因是困难群众低保金的上调和特困人员特困金金额的上调。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sz w:val="24"/>
          <w:szCs w:val="24"/>
        </w:rPr>
        <w:t>（3）卫生健康支出46.19万元，占0.3%，较年初预算数增加0.03万元，增长0.1%，主要原因是人员增加。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（4）住房保障支出49.33万元，占0.3%，较年初预算数增加0万元，增长0.0%，主要原因是严格执行预算。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（5）灾害防治及应急管理支出1.5万元，占0.0%，较年初预算数增加1.5万元，增长100.0%，主要原因是用于发放机关驾驶员安全考核奖资金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2021年度一般公共财政拨款基本支出1,453.05万元。其中：人员经费1,152.77万元，较上年决算数增加64.74万元，增长6.0%，主要原因是</w:t>
      </w:r>
      <w:r>
        <w:rPr>
          <w:rFonts w:hint="eastAsia" w:ascii="方正仿宋_GBK" w:hAnsi="方正仿宋_GBK" w:eastAsia="方正仿宋_GBK" w:cs="方正仿宋_GBK"/>
          <w:color w:val="000000" w:themeColor="text1"/>
          <w:sz w:val="24"/>
          <w:szCs w:val="24"/>
          <w14:textFill>
            <w14:solidFill>
              <w14:schemeClr w14:val="tx1"/>
            </w14:solidFill>
          </w14:textFill>
        </w:rPr>
        <w:t>人员增加，人员经费用途主要包括人员经费用途主要包括基本工资、津贴补贴、奖金、其他社会保障缴费、伙食补助费、绩效工资、机关事业单位基本养老保险缴费、职业年金缴费、其他工资福利支出、职工住房公积金、离退</w:t>
      </w:r>
      <w:r>
        <w:rPr>
          <w:rFonts w:hint="eastAsia" w:ascii="方正仿宋_GBK" w:hAnsi="方正仿宋_GBK" w:eastAsia="方正仿宋_GBK" w:cs="方正仿宋_GBK"/>
          <w:sz w:val="24"/>
          <w:szCs w:val="24"/>
        </w:rPr>
        <w:t>休费。公用经费300.28万元，较上年决算数增加1.87万元，增长0.6%，主要原因是</w:t>
      </w:r>
      <w:r>
        <w:rPr>
          <w:rFonts w:hint="eastAsia" w:ascii="方正仿宋_GBK" w:hAnsi="方正仿宋_GBK" w:eastAsia="方正仿宋_GBK" w:cs="方正仿宋_GBK"/>
          <w:color w:val="000000" w:themeColor="text1"/>
          <w:sz w:val="24"/>
          <w:szCs w:val="24"/>
          <w14:textFill>
            <w14:solidFill>
              <w14:schemeClr w14:val="tx1"/>
            </w14:solidFill>
          </w14:textFill>
        </w:rPr>
        <w:t>人员增加导致的公用经费增加。</w:t>
      </w:r>
      <w:r>
        <w:rPr>
          <w:rFonts w:hint="eastAsia" w:ascii="方正仿宋_GBK" w:hAnsi="方正仿宋_GBK" w:eastAsia="方正仿宋_GBK" w:cs="方正仿宋_GBK"/>
          <w:sz w:val="24"/>
          <w:szCs w:val="24"/>
        </w:rPr>
        <w:t>公用经费用途主要包括办公费、印刷费、水费、电费、邮电费、差旅费、维修(护)费、会议费、培训费、公务接待费、专用材料费、劳务费、工会经费、公务用车运行维护费、其他交通费、其他商品和服务支出。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（五）政府性基金预算收支决算情况说明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政府性基金预算财政拨款年初结转结余992.79万元，年末结转结余145.42万元。本年收入45.86万元，较上年决算数减少761.82万元，下降99.0%，主要原因是2020殡仪馆其他地方自行试点项目收益专项债券收入安排的支出结余992.79万元，而21年已经支出</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sz w:val="24"/>
          <w:szCs w:val="24"/>
        </w:rPr>
        <w:t>本年支出893.22万元，较上年决算数减少2,921.67万元，下降76.6%，主要原因是殡仪馆其他地方自行试点项目收益专项债券收入安排的支出已经支付。</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本部门2021年度无国有资本经营预算财政拨款收支。</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三、“三公”经费情况说明</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（一）“三公”经费支出总体情况说明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2021年度“三公”经费支出共计20.51万元，较年初预算数减少13.53万元，下降39.7%，主要原因是</w:t>
      </w:r>
      <w:r>
        <w:rPr>
          <w:rFonts w:hint="eastAsia" w:ascii="方正仿宋_GBK" w:hAnsi="方正仿宋_GBK" w:eastAsia="方正仿宋_GBK" w:cs="方正仿宋_GBK"/>
          <w:color w:val="000000"/>
          <w:sz w:val="24"/>
          <w:szCs w:val="24"/>
        </w:rPr>
        <w:t>严格贯彻落实中央八项规定精神和厉行节约要求。</w:t>
      </w:r>
      <w:r>
        <w:rPr>
          <w:rFonts w:hint="eastAsia" w:ascii="方正仿宋_GBK" w:hAnsi="方正仿宋_GBK" w:eastAsia="方正仿宋_GBK" w:cs="方正仿宋_GBK"/>
          <w:sz w:val="24"/>
          <w:szCs w:val="24"/>
        </w:rPr>
        <w:t>较上年支出数减少2.33万元，下降10.2%，</w:t>
      </w:r>
      <w:r>
        <w:rPr>
          <w:rFonts w:hint="eastAsia" w:ascii="方正仿宋_GBK" w:hAnsi="方正仿宋_GBK" w:eastAsia="方正仿宋_GBK" w:cs="方正仿宋_GBK"/>
          <w:color w:val="000000"/>
          <w:sz w:val="24"/>
          <w:szCs w:val="24"/>
        </w:rPr>
        <w:t>要原因一是认真贯彻落实中央八项规定精神和厉行节约要求，按照只减不增的要求从严控制</w:t>
      </w:r>
      <w:r>
        <w:rPr>
          <w:rFonts w:hint="eastAsia" w:ascii="方正仿宋_GBK" w:hAnsi="方正仿宋_GBK" w:eastAsia="方正仿宋_GBK" w:cs="方正仿宋_GBK"/>
          <w:sz w:val="24"/>
          <w:szCs w:val="24"/>
        </w:rPr>
        <w:t>“三公”</w:t>
      </w:r>
      <w:r>
        <w:rPr>
          <w:rFonts w:hint="eastAsia" w:ascii="方正仿宋_GBK" w:hAnsi="方正仿宋_GBK" w:eastAsia="方正仿宋_GBK" w:cs="方正仿宋_GBK"/>
          <w:color w:val="000000"/>
          <w:sz w:val="24"/>
          <w:szCs w:val="24"/>
        </w:rPr>
        <w:t>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r>
        <w:rPr>
          <w:rFonts w:hint="eastAsia" w:ascii="方正仿宋_GBK" w:hAnsi="方正仿宋_GBK" w:eastAsia="方正仿宋_GBK" w:cs="方正仿宋_GBK"/>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（二）“三公”经费分项支出情况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2021</w:t>
      </w:r>
      <w:r>
        <w:rPr>
          <w:rFonts w:hint="eastAsia" w:ascii="方正仿宋_GBK" w:hAnsi="方正仿宋_GBK" w:eastAsia="方正仿宋_GBK" w:cs="方正仿宋_GBK"/>
          <w:color w:val="000000"/>
          <w:sz w:val="24"/>
          <w:szCs w:val="24"/>
        </w:rPr>
        <w:t>年部门因公出国(境)费用0万元，主要原因是本单位2021年度未发生“因公出国（境）”经费支出。费用支出较年初预算数增加0万元，增长0.0%，主要原因是本单位2021年度未发生“因公出国（境）”经费支出。较上年支出数增加0.00万元，增长0.0%，主要原因是本单位2021年度未发生“因公出国（境）”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公务车购置费0万元，主要原因是本单位2021年度未发生“公务车购置”经费支出。费用支出较年初预算数增加0万元，增长0.0%，主要原因是本单位2021年度未发生“公务车购置”经费支出。较上年支出数增加0万元，增长0.0%，主要原因是本单位2021年度未发生“公务车购置”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公务车运行维护费16.31万元，</w:t>
      </w:r>
      <w:r>
        <w:rPr>
          <w:rFonts w:hint="eastAsia" w:ascii="方正仿宋_GBK" w:hAnsi="方正仿宋_GBK" w:eastAsia="方正仿宋_GBK" w:cs="方正仿宋_GBK"/>
          <w:color w:val="000000"/>
          <w:sz w:val="24"/>
          <w:szCs w:val="24"/>
        </w:rPr>
        <w:t>主要用于财政业务检查等工作所需车辆的燃料费、维修费、过桥过路费、保险费等。</w:t>
      </w:r>
      <w:r>
        <w:rPr>
          <w:rFonts w:hint="eastAsia" w:ascii="方正仿宋_GBK" w:hAnsi="方正仿宋_GBK" w:eastAsia="方正仿宋_GBK" w:cs="方正仿宋_GBK"/>
          <w:sz w:val="24"/>
          <w:szCs w:val="24"/>
        </w:rPr>
        <w:t>费用支出较年初预算数减少13.19万元，下降44.7%，</w:t>
      </w:r>
      <w:r>
        <w:rPr>
          <w:rFonts w:hint="eastAsia" w:ascii="方正仿宋_GBK" w:hAnsi="方正仿宋_GBK" w:eastAsia="方正仿宋_GBK" w:cs="方正仿宋_GBK"/>
          <w:color w:val="000000"/>
          <w:sz w:val="24"/>
          <w:szCs w:val="24"/>
        </w:rPr>
        <w:t>，主要原因是严格落实公车使用规定，严禁公车私用，公车运行维护成本大幅下降。</w:t>
      </w:r>
      <w:r>
        <w:rPr>
          <w:rFonts w:hint="eastAsia" w:ascii="方正仿宋_GBK" w:hAnsi="方正仿宋_GBK" w:eastAsia="方正仿宋_GBK" w:cs="方正仿宋_GBK"/>
          <w:sz w:val="24"/>
          <w:szCs w:val="24"/>
        </w:rPr>
        <w:t>较上年支出数减少2.07万元，下降11.3%，</w:t>
      </w:r>
      <w:r>
        <w:rPr>
          <w:rFonts w:hint="eastAsia" w:ascii="方正仿宋_GBK" w:hAnsi="方正仿宋_GBK" w:eastAsia="方正仿宋_GBK" w:cs="方正仿宋_GBK"/>
          <w:color w:val="000000"/>
          <w:sz w:val="24"/>
          <w:szCs w:val="24"/>
        </w:rPr>
        <w:t>主要原因是严格落实公车使用规定，公车运行维护成本大幅下降。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公务接待费4.2万元，</w:t>
      </w:r>
      <w:r>
        <w:rPr>
          <w:rFonts w:hint="eastAsia" w:ascii="方正仿宋_GBK" w:hAnsi="方正仿宋_GBK" w:eastAsia="方正仿宋_GBK" w:cs="方正仿宋_GBK"/>
          <w:color w:val="000000"/>
          <w:sz w:val="24"/>
          <w:szCs w:val="24"/>
        </w:rPr>
        <w:t>主要用于接待市级相关部门检查指导工作发生的接待支出、市内其他区县民政局来我处参观学习的接待支出</w:t>
      </w:r>
      <w:r>
        <w:rPr>
          <w:rFonts w:hint="eastAsia" w:ascii="方正仿宋_GBK" w:hAnsi="方正仿宋_GBK" w:eastAsia="方正仿宋_GBK" w:cs="方正仿宋_GBK"/>
          <w:sz w:val="24"/>
          <w:szCs w:val="24"/>
        </w:rPr>
        <w:t>。费用支出较年初预算数减少0.34万元，下降7.5%，主要原因是严格遵守公务接待开支范围和开支标准，严格控制陪餐人数，对应由接待对象承担的费用一律由接待对象自行支付，公务接待费大幅下降。较上年支出数减少0.27万元，下降6.0%，</w:t>
      </w:r>
      <w:bookmarkStart w:id="0" w:name="_GoBack"/>
      <w:r>
        <w:rPr>
          <w:rFonts w:hint="eastAsia" w:ascii="方正仿宋_GBK" w:hAnsi="方正仿宋_GBK" w:eastAsia="方正仿宋_GBK" w:cs="方正仿宋_GBK"/>
          <w:sz w:val="24"/>
          <w:szCs w:val="24"/>
        </w:rPr>
        <w:t>主要原因</w:t>
      </w:r>
      <w:bookmarkEnd w:id="0"/>
      <w:r>
        <w:rPr>
          <w:rFonts w:hint="eastAsia" w:ascii="方正仿宋_GBK" w:hAnsi="方正仿宋_GBK" w:eastAsia="方正仿宋_GBK" w:cs="方正仿宋_GBK"/>
          <w:sz w:val="24"/>
          <w:szCs w:val="24"/>
        </w:rPr>
        <w:t>是严格遵守公务接待开支范围和开支标准，严格控制陪餐人数，对应由接待对象承担的费用一律由接待对象自行支付，公务接待费大幅下降。</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（三）“三公”经费实物量情况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本部门因公出国（境）共计0个团组，0人；公务用车购置0辆，公务车保有量为8辆；国内公务接待86批次550人，其中：国内外事接待0批次，0人；国（境）外公务接待0批次，0人。2021年本部门人均接待费76.3元，车均购置费0万元，车均维护费2.04万元。</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四、其他需要说明的事项</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（一）一般公共预算财政拨款会议费和培训费情况说明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年度会议费支出2.88万元，较上年决算数增加2.65万元，增长1152.2%，主要原因是上年度县民政参加市上会议变多。本年度培训费支出18.25万元，较上年决算数增加9.09万元，增长99.2%，主要原因是上年度县民政负担乡镇社保科几次培训费。</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（二）机关运行经费情况说明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2021年度本部门机关运行经费支出137.24万元，机关运行经费主要用于开支</w:t>
      </w:r>
      <w:r>
        <w:rPr>
          <w:rFonts w:hint="eastAsia" w:ascii="方正仿宋_GBK" w:hAnsi="方正仿宋_GBK" w:eastAsia="方正仿宋_GBK" w:cs="方正仿宋_GBK"/>
          <w:color w:val="000000" w:themeColor="text1"/>
          <w:sz w:val="24"/>
          <w:szCs w:val="24"/>
          <w14:textFill>
            <w14:solidFill>
              <w14:schemeClr w14:val="tx1"/>
            </w14:solidFill>
          </w14:textFill>
        </w:rPr>
        <w:t>办公费、会议费、公务车运行维护费、信息网络购置更新费、邮电费、水费、电费、差旅费、专用材料费等。</w:t>
      </w:r>
      <w:r>
        <w:rPr>
          <w:rFonts w:hint="eastAsia" w:ascii="方正仿宋_GBK" w:hAnsi="方正仿宋_GBK" w:eastAsia="方正仿宋_GBK" w:cs="方正仿宋_GBK"/>
          <w:sz w:val="24"/>
          <w:szCs w:val="24"/>
        </w:rPr>
        <w:t>机关运行经费较上年决算数增加33.33万元，增长32.1%，主要原因是2020年财政公用经费未足额预算，2021年足额预算了的，其次就是单位人员增加。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（三）国有资产占用情况说明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截至2021年12月31日，本部门共有车辆8辆，其中，副部（省）级及以上领导用车0辆、主要领导干部用车0辆、机要通信用车1辆、应急保障用车2辆、执法执勤用车0辆，特种专业技术用车5辆，离退休干部用车0辆，其他用车0辆</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sz w:val="24"/>
          <w:szCs w:val="24"/>
        </w:rPr>
        <w:t>单价50万元（含）以上通用设备1台（套），单价100万元（含）以上专用设备0台（套）。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（四）政府采购支出情况说明。</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2021年度本部门政府采购支出总额270.74万元，其中：政府采购货物支出163.74万元、政府采购工程支出0万元、政府采购服务支出107万元。授予中小企业合同金额270.74万元，占政府采购支出总额的100.0%，其中：授予小微企业合同金额195.58万元，占政府采购支出总额的72.2%。主要用于采购采购主要用于采购春节慰问物资和办公用品。</w:t>
      </w:r>
      <w:r>
        <w:rPr>
          <w:rFonts w:hint="eastAsia" w:ascii="方正仿宋_GBK" w:hAnsi="方正仿宋_GBK" w:eastAsia="方正仿宋_GBK" w:cs="方正仿宋_GBK"/>
          <w:color w:val="000000"/>
          <w:sz w:val="24"/>
          <w:szCs w:val="24"/>
        </w:rPr>
        <w:t>  </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五、预算绩效管理情况说明</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（一）预算绩效管理工作开展情况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根据预算绩效管理要求，本部门对34个项目开展了绩效自评，涉及资金15945.18万元。其中，以填报目标自评表形式开展自评34项。</w:t>
      </w:r>
      <w:r>
        <w:rPr>
          <w:rFonts w:hint="eastAsia" w:ascii="方正仿宋_GBK" w:hAnsi="方正仿宋_GBK" w:eastAsia="方正仿宋_GBK" w:cs="方正仿宋_GBK"/>
          <w:sz w:val="24"/>
          <w:szCs w:val="24"/>
        </w:rPr>
        <w:t>通过这次绩效评价，社会救助专项资金、社会福利专项资金和民政管理事务专项资金均严格按照民政资金使用管理办法进行使用，各项资金均按标准足额及时补助到位，做到不重不漏不错发，困难群众及基层服务对象满意度均在90.0%以上。以委托第三方出具报告的方式开展绩</w:t>
      </w:r>
      <w:r>
        <w:rPr>
          <w:rFonts w:hint="eastAsia" w:ascii="方正仿宋_GBK" w:hAnsi="方正仿宋_GBK" w:eastAsia="方正仿宋_GBK" w:cs="方正仿宋_GBK"/>
          <w:color w:val="000000" w:themeColor="text1"/>
          <w:sz w:val="24"/>
          <w:szCs w:val="24"/>
          <w14:textFill>
            <w14:solidFill>
              <w14:schemeClr w14:val="tx1"/>
            </w14:solidFill>
          </w14:textFill>
        </w:rPr>
        <w:t>效评价0项，涉及资金0万元。</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（二）绩效自评结果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firstLine="480" w:firstLineChars="200"/>
        <w:jc w:val="both"/>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000000" w:themeColor="text1"/>
          <w:sz w:val="24"/>
          <w:szCs w:val="24"/>
          <w14:textFill>
            <w14:solidFill>
              <w14:schemeClr w14:val="tx1"/>
            </w14:solidFill>
          </w14:textFill>
        </w:rPr>
        <w:t>1.整体绩效表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pStyle w:val="11"/>
        <w:keepNext w:val="0"/>
        <w:keepLines w:val="0"/>
        <w:pageBreakBefore w:val="0"/>
        <w:widowControl/>
        <w:numPr>
          <w:ilvl w:val="0"/>
          <w:numId w:val="0"/>
        </w:numPr>
        <w:tabs>
          <w:tab w:val="center" w:pos="4153"/>
          <w:tab w:val="left" w:pos="7275"/>
        </w:tabs>
        <w:kinsoku/>
        <w:wordWrap/>
        <w:overflowPunct/>
        <w:topLinePunct w:val="0"/>
        <w:autoSpaceDE/>
        <w:autoSpaceDN/>
        <w:bidi w:val="0"/>
        <w:adjustRightInd/>
        <w:snapToGrid/>
        <w:spacing w:beforeAutospacing="0" w:afterAutospacing="0" w:line="360" w:lineRule="exact"/>
        <w:ind w:leftChars="200"/>
        <w:jc w:val="both"/>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rPr>
        <w:t xml:space="preserve">  </w:t>
      </w:r>
    </w:p>
    <w:p>
      <w:pPr>
        <w:spacing w:line="600" w:lineRule="atLeas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2021年部门整体绩效自评表</w:t>
      </w:r>
    </w:p>
    <w:p>
      <w:pPr>
        <w:spacing w:line="600" w:lineRule="atLeast"/>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编报单位：垫江县民政局                                                2022 年 3 月 25 日</w:t>
      </w:r>
    </w:p>
    <w:tbl>
      <w:tblPr>
        <w:tblStyle w:val="6"/>
        <w:tblW w:w="138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777"/>
        <w:gridCol w:w="26"/>
        <w:gridCol w:w="1182"/>
        <w:gridCol w:w="6554"/>
        <w:gridCol w:w="3780"/>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一级指标</w:t>
            </w:r>
          </w:p>
        </w:tc>
        <w:tc>
          <w:tcPr>
            <w:tcW w:w="803"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二级指标</w:t>
            </w:r>
          </w:p>
        </w:tc>
        <w:tc>
          <w:tcPr>
            <w:tcW w:w="7736" w:type="dxa"/>
            <w:gridSpan w:val="2"/>
            <w:tcBorders>
              <w:top w:val="single" w:color="000000" w:sz="4" w:space="0"/>
              <w:left w:val="single" w:color="000000" w:sz="4" w:space="0"/>
              <w:bottom w:val="single" w:color="000000"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三级指标</w:t>
            </w:r>
          </w:p>
        </w:tc>
        <w:tc>
          <w:tcPr>
            <w:tcW w:w="3780" w:type="dxa"/>
            <w:vMerge w:val="restart"/>
            <w:tcBorders>
              <w:top w:val="single" w:color="000000" w:sz="4" w:space="0"/>
              <w:left w:val="single" w:color="auto" w:sz="4" w:space="0"/>
              <w:bottom w:val="single" w:color="000000"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评分标准</w:t>
            </w:r>
          </w:p>
        </w:tc>
        <w:tc>
          <w:tcPr>
            <w:tcW w:w="790" w:type="dxa"/>
            <w:vMerge w:val="restart"/>
            <w:tcBorders>
              <w:top w:val="single" w:color="000000" w:sz="4" w:space="0"/>
              <w:left w:val="single" w:color="auto" w:sz="4" w:space="0"/>
              <w:bottom w:val="single" w:color="000000"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指标名称</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b/>
                <w:bCs/>
                <w:sz w:val="21"/>
                <w:szCs w:val="21"/>
              </w:rPr>
              <w:t>指标解释说明</w:t>
            </w:r>
          </w:p>
        </w:tc>
        <w:tc>
          <w:tcPr>
            <w:tcW w:w="3780" w:type="dxa"/>
            <w:vMerge w:val="continue"/>
            <w:tcBorders>
              <w:top w:val="single" w:color="000000"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0"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1" w:hRule="atLeast"/>
          <w:jc w:val="center"/>
        </w:trPr>
        <w:tc>
          <w:tcPr>
            <w:tcW w:w="733" w:type="dxa"/>
            <w:vMerge w:val="restart"/>
            <w:tcBorders>
              <w:top w:val="single" w:color="000000" w:sz="4" w:space="0"/>
              <w:left w:val="single" w:color="000000" w:sz="4" w:space="0"/>
              <w:right w:val="single" w:color="000000" w:sz="4" w:space="0"/>
            </w:tcBorders>
          </w:tcPr>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投入（10分）</w:t>
            </w: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tc>
        <w:tc>
          <w:tcPr>
            <w:tcW w:w="803" w:type="dxa"/>
            <w:gridSpan w:val="2"/>
            <w:vMerge w:val="restart"/>
            <w:tcBorders>
              <w:top w:val="single" w:color="000000" w:sz="4" w:space="0"/>
              <w:left w:val="single" w:color="000000" w:sz="4" w:space="0"/>
              <w:right w:val="single" w:color="000000" w:sz="4" w:space="0"/>
            </w:tcBorders>
          </w:tcPr>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p>
          <w:p>
            <w:pPr>
              <w:spacing w:line="240" w:lineRule="exact"/>
              <w:rPr>
                <w:rFonts w:hint="eastAsia" w:ascii="宋体" w:hAnsi="宋体" w:eastAsia="宋体" w:cs="宋体"/>
                <w:sz w:val="21"/>
                <w:szCs w:val="21"/>
              </w:rPr>
            </w:pPr>
            <w:r>
              <w:rPr>
                <w:rFonts w:hint="eastAsia" w:ascii="宋体" w:hAnsi="宋体" w:eastAsia="宋体" w:cs="宋体"/>
                <w:sz w:val="21"/>
                <w:szCs w:val="21"/>
              </w:rPr>
              <w:t>预算编制</w:t>
            </w:r>
          </w:p>
          <w:p>
            <w:pPr>
              <w:spacing w:line="68" w:lineRule="atLeast"/>
              <w:rPr>
                <w:rFonts w:hint="eastAsia" w:ascii="宋体" w:hAnsi="宋体" w:eastAsia="宋体" w:cs="宋体"/>
                <w:sz w:val="21"/>
                <w:szCs w:val="21"/>
              </w:rPr>
            </w:pPr>
            <w:r>
              <w:rPr>
                <w:rFonts w:hint="eastAsia" w:ascii="宋体" w:hAnsi="宋体" w:eastAsia="宋体" w:cs="宋体"/>
                <w:sz w:val="21"/>
                <w:szCs w:val="21"/>
              </w:rPr>
              <w:t>（4分）</w:t>
            </w: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预算编制合理性（2分）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考核部门（单位）预算的合理性，即是否符合本部门职责、是否符合县委县政府的方针政策和工作要求，资金有无根据</w:t>
            </w:r>
          </w:p>
          <w:p>
            <w:pPr>
              <w:spacing w:line="68" w:lineRule="atLeast"/>
              <w:rPr>
                <w:rFonts w:hint="eastAsia" w:ascii="宋体" w:hAnsi="宋体" w:eastAsia="宋体" w:cs="宋体"/>
                <w:sz w:val="21"/>
                <w:szCs w:val="21"/>
              </w:rPr>
            </w:pPr>
            <w:r>
              <w:rPr>
                <w:rFonts w:hint="eastAsia" w:ascii="宋体" w:hAnsi="宋体" w:eastAsia="宋体" w:cs="宋体"/>
                <w:sz w:val="21"/>
                <w:szCs w:val="21"/>
              </w:rPr>
              <w:t>项目的轻重缓急进行分配。</w:t>
            </w:r>
          </w:p>
        </w:tc>
        <w:tc>
          <w:tcPr>
            <w:tcW w:w="3780" w:type="dxa"/>
            <w:tcBorders>
              <w:top w:val="single" w:color="000000" w:sz="4" w:space="0"/>
              <w:left w:val="single" w:color="auto" w:sz="4" w:space="0"/>
              <w:bottom w:val="single" w:color="auto" w:sz="4" w:space="0"/>
              <w:right w:val="single" w:color="auto" w:sz="4" w:space="0"/>
            </w:tcBorders>
          </w:tcPr>
          <w:p>
            <w:pPr>
              <w:spacing w:line="68" w:lineRule="atLeast"/>
              <w:rPr>
                <w:rFonts w:hint="eastAsia" w:ascii="宋体" w:hAnsi="宋体" w:eastAsia="宋体" w:cs="宋体"/>
                <w:sz w:val="21"/>
                <w:szCs w:val="21"/>
              </w:rPr>
            </w:pPr>
            <w:r>
              <w:rPr>
                <w:rFonts w:hint="eastAsia" w:ascii="宋体" w:hAnsi="宋体" w:eastAsia="宋体" w:cs="宋体"/>
                <w:sz w:val="21"/>
                <w:szCs w:val="21"/>
              </w:rPr>
              <w:t>部门预算编制、分配符合本部分职责、符合县委县政府方针政策和工作要求的，得1分；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部门预算资金能根据年度工作重点，在不同项目、不用用途之间分配合理的，得1分。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9"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预算编制规范性（2分）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考核部门（单位）预算编制是否符合县财政当年有关预算编制的原则，例如在规范性和细致程度方面是否符合要求等。</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预算编制符合县财政当年有关预算编制的原则和要求的，得2分；发现一项没有满足的扣0.5分，扣完为止。</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restart"/>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目标设置（6分）</w:t>
            </w: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目标合理性（2分）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部门（单位）所设立的整体绩效目标是否符合客观实际，用以反映和考核部门（单位）整体绩效目标与年度工作任务的相符性情况。</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整体绩效目标与年度工作任务相符的，得1分；</w:t>
            </w:r>
          </w:p>
          <w:p>
            <w:pPr>
              <w:spacing w:line="240" w:lineRule="exact"/>
              <w:rPr>
                <w:rFonts w:hint="eastAsia" w:ascii="宋体" w:hAnsi="宋体" w:eastAsia="宋体" w:cs="宋体"/>
                <w:sz w:val="21"/>
                <w:szCs w:val="21"/>
              </w:rPr>
            </w:pPr>
            <w:r>
              <w:rPr>
                <w:rFonts w:hint="eastAsia" w:ascii="宋体" w:hAnsi="宋体" w:eastAsia="宋体" w:cs="宋体"/>
                <w:sz w:val="21"/>
                <w:szCs w:val="21"/>
              </w:rPr>
              <w:t>整体绩效目标符合客观实际情况的，得1分</w:t>
            </w:r>
          </w:p>
          <w:p>
            <w:pPr>
              <w:spacing w:line="68" w:lineRule="atLeast"/>
              <w:rPr>
                <w:rFonts w:hint="eastAsia" w:ascii="宋体" w:hAnsi="宋体" w:eastAsia="宋体" w:cs="宋体"/>
                <w:sz w:val="21"/>
                <w:szCs w:val="21"/>
              </w:rPr>
            </w:pP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4"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绩效目标覆盖率（2分）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部门（单位）设置了绩效目标的金额与部门整体支出金额的比率。</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比率≥80%的，得2分；</w:t>
            </w:r>
          </w:p>
          <w:p>
            <w:pPr>
              <w:spacing w:line="240" w:lineRule="exact"/>
              <w:rPr>
                <w:rFonts w:hint="eastAsia" w:ascii="宋体" w:hAnsi="宋体" w:eastAsia="宋体" w:cs="宋体"/>
                <w:sz w:val="21"/>
                <w:szCs w:val="21"/>
              </w:rPr>
            </w:pPr>
            <w:r>
              <w:rPr>
                <w:rFonts w:hint="eastAsia" w:ascii="宋体" w:hAnsi="宋体" w:eastAsia="宋体" w:cs="宋体"/>
                <w:sz w:val="21"/>
                <w:szCs w:val="21"/>
              </w:rPr>
              <w:t>80%﹥比率≥60%的，得1分；</w:t>
            </w:r>
          </w:p>
          <w:p>
            <w:pPr>
              <w:spacing w:line="240" w:lineRule="exact"/>
              <w:rPr>
                <w:rFonts w:hint="eastAsia" w:ascii="宋体" w:hAnsi="宋体" w:eastAsia="宋体" w:cs="宋体"/>
                <w:sz w:val="21"/>
                <w:szCs w:val="21"/>
              </w:rPr>
            </w:pPr>
            <w:r>
              <w:rPr>
                <w:rFonts w:hint="eastAsia" w:ascii="宋体" w:hAnsi="宋体" w:eastAsia="宋体" w:cs="宋体"/>
                <w:sz w:val="21"/>
                <w:szCs w:val="21"/>
              </w:rPr>
              <w:t>60%﹥比率≥30%的，得0.5分；</w:t>
            </w:r>
          </w:p>
          <w:p>
            <w:pPr>
              <w:spacing w:line="240" w:lineRule="exact"/>
              <w:rPr>
                <w:rFonts w:hint="eastAsia" w:ascii="宋体" w:hAnsi="宋体" w:eastAsia="宋体" w:cs="宋体"/>
                <w:sz w:val="21"/>
                <w:szCs w:val="21"/>
              </w:rPr>
            </w:pPr>
            <w:r>
              <w:rPr>
                <w:rFonts w:hint="eastAsia" w:ascii="宋体" w:hAnsi="宋体" w:eastAsia="宋体" w:cs="宋体"/>
                <w:sz w:val="21"/>
                <w:szCs w:val="21"/>
              </w:rPr>
              <w:t>﹤30%的，得0分。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2"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绩效指标明确性（2分）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部门（单位）依据整体绩效目标所设定的绩效指标是否清晰、细化、可量化。</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绩效指标能反映绩效目标的，得1分；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绩效指标明确且可量化的，得1分；</w:t>
            </w:r>
          </w:p>
          <w:p>
            <w:pPr>
              <w:spacing w:line="240" w:lineRule="exact"/>
              <w:rPr>
                <w:rFonts w:hint="eastAsia" w:ascii="宋体" w:hAnsi="宋体" w:eastAsia="宋体" w:cs="宋体"/>
                <w:sz w:val="21"/>
                <w:szCs w:val="21"/>
              </w:rPr>
            </w:pPr>
            <w:r>
              <w:rPr>
                <w:rFonts w:hint="eastAsia" w:ascii="宋体" w:hAnsi="宋体" w:eastAsia="宋体" w:cs="宋体"/>
                <w:sz w:val="21"/>
                <w:szCs w:val="21"/>
              </w:rPr>
              <w:t>其他情况酌情扣分。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6" w:hRule="atLeast"/>
          <w:jc w:val="center"/>
        </w:trPr>
        <w:tc>
          <w:tcPr>
            <w:tcW w:w="733" w:type="dxa"/>
            <w:vMerge w:val="restart"/>
            <w:tcBorders>
              <w:left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过程(50分)</w:t>
            </w: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过程(50分)</w:t>
            </w: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过程(50分)</w:t>
            </w: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jc w:val="center"/>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tc>
        <w:tc>
          <w:tcPr>
            <w:tcW w:w="777" w:type="dxa"/>
            <w:vMerge w:val="restart"/>
            <w:tcBorders>
              <w:top w:val="single" w:color="000000" w:sz="4" w:space="0"/>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预算执行情况（24分）</w:t>
            </w: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预算执行(24分)</w:t>
            </w:r>
          </w:p>
        </w:tc>
        <w:tc>
          <w:tcPr>
            <w:tcW w:w="1208" w:type="dxa"/>
            <w:gridSpan w:val="2"/>
            <w:tcBorders>
              <w:top w:val="single" w:color="auto"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财政供养人员控制率（3分）</w:t>
            </w:r>
          </w:p>
        </w:tc>
        <w:tc>
          <w:tcPr>
            <w:tcW w:w="6554" w:type="dxa"/>
            <w:tcBorders>
              <w:top w:val="single" w:color="auto"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部门本年度实际在职人员数与编制数的比率，用以反映和评价部门对人员成本的控制程度。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在职人员控制率=（在职人员数/编制数）×100%。</w:t>
            </w:r>
          </w:p>
          <w:p>
            <w:pPr>
              <w:spacing w:line="240" w:lineRule="exact"/>
              <w:rPr>
                <w:rFonts w:hint="eastAsia" w:ascii="宋体" w:hAnsi="宋体" w:eastAsia="宋体" w:cs="宋体"/>
                <w:sz w:val="21"/>
                <w:szCs w:val="21"/>
              </w:rPr>
            </w:pPr>
            <w:r>
              <w:rPr>
                <w:rFonts w:hint="eastAsia" w:ascii="宋体" w:hAnsi="宋体" w:eastAsia="宋体" w:cs="宋体"/>
                <w:sz w:val="21"/>
                <w:szCs w:val="21"/>
              </w:rPr>
              <w:t>在职人员数：部门实际在职人数，以财政部门确定的部门决算编制口径为准。</w:t>
            </w:r>
          </w:p>
          <w:p>
            <w:pPr>
              <w:spacing w:line="240" w:lineRule="exact"/>
              <w:rPr>
                <w:rFonts w:hint="eastAsia" w:ascii="宋体" w:hAnsi="宋体" w:eastAsia="宋体" w:cs="宋体"/>
                <w:sz w:val="21"/>
                <w:szCs w:val="21"/>
              </w:rPr>
            </w:pPr>
            <w:r>
              <w:rPr>
                <w:rFonts w:hint="eastAsia" w:ascii="宋体" w:hAnsi="宋体" w:eastAsia="宋体" w:cs="宋体"/>
                <w:sz w:val="21"/>
                <w:szCs w:val="21"/>
              </w:rPr>
              <w:t>编制数：机构编制部门核定批复的部门人员编制数。</w:t>
            </w:r>
          </w:p>
        </w:tc>
        <w:tc>
          <w:tcPr>
            <w:tcW w:w="3780" w:type="dxa"/>
            <w:tcBorders>
              <w:top w:val="single" w:color="auto"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目标值≤100%；达到目标值得3分；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比率﹥100%，每增加5%扣1分，直至扣完。</w:t>
            </w:r>
          </w:p>
        </w:tc>
        <w:tc>
          <w:tcPr>
            <w:tcW w:w="790" w:type="dxa"/>
            <w:tcBorders>
              <w:top w:val="single" w:color="auto"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9" w:hRule="atLeast"/>
          <w:jc w:val="center"/>
        </w:trPr>
        <w:tc>
          <w:tcPr>
            <w:tcW w:w="733" w:type="dxa"/>
            <w:vMerge w:val="continue"/>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支出完成率（3分）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部门（单位）本年度预算实际支出数（以实际用款为准）与财政下达资金数（包括年初预算数、年中追加数和上年结转数）的比率，用以反映和考核部门（单位）支出完成程度。</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比率≥100%，得3分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100%＞结果≥90%，得2分；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90%＞结果≥80%，得1分；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80%﹥比率≥60%的，得0.5分。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比率﹤60%的，不得分。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预算调整率（3分）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部门本年度预算调整数与预算数的比率，用以反映和评价部门预算的调整程度。</w:t>
            </w:r>
          </w:p>
          <w:p>
            <w:pPr>
              <w:spacing w:line="68" w:lineRule="atLeast"/>
              <w:rPr>
                <w:rFonts w:hint="eastAsia" w:ascii="宋体" w:hAnsi="宋体" w:eastAsia="宋体" w:cs="宋体"/>
                <w:sz w:val="21"/>
                <w:szCs w:val="21"/>
              </w:rPr>
            </w:pPr>
            <w:r>
              <w:rPr>
                <w:rFonts w:hint="eastAsia" w:ascii="宋体" w:hAnsi="宋体" w:eastAsia="宋体" w:cs="宋体"/>
                <w:sz w:val="21"/>
                <w:szCs w:val="21"/>
              </w:rPr>
              <w:t>预算调整率=（预算调整数/预算数）×100%。</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比率≤3%的，得3分；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3%﹤比率≤ %的，得2分；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比率＞10%的，得0分。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结转结余率（3分）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通过对部门本年度结转结余总额与支出预算数的比较，反映和评价部门对本年度结转结余资金的实际控制程度。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结转结余率=（结转结余总额/支出预算数）×100%。</w:t>
            </w:r>
          </w:p>
          <w:p>
            <w:pPr>
              <w:spacing w:line="240" w:lineRule="exact"/>
              <w:rPr>
                <w:rFonts w:hint="eastAsia" w:ascii="宋体" w:hAnsi="宋体" w:eastAsia="宋体" w:cs="宋体"/>
                <w:sz w:val="21"/>
                <w:szCs w:val="21"/>
              </w:rPr>
            </w:pPr>
            <w:r>
              <w:rPr>
                <w:rFonts w:hint="eastAsia" w:ascii="宋体" w:hAnsi="宋体" w:eastAsia="宋体" w:cs="宋体"/>
                <w:sz w:val="21"/>
                <w:szCs w:val="21"/>
              </w:rPr>
              <w:t>结转结余总额，是指预算部门本年度的结转资金与结余资金之和（以决算数为准）。</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比率≤5%的，得3分；</w:t>
            </w:r>
          </w:p>
          <w:p>
            <w:pPr>
              <w:spacing w:line="360" w:lineRule="auto"/>
              <w:rPr>
                <w:rFonts w:hint="eastAsia" w:ascii="宋体" w:hAnsi="宋体" w:eastAsia="宋体" w:cs="宋体"/>
                <w:sz w:val="21"/>
                <w:szCs w:val="21"/>
              </w:rPr>
            </w:pPr>
            <w:r>
              <w:rPr>
                <w:rFonts w:hint="eastAsia" w:ascii="宋体" w:hAnsi="宋体" w:eastAsia="宋体" w:cs="宋体"/>
                <w:sz w:val="21"/>
                <w:szCs w:val="21"/>
              </w:rPr>
              <w:t>5%﹤比率≤10%的，得2分；</w:t>
            </w:r>
          </w:p>
          <w:p>
            <w:pPr>
              <w:spacing w:line="360" w:lineRule="auto"/>
              <w:rPr>
                <w:rFonts w:hint="eastAsia" w:ascii="宋体" w:hAnsi="宋体" w:eastAsia="宋体" w:cs="宋体"/>
                <w:sz w:val="21"/>
                <w:szCs w:val="21"/>
              </w:rPr>
            </w:pPr>
            <w:r>
              <w:rPr>
                <w:rFonts w:hint="eastAsia" w:ascii="宋体" w:hAnsi="宋体" w:eastAsia="宋体" w:cs="宋体"/>
                <w:sz w:val="21"/>
                <w:szCs w:val="21"/>
              </w:rPr>
              <w:t>10%﹤比率≤15%的，得1分；</w:t>
            </w:r>
          </w:p>
          <w:p>
            <w:pPr>
              <w:spacing w:line="360" w:lineRule="auto"/>
              <w:rPr>
                <w:rFonts w:hint="eastAsia" w:ascii="宋体" w:hAnsi="宋体" w:eastAsia="宋体" w:cs="宋体"/>
                <w:sz w:val="21"/>
                <w:szCs w:val="21"/>
              </w:rPr>
            </w:pPr>
            <w:r>
              <w:rPr>
                <w:rFonts w:hint="eastAsia" w:ascii="宋体" w:hAnsi="宋体" w:eastAsia="宋体" w:cs="宋体"/>
                <w:sz w:val="21"/>
                <w:szCs w:val="21"/>
              </w:rPr>
              <w:t>比率＞15%的，得0分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7"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结转结余变动率(3分）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部门本年度结转结余资金总额与上年度结转结余资金总额的变动比率，用以反映和考核部门对控制结转结余资金的努力程度。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结转结余变动率=〔（本年度累计结转结余资金总额-上年度累计结转结余资金总额）/上年度累计结转结余资金总额〕×100%。</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比率≤0%；得3分；</w:t>
            </w:r>
          </w:p>
          <w:p>
            <w:pPr>
              <w:spacing w:line="360" w:lineRule="auto"/>
              <w:rPr>
                <w:rFonts w:hint="eastAsia" w:ascii="宋体" w:hAnsi="宋体" w:eastAsia="宋体" w:cs="宋体"/>
                <w:sz w:val="21"/>
                <w:szCs w:val="21"/>
              </w:rPr>
            </w:pPr>
            <w:r>
              <w:rPr>
                <w:rFonts w:hint="eastAsia" w:ascii="宋体" w:hAnsi="宋体" w:eastAsia="宋体" w:cs="宋体"/>
                <w:sz w:val="21"/>
                <w:szCs w:val="21"/>
              </w:rPr>
              <w:t>0%﹤比率≤5%的，得2分；</w:t>
            </w:r>
          </w:p>
          <w:p>
            <w:pPr>
              <w:spacing w:line="360" w:lineRule="auto"/>
              <w:rPr>
                <w:rFonts w:hint="eastAsia" w:ascii="宋体" w:hAnsi="宋体" w:eastAsia="宋体" w:cs="宋体"/>
                <w:sz w:val="21"/>
                <w:szCs w:val="21"/>
              </w:rPr>
            </w:pPr>
            <w:r>
              <w:rPr>
                <w:rFonts w:hint="eastAsia" w:ascii="宋体" w:hAnsi="宋体" w:eastAsia="宋体" w:cs="宋体"/>
                <w:sz w:val="21"/>
                <w:szCs w:val="21"/>
              </w:rPr>
              <w:t>5%﹤比率≤10%的，得1分；</w:t>
            </w:r>
          </w:p>
          <w:p>
            <w:pPr>
              <w:spacing w:line="240" w:lineRule="exact"/>
              <w:rPr>
                <w:rFonts w:hint="eastAsia" w:ascii="宋体" w:hAnsi="宋体" w:eastAsia="宋体" w:cs="宋体"/>
                <w:sz w:val="21"/>
                <w:szCs w:val="21"/>
              </w:rPr>
            </w:pPr>
            <w:r>
              <w:rPr>
                <w:rFonts w:hint="eastAsia" w:ascii="宋体" w:hAnsi="宋体" w:eastAsia="宋体" w:cs="宋体"/>
                <w:sz w:val="21"/>
                <w:szCs w:val="21"/>
              </w:rPr>
              <w:t>比率＞10%的，得0分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公用经费控制率（3分）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通过对部门本年度实际支出的公用经费总额与预算安排的公用经费总额的比率，反映和评价部门对机构运转成本的实际控制程度。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公用经费控制率=（实际支出公用经费总额/预算安排公用经费总额）×100%。</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目标值为≤100%；达到目标值得3分，未达到目标值的每增加0.1个百分点扣0.1分，扣完为止。</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3"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“三公”经费控制率（3分）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部门（单位）本年度“三公”经费实际支出数与预算安排数的比率，用以反映和考核部门（单位）对“三公”经费的实际控制程度。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“三公”经费控制率=（“三公”经费实际支出/“三公”经费预算安排数）×100%</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目标值为≤100%；达到目标值得3分，未达到目标值的每增加0.1个百分点扣0.1分，扣完为止。</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777"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208" w:type="dxa"/>
            <w:gridSpan w:val="2"/>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政府采购执行率（3分）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通过对部门本年度实际政府采购金额与年初政府采购预算的比较，反映和评价部门政府采购预算执行情况。</w:t>
            </w:r>
          </w:p>
          <w:p>
            <w:pPr>
              <w:spacing w:line="240" w:lineRule="exact"/>
              <w:rPr>
                <w:rFonts w:hint="eastAsia" w:ascii="宋体" w:hAnsi="宋体" w:eastAsia="宋体" w:cs="宋体"/>
                <w:sz w:val="21"/>
                <w:szCs w:val="21"/>
              </w:rPr>
            </w:pPr>
            <w:r>
              <w:rPr>
                <w:rFonts w:hint="eastAsia" w:ascii="宋体" w:hAnsi="宋体" w:eastAsia="宋体" w:cs="宋体"/>
                <w:sz w:val="21"/>
                <w:szCs w:val="21"/>
              </w:rPr>
              <w:t>政府采购执行率=（实际政府采购金额/政府采购预算×100%。</w:t>
            </w:r>
          </w:p>
          <w:p>
            <w:pPr>
              <w:spacing w:line="240" w:lineRule="exact"/>
              <w:rPr>
                <w:rFonts w:hint="eastAsia" w:ascii="宋体" w:hAnsi="宋体" w:eastAsia="宋体" w:cs="宋体"/>
                <w:sz w:val="21"/>
                <w:szCs w:val="21"/>
              </w:rPr>
            </w:pPr>
            <w:r>
              <w:rPr>
                <w:rFonts w:hint="eastAsia" w:ascii="宋体" w:hAnsi="宋体" w:eastAsia="宋体" w:cs="宋体"/>
                <w:sz w:val="21"/>
                <w:szCs w:val="21"/>
              </w:rPr>
              <w:t>政府采购预算，是指采购机关根据事业发展计划和行政任务编制的、并经过规定程序批准的年度政府采购计划。</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目标值为100%；以3分为上限，采用完成比率法计分：得分=政府采购执行率×3。若实际政府采购金额大于政府采购预算数则本项不得分。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4"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restart"/>
            <w:tcBorders>
              <w:top w:val="single" w:color="000000" w:sz="4" w:space="0"/>
              <w:left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预算管理</w:t>
            </w:r>
          </w:p>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（18分）</w:t>
            </w: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管理制度健全性</w:t>
            </w:r>
          </w:p>
          <w:p>
            <w:pPr>
              <w:spacing w:line="240" w:lineRule="exact"/>
              <w:rPr>
                <w:rFonts w:hint="eastAsia" w:ascii="宋体" w:hAnsi="宋体" w:eastAsia="宋体" w:cs="宋体"/>
                <w:sz w:val="21"/>
                <w:szCs w:val="21"/>
              </w:rPr>
            </w:pPr>
            <w:r>
              <w:rPr>
                <w:rFonts w:hint="eastAsia" w:ascii="宋体" w:hAnsi="宋体" w:eastAsia="宋体" w:cs="宋体"/>
                <w:sz w:val="21"/>
                <w:szCs w:val="21"/>
              </w:rPr>
              <w:t>（6分）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部门为加强预算管理，规范财务行为而制定的管理制度是否健全完整，项目管理是否规范，基础信息是否完整等。评价要点：</w:t>
            </w:r>
          </w:p>
          <w:p>
            <w:pPr>
              <w:spacing w:line="240" w:lineRule="exact"/>
              <w:rPr>
                <w:rFonts w:hint="eastAsia" w:ascii="宋体" w:hAnsi="宋体" w:eastAsia="宋体" w:cs="宋体"/>
                <w:sz w:val="21"/>
                <w:szCs w:val="21"/>
              </w:rPr>
            </w:pPr>
            <w:r>
              <w:rPr>
                <w:rFonts w:hint="eastAsia" w:ascii="宋体" w:hAnsi="宋体" w:eastAsia="宋体" w:cs="宋体"/>
                <w:sz w:val="21"/>
                <w:szCs w:val="21"/>
              </w:rPr>
              <w:t>1．是否已制定或具有预算资金管理办法、内部财务管理制度、会计核算制度等管理制度；</w:t>
            </w:r>
          </w:p>
          <w:p>
            <w:pPr>
              <w:spacing w:line="240" w:lineRule="exact"/>
              <w:rPr>
                <w:rFonts w:hint="eastAsia" w:ascii="宋体" w:hAnsi="宋体" w:eastAsia="宋体" w:cs="宋体"/>
                <w:sz w:val="21"/>
                <w:szCs w:val="21"/>
              </w:rPr>
            </w:pPr>
            <w:r>
              <w:rPr>
                <w:rFonts w:hint="eastAsia" w:ascii="宋体" w:hAnsi="宋体" w:eastAsia="宋体" w:cs="宋体"/>
                <w:sz w:val="21"/>
                <w:szCs w:val="21"/>
              </w:rPr>
              <w:t>2.相关管理制度是否合法、合规、完整；</w:t>
            </w:r>
          </w:p>
          <w:p>
            <w:pPr>
              <w:spacing w:line="240" w:lineRule="exact"/>
              <w:rPr>
                <w:rFonts w:hint="eastAsia" w:ascii="宋体" w:hAnsi="宋体" w:eastAsia="宋体" w:cs="宋体"/>
                <w:sz w:val="21"/>
                <w:szCs w:val="21"/>
              </w:rPr>
            </w:pPr>
            <w:r>
              <w:rPr>
                <w:rFonts w:hint="eastAsia" w:ascii="宋体" w:hAnsi="宋体" w:eastAsia="宋体" w:cs="宋体"/>
                <w:sz w:val="21"/>
                <w:szCs w:val="21"/>
              </w:rPr>
              <w:t>3.相关管理制度是否得到有效执行。</w:t>
            </w:r>
          </w:p>
          <w:p>
            <w:pPr>
              <w:spacing w:line="240" w:lineRule="exact"/>
              <w:rPr>
                <w:rFonts w:hint="eastAsia" w:ascii="宋体" w:hAnsi="宋体" w:eastAsia="宋体" w:cs="宋体"/>
                <w:sz w:val="21"/>
                <w:szCs w:val="21"/>
              </w:rPr>
            </w:pPr>
            <w:r>
              <w:rPr>
                <w:rFonts w:hint="eastAsia" w:ascii="宋体" w:hAnsi="宋体" w:eastAsia="宋体" w:cs="宋体"/>
                <w:sz w:val="21"/>
                <w:szCs w:val="21"/>
              </w:rPr>
              <w:t>4、基础数据信息和会计信息资料真实、完整、准确；</w:t>
            </w:r>
          </w:p>
          <w:p>
            <w:pPr>
              <w:spacing w:line="240" w:lineRule="exact"/>
              <w:rPr>
                <w:rFonts w:hint="eastAsia" w:ascii="宋体" w:hAnsi="宋体" w:eastAsia="宋体" w:cs="宋体"/>
                <w:sz w:val="21"/>
                <w:szCs w:val="21"/>
              </w:rPr>
            </w:pPr>
            <w:r>
              <w:rPr>
                <w:rFonts w:hint="eastAsia" w:ascii="宋体" w:hAnsi="宋体" w:eastAsia="宋体" w:cs="宋体"/>
                <w:sz w:val="21"/>
                <w:szCs w:val="21"/>
              </w:rPr>
              <w:t>5、是否制定相关项目管理制度。</w:t>
            </w:r>
          </w:p>
          <w:p>
            <w:pPr>
              <w:spacing w:line="240" w:lineRule="exact"/>
              <w:rPr>
                <w:rFonts w:hint="eastAsia" w:ascii="宋体" w:hAnsi="宋体" w:eastAsia="宋体" w:cs="宋体"/>
                <w:sz w:val="21"/>
                <w:szCs w:val="21"/>
              </w:rPr>
            </w:pPr>
            <w:r>
              <w:rPr>
                <w:rFonts w:hint="eastAsia" w:ascii="宋体" w:hAnsi="宋体" w:eastAsia="宋体" w:cs="宋体"/>
                <w:sz w:val="21"/>
                <w:szCs w:val="21"/>
              </w:rPr>
              <w:t>6、项目实施是否规范。</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全部符合（6分）；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符合其中一项（1分）</w:t>
            </w:r>
          </w:p>
          <w:p>
            <w:pPr>
              <w:spacing w:line="240" w:lineRule="exact"/>
              <w:rPr>
                <w:rFonts w:hint="eastAsia" w:ascii="宋体" w:hAnsi="宋体" w:eastAsia="宋体" w:cs="宋体"/>
                <w:sz w:val="21"/>
                <w:szCs w:val="21"/>
              </w:rPr>
            </w:pP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9"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资金使用合规性</w:t>
            </w:r>
          </w:p>
          <w:p>
            <w:pPr>
              <w:spacing w:line="68" w:lineRule="atLeast"/>
              <w:rPr>
                <w:rFonts w:hint="eastAsia" w:ascii="宋体" w:hAnsi="宋体" w:eastAsia="宋体" w:cs="宋体"/>
                <w:sz w:val="21"/>
                <w:szCs w:val="21"/>
              </w:rPr>
            </w:pPr>
            <w:r>
              <w:rPr>
                <w:rFonts w:hint="eastAsia" w:ascii="宋体" w:hAnsi="宋体" w:eastAsia="宋体" w:cs="宋体"/>
                <w:sz w:val="21"/>
                <w:szCs w:val="21"/>
              </w:rPr>
              <w:t>（9分）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部门使用预算资金是否符合相关的预算财务管理制度的规定，反映和评价部门预算资金的规范运行情况。</w:t>
            </w:r>
          </w:p>
          <w:p>
            <w:pPr>
              <w:spacing w:line="240" w:lineRule="exact"/>
              <w:rPr>
                <w:rFonts w:hint="eastAsia" w:ascii="宋体" w:hAnsi="宋体" w:eastAsia="宋体" w:cs="宋体"/>
                <w:sz w:val="21"/>
                <w:szCs w:val="21"/>
              </w:rPr>
            </w:pPr>
            <w:r>
              <w:rPr>
                <w:rFonts w:hint="eastAsia" w:ascii="宋体" w:hAnsi="宋体" w:eastAsia="宋体" w:cs="宋体"/>
                <w:sz w:val="21"/>
                <w:szCs w:val="21"/>
              </w:rPr>
              <w:t>评价要点：</w:t>
            </w:r>
          </w:p>
          <w:p>
            <w:pPr>
              <w:spacing w:line="240" w:lineRule="exact"/>
              <w:rPr>
                <w:rFonts w:hint="eastAsia" w:ascii="宋体" w:hAnsi="宋体" w:eastAsia="宋体" w:cs="宋体"/>
                <w:sz w:val="21"/>
                <w:szCs w:val="21"/>
              </w:rPr>
            </w:pPr>
            <w:r>
              <w:rPr>
                <w:rFonts w:hint="eastAsia" w:ascii="宋体" w:hAnsi="宋体" w:eastAsia="宋体" w:cs="宋体"/>
                <w:sz w:val="21"/>
                <w:szCs w:val="21"/>
              </w:rPr>
              <w:t>1.符合国家财经法规和财务管理制度规定以及有关部门资金管理办法的规定；</w:t>
            </w:r>
          </w:p>
          <w:p>
            <w:pPr>
              <w:spacing w:line="240" w:lineRule="exact"/>
              <w:rPr>
                <w:rFonts w:hint="eastAsia" w:ascii="宋体" w:hAnsi="宋体" w:eastAsia="宋体" w:cs="宋体"/>
                <w:sz w:val="21"/>
                <w:szCs w:val="21"/>
              </w:rPr>
            </w:pPr>
            <w:r>
              <w:rPr>
                <w:rFonts w:hint="eastAsia" w:ascii="宋体" w:hAnsi="宋体" w:eastAsia="宋体" w:cs="宋体"/>
                <w:sz w:val="21"/>
                <w:szCs w:val="21"/>
              </w:rPr>
              <w:t>2.资金的拨付有完整的审批过程和手续；</w:t>
            </w:r>
          </w:p>
          <w:p>
            <w:pPr>
              <w:spacing w:line="240" w:lineRule="exact"/>
              <w:rPr>
                <w:rFonts w:hint="eastAsia" w:ascii="宋体" w:hAnsi="宋体" w:eastAsia="宋体" w:cs="宋体"/>
                <w:sz w:val="21"/>
                <w:szCs w:val="21"/>
              </w:rPr>
            </w:pPr>
            <w:r>
              <w:rPr>
                <w:rFonts w:hint="eastAsia" w:ascii="宋体" w:hAnsi="宋体" w:eastAsia="宋体" w:cs="宋体"/>
                <w:sz w:val="21"/>
                <w:szCs w:val="21"/>
              </w:rPr>
              <w:t>3.项目的重大开支经过评估论证；</w:t>
            </w:r>
          </w:p>
          <w:p>
            <w:pPr>
              <w:spacing w:line="240" w:lineRule="exact"/>
              <w:rPr>
                <w:rFonts w:hint="eastAsia" w:ascii="宋体" w:hAnsi="宋体" w:eastAsia="宋体" w:cs="宋体"/>
                <w:sz w:val="21"/>
                <w:szCs w:val="21"/>
              </w:rPr>
            </w:pPr>
            <w:r>
              <w:rPr>
                <w:rFonts w:hint="eastAsia" w:ascii="宋体" w:hAnsi="宋体" w:eastAsia="宋体" w:cs="宋体"/>
                <w:sz w:val="21"/>
                <w:szCs w:val="21"/>
              </w:rPr>
              <w:t>4.符合部门预算批复的用途；</w:t>
            </w:r>
          </w:p>
          <w:p>
            <w:pPr>
              <w:spacing w:line="240" w:lineRule="exact"/>
              <w:rPr>
                <w:rFonts w:hint="eastAsia" w:ascii="宋体" w:hAnsi="宋体" w:eastAsia="宋体" w:cs="宋体"/>
                <w:sz w:val="21"/>
                <w:szCs w:val="21"/>
              </w:rPr>
            </w:pPr>
            <w:r>
              <w:rPr>
                <w:rFonts w:hint="eastAsia" w:ascii="宋体" w:hAnsi="宋体" w:eastAsia="宋体" w:cs="宋体"/>
                <w:sz w:val="21"/>
                <w:szCs w:val="21"/>
              </w:rPr>
              <w:t>5.不存在截留情况；6.不存在挤占情况；</w:t>
            </w:r>
          </w:p>
          <w:p>
            <w:pPr>
              <w:spacing w:line="240" w:lineRule="exact"/>
              <w:rPr>
                <w:rFonts w:hint="eastAsia" w:ascii="宋体" w:hAnsi="宋体" w:eastAsia="宋体" w:cs="宋体"/>
                <w:sz w:val="21"/>
                <w:szCs w:val="21"/>
              </w:rPr>
            </w:pPr>
            <w:r>
              <w:rPr>
                <w:rFonts w:hint="eastAsia" w:ascii="宋体" w:hAnsi="宋体" w:eastAsia="宋体" w:cs="宋体"/>
                <w:sz w:val="21"/>
                <w:szCs w:val="21"/>
              </w:rPr>
              <w:t>7.不存在挪用情况；8.不存在虚列支出情况。</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全部符合（9分）；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符合其中七项（8分）；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符合其中六项（5分）；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符合其中五项（3分）；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符合其中四项及以下（0分）。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3"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预决算信息公开性（3分）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部门是否按照政府信息公开有关规定公开相关预决算信息，用以反映和评价部门预决算管理的公开透明情况。</w:t>
            </w:r>
          </w:p>
          <w:p>
            <w:pPr>
              <w:spacing w:line="240" w:lineRule="exact"/>
              <w:rPr>
                <w:rFonts w:hint="eastAsia" w:ascii="宋体" w:hAnsi="宋体" w:eastAsia="宋体" w:cs="宋体"/>
                <w:sz w:val="21"/>
                <w:szCs w:val="21"/>
              </w:rPr>
            </w:pPr>
            <w:r>
              <w:rPr>
                <w:rFonts w:hint="eastAsia" w:ascii="宋体" w:hAnsi="宋体" w:eastAsia="宋体" w:cs="宋体"/>
                <w:sz w:val="21"/>
                <w:szCs w:val="21"/>
              </w:rPr>
              <w:t>预决算信息是指与部门预算、执行、决算、监督、绩效等管理相关的信息。</w:t>
            </w:r>
          </w:p>
          <w:p>
            <w:pPr>
              <w:spacing w:line="240" w:lineRule="exact"/>
              <w:rPr>
                <w:rFonts w:hint="eastAsia" w:ascii="宋体" w:hAnsi="宋体" w:eastAsia="宋体" w:cs="宋体"/>
                <w:sz w:val="21"/>
                <w:szCs w:val="21"/>
              </w:rPr>
            </w:pPr>
            <w:r>
              <w:rPr>
                <w:rFonts w:hint="eastAsia" w:ascii="宋体" w:hAnsi="宋体" w:eastAsia="宋体" w:cs="宋体"/>
                <w:sz w:val="21"/>
                <w:szCs w:val="21"/>
              </w:rPr>
              <w:t>评价要点：</w:t>
            </w:r>
          </w:p>
          <w:p>
            <w:pPr>
              <w:spacing w:line="240" w:lineRule="exact"/>
              <w:rPr>
                <w:rFonts w:hint="eastAsia" w:ascii="宋体" w:hAnsi="宋体" w:eastAsia="宋体" w:cs="宋体"/>
                <w:sz w:val="21"/>
                <w:szCs w:val="21"/>
              </w:rPr>
            </w:pPr>
            <w:r>
              <w:rPr>
                <w:rFonts w:hint="eastAsia" w:ascii="宋体" w:hAnsi="宋体" w:eastAsia="宋体" w:cs="宋体"/>
                <w:sz w:val="21"/>
                <w:szCs w:val="21"/>
              </w:rPr>
              <w:t>1.公开预决算信息；</w:t>
            </w:r>
          </w:p>
          <w:p>
            <w:pPr>
              <w:spacing w:line="240" w:lineRule="exact"/>
              <w:rPr>
                <w:rFonts w:hint="eastAsia" w:ascii="宋体" w:hAnsi="宋体" w:eastAsia="宋体" w:cs="宋体"/>
                <w:sz w:val="21"/>
                <w:szCs w:val="21"/>
              </w:rPr>
            </w:pPr>
            <w:r>
              <w:rPr>
                <w:rFonts w:hint="eastAsia" w:ascii="宋体" w:hAnsi="宋体" w:eastAsia="宋体" w:cs="宋体"/>
                <w:sz w:val="21"/>
                <w:szCs w:val="21"/>
              </w:rPr>
              <w:t>2.按规定内容公开预决算信息；</w:t>
            </w:r>
          </w:p>
          <w:p>
            <w:pPr>
              <w:spacing w:line="68" w:lineRule="atLeast"/>
              <w:rPr>
                <w:rFonts w:hint="eastAsia" w:ascii="宋体" w:hAnsi="宋体" w:eastAsia="宋体" w:cs="宋体"/>
                <w:sz w:val="21"/>
                <w:szCs w:val="21"/>
              </w:rPr>
            </w:pPr>
            <w:r>
              <w:rPr>
                <w:rFonts w:hint="eastAsia" w:ascii="宋体" w:hAnsi="宋体" w:eastAsia="宋体" w:cs="宋体"/>
                <w:sz w:val="21"/>
                <w:szCs w:val="21"/>
              </w:rPr>
              <w:t>3.按规定时限公开预决算信息。</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全部符合（3分）；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符合其中两项（2分）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符合其中一项及以下（0分）。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restart"/>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资产管理（8分）</w:t>
            </w:r>
          </w:p>
        </w:tc>
        <w:tc>
          <w:tcPr>
            <w:tcW w:w="1182" w:type="dxa"/>
            <w:tcBorders>
              <w:top w:val="single" w:color="auto"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资产管理完全性</w:t>
            </w:r>
          </w:p>
          <w:p>
            <w:pPr>
              <w:spacing w:line="68" w:lineRule="atLeast"/>
              <w:rPr>
                <w:rFonts w:hint="eastAsia" w:ascii="宋体" w:hAnsi="宋体" w:eastAsia="宋体" w:cs="宋体"/>
                <w:sz w:val="21"/>
                <w:szCs w:val="21"/>
              </w:rPr>
            </w:pPr>
            <w:r>
              <w:rPr>
                <w:rFonts w:hint="eastAsia" w:ascii="宋体" w:hAnsi="宋体" w:eastAsia="宋体" w:cs="宋体"/>
                <w:sz w:val="21"/>
                <w:szCs w:val="21"/>
              </w:rPr>
              <w:t>（4分）</w:t>
            </w:r>
          </w:p>
        </w:tc>
        <w:tc>
          <w:tcPr>
            <w:tcW w:w="6554" w:type="dxa"/>
            <w:tcBorders>
              <w:top w:val="single" w:color="auto"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部门的资产是否保存完整、使用合规、收入及时足额上缴，用以反映和评价部门资产运行情况。</w:t>
            </w:r>
          </w:p>
          <w:p>
            <w:pPr>
              <w:spacing w:line="240" w:lineRule="exact"/>
              <w:rPr>
                <w:rFonts w:hint="eastAsia" w:ascii="宋体" w:hAnsi="宋体" w:eastAsia="宋体" w:cs="宋体"/>
                <w:sz w:val="21"/>
                <w:szCs w:val="21"/>
              </w:rPr>
            </w:pPr>
            <w:r>
              <w:rPr>
                <w:rFonts w:hint="eastAsia" w:ascii="宋体" w:hAnsi="宋体" w:eastAsia="宋体" w:cs="宋体"/>
                <w:sz w:val="21"/>
                <w:szCs w:val="21"/>
              </w:rPr>
              <w:t>评价要点：</w:t>
            </w:r>
          </w:p>
          <w:p>
            <w:pPr>
              <w:spacing w:line="240" w:lineRule="exact"/>
              <w:rPr>
                <w:rFonts w:hint="eastAsia" w:ascii="宋体" w:hAnsi="宋体" w:eastAsia="宋体" w:cs="宋体"/>
                <w:sz w:val="21"/>
                <w:szCs w:val="21"/>
              </w:rPr>
            </w:pPr>
            <w:r>
              <w:rPr>
                <w:rFonts w:hint="eastAsia" w:ascii="宋体" w:hAnsi="宋体" w:eastAsia="宋体" w:cs="宋体"/>
                <w:sz w:val="21"/>
                <w:szCs w:val="21"/>
              </w:rPr>
              <w:t>1.资产保存完整；</w:t>
            </w:r>
          </w:p>
          <w:p>
            <w:pPr>
              <w:spacing w:line="240" w:lineRule="exact"/>
              <w:rPr>
                <w:rFonts w:hint="eastAsia" w:ascii="宋体" w:hAnsi="宋体" w:eastAsia="宋体" w:cs="宋体"/>
                <w:sz w:val="21"/>
                <w:szCs w:val="21"/>
              </w:rPr>
            </w:pPr>
            <w:r>
              <w:rPr>
                <w:rFonts w:hint="eastAsia" w:ascii="宋体" w:hAnsi="宋体" w:eastAsia="宋体" w:cs="宋体"/>
                <w:sz w:val="21"/>
                <w:szCs w:val="21"/>
              </w:rPr>
              <w:t>2.资产账务管理合规，帐实相符；</w:t>
            </w:r>
          </w:p>
          <w:p>
            <w:pPr>
              <w:spacing w:line="240" w:lineRule="exact"/>
              <w:rPr>
                <w:rFonts w:hint="eastAsia" w:ascii="宋体" w:hAnsi="宋体" w:eastAsia="宋体" w:cs="宋体"/>
                <w:sz w:val="21"/>
                <w:szCs w:val="21"/>
              </w:rPr>
            </w:pPr>
            <w:r>
              <w:rPr>
                <w:rFonts w:hint="eastAsia" w:ascii="宋体" w:hAnsi="宋体" w:eastAsia="宋体" w:cs="宋体"/>
                <w:sz w:val="21"/>
                <w:szCs w:val="21"/>
              </w:rPr>
              <w:t>3、资产配置合理、处置规范；</w:t>
            </w:r>
          </w:p>
          <w:p>
            <w:pPr>
              <w:spacing w:line="68" w:lineRule="atLeast"/>
              <w:rPr>
                <w:rFonts w:hint="eastAsia" w:ascii="宋体" w:hAnsi="宋体" w:eastAsia="宋体" w:cs="宋体"/>
                <w:sz w:val="21"/>
                <w:szCs w:val="21"/>
              </w:rPr>
            </w:pPr>
            <w:r>
              <w:rPr>
                <w:rFonts w:hint="eastAsia" w:ascii="宋体" w:hAnsi="宋体" w:eastAsia="宋体" w:cs="宋体"/>
                <w:sz w:val="21"/>
                <w:szCs w:val="21"/>
              </w:rPr>
              <w:t>4.资产有偿使用及处置收入及时足额上缴。</w:t>
            </w:r>
          </w:p>
        </w:tc>
        <w:tc>
          <w:tcPr>
            <w:tcW w:w="3780" w:type="dxa"/>
            <w:tcBorders>
              <w:top w:val="single" w:color="auto"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符合全部四项（4分）；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符合其中三项（3分）；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符合其中二项（2分）；</w:t>
            </w:r>
          </w:p>
          <w:p>
            <w:pPr>
              <w:spacing w:line="240" w:lineRule="exact"/>
              <w:rPr>
                <w:rFonts w:hint="eastAsia" w:ascii="宋体" w:hAnsi="宋体" w:eastAsia="宋体" w:cs="宋体"/>
                <w:sz w:val="21"/>
                <w:szCs w:val="21"/>
              </w:rPr>
            </w:pPr>
            <w:r>
              <w:rPr>
                <w:rFonts w:hint="eastAsia" w:ascii="宋体" w:hAnsi="宋体" w:eastAsia="宋体" w:cs="宋体"/>
                <w:sz w:val="21"/>
                <w:szCs w:val="21"/>
              </w:rPr>
              <w:t>符合其中一项（1分）；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符合零项（0分）。</w:t>
            </w:r>
          </w:p>
        </w:tc>
        <w:tc>
          <w:tcPr>
            <w:tcW w:w="790" w:type="dxa"/>
            <w:tcBorders>
              <w:top w:val="single" w:color="auto"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9"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auto"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固定资产利用率</w:t>
            </w:r>
          </w:p>
          <w:p>
            <w:pPr>
              <w:spacing w:line="68" w:lineRule="atLeast"/>
              <w:rPr>
                <w:rFonts w:hint="eastAsia" w:ascii="宋体" w:hAnsi="宋体" w:eastAsia="宋体" w:cs="宋体"/>
                <w:sz w:val="21"/>
                <w:szCs w:val="21"/>
              </w:rPr>
            </w:pPr>
            <w:r>
              <w:rPr>
                <w:rFonts w:hint="eastAsia" w:ascii="宋体" w:hAnsi="宋体" w:eastAsia="宋体" w:cs="宋体"/>
                <w:sz w:val="21"/>
                <w:szCs w:val="21"/>
              </w:rPr>
              <w:t>（4分）</w:t>
            </w:r>
          </w:p>
        </w:tc>
        <w:tc>
          <w:tcPr>
            <w:tcW w:w="6554" w:type="dxa"/>
            <w:tcBorders>
              <w:top w:val="single" w:color="auto"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部门实际在用固定资产总额与所有固定资产总额的比率，用以反映和评价部门固定资产使用效率。</w:t>
            </w:r>
          </w:p>
          <w:p>
            <w:pPr>
              <w:spacing w:line="68" w:lineRule="atLeast"/>
              <w:rPr>
                <w:rFonts w:hint="eastAsia" w:ascii="宋体" w:hAnsi="宋体" w:eastAsia="宋体" w:cs="宋体"/>
                <w:sz w:val="21"/>
                <w:szCs w:val="21"/>
              </w:rPr>
            </w:pPr>
            <w:r>
              <w:rPr>
                <w:rFonts w:hint="eastAsia" w:ascii="宋体" w:hAnsi="宋体" w:eastAsia="宋体" w:cs="宋体"/>
                <w:sz w:val="21"/>
                <w:szCs w:val="21"/>
              </w:rPr>
              <w:t>固定资产利用率=（实际在用固定资产总额/所有固定资产总额）×100%。</w:t>
            </w:r>
          </w:p>
        </w:tc>
        <w:tc>
          <w:tcPr>
            <w:tcW w:w="3780" w:type="dxa"/>
            <w:tcBorders>
              <w:top w:val="single" w:color="auto"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比率≥90%的，得4分；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90%＞比率≥80%，得3分；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80%＞比率≥70%，得2分；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70%＞比率≥60%，得1分；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比率＜60%得0分。</w:t>
            </w:r>
          </w:p>
        </w:tc>
        <w:tc>
          <w:tcPr>
            <w:tcW w:w="790" w:type="dxa"/>
            <w:tcBorders>
              <w:top w:val="single" w:color="auto"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p>
          <w:p>
            <w:pPr>
              <w:spacing w:line="68" w:lineRule="atLeast"/>
              <w:rPr>
                <w:rFonts w:hint="eastAsia" w:ascii="宋体" w:hAnsi="宋体" w:eastAsia="宋体" w:cs="宋体"/>
                <w:sz w:val="21"/>
                <w:szCs w:val="21"/>
              </w:rPr>
            </w:pPr>
            <w:r>
              <w:rPr>
                <w:rFonts w:hint="eastAsia" w:ascii="宋体" w:hAnsi="宋体" w:eastAsia="宋体" w:cs="宋体"/>
                <w:sz w:val="21"/>
                <w:szCs w:val="21"/>
              </w:rPr>
              <w:t>产出(25分)</w:t>
            </w:r>
          </w:p>
        </w:tc>
        <w:tc>
          <w:tcPr>
            <w:tcW w:w="803" w:type="dxa"/>
            <w:gridSpan w:val="2"/>
            <w:vMerge w:val="restart"/>
            <w:tcBorders>
              <w:top w:val="single" w:color="000000" w:sz="4" w:space="0"/>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职责履行（25分）</w:t>
            </w: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项目实际完成率（5分）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部门履行职责而实际完成的项目数与计划完成的项目数的比率，用以反映和评价部门履职任务目标的实现程度。</w:t>
            </w:r>
          </w:p>
          <w:p>
            <w:pPr>
              <w:spacing w:line="68" w:lineRule="atLeast"/>
              <w:rPr>
                <w:rFonts w:hint="eastAsia" w:ascii="宋体" w:hAnsi="宋体" w:eastAsia="宋体" w:cs="宋体"/>
                <w:sz w:val="21"/>
                <w:szCs w:val="21"/>
              </w:rPr>
            </w:pPr>
            <w:r>
              <w:rPr>
                <w:rFonts w:hint="eastAsia" w:ascii="宋体" w:hAnsi="宋体" w:eastAsia="宋体" w:cs="宋体"/>
                <w:sz w:val="21"/>
                <w:szCs w:val="21"/>
              </w:rPr>
              <w:t>项目实际完成率=（实际完成项目数/计划完成项目数）×100%。</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100%＞比率≥95%，得5分；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95%＞比率≥90%，得4分；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90%＞比率≥85%，得3分；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比率＜85%得0分。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9"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项目质量达标率（5分）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部门已完成项目中质量达标项目个数占已完成项目个数的比率,用以反映和评价部门履职质量目标的实现程度。</w:t>
            </w:r>
          </w:p>
          <w:p>
            <w:pPr>
              <w:spacing w:line="240" w:lineRule="exact"/>
              <w:rPr>
                <w:rFonts w:hint="eastAsia" w:ascii="宋体" w:hAnsi="宋体" w:eastAsia="宋体" w:cs="宋体"/>
                <w:sz w:val="21"/>
                <w:szCs w:val="21"/>
              </w:rPr>
            </w:pPr>
            <w:r>
              <w:rPr>
                <w:rFonts w:hint="eastAsia" w:ascii="宋体" w:hAnsi="宋体" w:eastAsia="宋体" w:cs="宋体"/>
                <w:sz w:val="21"/>
                <w:szCs w:val="21"/>
              </w:rPr>
              <w:t>项目质量达标率=（已完成项目中质量达标项目个数/已完成项目个数）×100%。</w:t>
            </w:r>
          </w:p>
          <w:p>
            <w:pPr>
              <w:spacing w:line="68" w:lineRule="atLeast"/>
              <w:rPr>
                <w:rFonts w:hint="eastAsia" w:ascii="宋体" w:hAnsi="宋体" w:eastAsia="宋体" w:cs="宋体"/>
                <w:sz w:val="21"/>
                <w:szCs w:val="21"/>
              </w:rPr>
            </w:pPr>
            <w:r>
              <w:rPr>
                <w:rFonts w:hint="eastAsia" w:ascii="宋体" w:hAnsi="宋体" w:eastAsia="宋体" w:cs="宋体"/>
                <w:sz w:val="21"/>
                <w:szCs w:val="21"/>
              </w:rPr>
              <w:t>项目质量达标是指项目决算验收合格。</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目标值100%；以5分为上限，采用完成比率法计分：得分=项目质量达标率×5，≤95%的扣5分。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重点工作办结率（5分）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部门年度重点工作实际完成数与交办或下达数的比率，用以反映部门对重点工作的办理落实程度。</w:t>
            </w:r>
          </w:p>
          <w:p>
            <w:pPr>
              <w:spacing w:line="68" w:lineRule="atLeast"/>
              <w:rPr>
                <w:rFonts w:hint="eastAsia" w:ascii="宋体" w:hAnsi="宋体" w:eastAsia="宋体" w:cs="宋体"/>
                <w:sz w:val="21"/>
                <w:szCs w:val="21"/>
              </w:rPr>
            </w:pPr>
            <w:r>
              <w:rPr>
                <w:rFonts w:hint="eastAsia" w:ascii="宋体" w:hAnsi="宋体" w:eastAsia="宋体" w:cs="宋体"/>
                <w:sz w:val="21"/>
                <w:szCs w:val="21"/>
              </w:rPr>
              <w:t>重点工作办结率=（重点工作实际完成数/交办或下达数）×100%。</w:t>
            </w:r>
          </w:p>
          <w:p>
            <w:pPr>
              <w:spacing w:line="68" w:lineRule="atLeast"/>
              <w:rPr>
                <w:rFonts w:hint="eastAsia" w:ascii="宋体" w:hAnsi="宋体" w:eastAsia="宋体" w:cs="宋体"/>
                <w:sz w:val="21"/>
                <w:szCs w:val="21"/>
              </w:rPr>
            </w:pPr>
            <w:r>
              <w:rPr>
                <w:rFonts w:hint="eastAsia" w:ascii="宋体" w:hAnsi="宋体" w:eastAsia="宋体" w:cs="宋体"/>
                <w:sz w:val="21"/>
                <w:szCs w:val="21"/>
              </w:rPr>
              <w:t>重点工作是指党委、政府、人大、相关部门交办或下达的工作任务。</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目标值100%；以5分为上限，采用完成比率法计分：得分=重点工作办结率×5，≤90%的扣5分。</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4" w:hRule="atLeast"/>
          <w:jc w:val="center"/>
        </w:trPr>
        <w:tc>
          <w:tcPr>
            <w:tcW w:w="733"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绩效目标完成率（10分）</w:t>
            </w:r>
          </w:p>
        </w:tc>
        <w:tc>
          <w:tcPr>
            <w:tcW w:w="6554"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反映部门（单位）整体绩效目标完成的情况</w:t>
            </w:r>
          </w:p>
        </w:tc>
        <w:tc>
          <w:tcPr>
            <w:tcW w:w="3780" w:type="dxa"/>
            <w:tcBorders>
              <w:top w:val="single" w:color="000000" w:sz="4" w:space="0"/>
              <w:left w:val="single" w:color="auto" w:sz="4" w:space="0"/>
              <w:bottom w:val="single" w:color="auto"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本项得分=绩效目标完成率×10</w:t>
            </w:r>
          </w:p>
          <w:p>
            <w:pPr>
              <w:spacing w:line="68" w:lineRule="atLeast"/>
              <w:rPr>
                <w:rFonts w:hint="eastAsia" w:ascii="宋体" w:hAnsi="宋体" w:eastAsia="宋体" w:cs="宋体"/>
                <w:sz w:val="21"/>
                <w:szCs w:val="21"/>
              </w:rPr>
            </w:pPr>
            <w:r>
              <w:rPr>
                <w:rFonts w:hint="eastAsia" w:ascii="宋体" w:hAnsi="宋体" w:eastAsia="宋体" w:cs="宋体"/>
                <w:sz w:val="21"/>
                <w:szCs w:val="21"/>
              </w:rPr>
              <w:t>（绩效目标完成率需提出合理依据）</w:t>
            </w:r>
          </w:p>
        </w:tc>
        <w:tc>
          <w:tcPr>
            <w:tcW w:w="790" w:type="dxa"/>
            <w:tcBorders>
              <w:top w:val="single" w:color="000000" w:sz="4" w:space="0"/>
              <w:left w:val="single" w:color="auto" w:sz="4" w:space="0"/>
              <w:bottom w:val="single" w:color="auto"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8" w:hRule="atLeast"/>
          <w:jc w:val="center"/>
        </w:trPr>
        <w:tc>
          <w:tcPr>
            <w:tcW w:w="733" w:type="dxa"/>
            <w:vMerge w:val="restart"/>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效益（15分）</w:t>
            </w:r>
          </w:p>
        </w:tc>
        <w:tc>
          <w:tcPr>
            <w:tcW w:w="803" w:type="dxa"/>
            <w:gridSpan w:val="2"/>
            <w:tcBorders>
              <w:top w:val="single" w:color="auto" w:sz="4" w:space="0"/>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效果性（5分）</w:t>
            </w: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bCs/>
                <w:color w:val="000000"/>
                <w:sz w:val="21"/>
                <w:szCs w:val="21"/>
              </w:rPr>
              <w:t>社会经济效益</w:t>
            </w:r>
            <w:r>
              <w:rPr>
                <w:rFonts w:hint="eastAsia" w:ascii="宋体" w:hAnsi="宋体" w:eastAsia="宋体" w:cs="宋体"/>
                <w:bCs/>
                <w:sz w:val="21"/>
                <w:szCs w:val="21"/>
              </w:rPr>
              <w:t>（5）</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color w:val="000000"/>
                <w:sz w:val="21"/>
                <w:szCs w:val="21"/>
              </w:rPr>
              <w:t>反映项目实施直接产出的社会、经济、环境效应，主要通过项目资金使用效果的个性指标完成情况反映。</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color w:val="000000"/>
                <w:sz w:val="21"/>
                <w:szCs w:val="21"/>
              </w:rPr>
              <w:t>根据项目实际并结合绩效目标设立情况，有选择地设置个性化绩效指标，且通过绩效指标完成情况与目标值对比分析，进行核定得分。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restart"/>
            <w:tcBorders>
              <w:left w:val="single" w:color="000000"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公平性</w:t>
            </w:r>
          </w:p>
          <w:p>
            <w:pPr>
              <w:spacing w:line="68" w:lineRule="atLeast"/>
              <w:rPr>
                <w:rFonts w:hint="eastAsia" w:ascii="宋体" w:hAnsi="宋体" w:eastAsia="宋体" w:cs="宋体"/>
                <w:sz w:val="21"/>
                <w:szCs w:val="21"/>
              </w:rPr>
            </w:pPr>
            <w:r>
              <w:rPr>
                <w:rFonts w:hint="eastAsia" w:ascii="宋体" w:hAnsi="宋体" w:eastAsia="宋体" w:cs="宋体"/>
                <w:sz w:val="21"/>
                <w:szCs w:val="21"/>
              </w:rPr>
              <w:t>（10分）</w:t>
            </w: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群众信访办理情况（5分）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部门（单位）对群众信访意见的完成情况及及时性，反映部门（单位）对群粽意见的重视程度。</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设置了便利的群众意见反映渠道和群众意见办理回复机制的，得2分；</w:t>
            </w:r>
          </w:p>
          <w:p>
            <w:pPr>
              <w:spacing w:line="240" w:lineRule="exact"/>
              <w:rPr>
                <w:rFonts w:hint="eastAsia" w:ascii="宋体" w:hAnsi="宋体" w:eastAsia="宋体" w:cs="宋体"/>
                <w:sz w:val="21"/>
                <w:szCs w:val="21"/>
              </w:rPr>
            </w:pPr>
            <w:r>
              <w:rPr>
                <w:rFonts w:hint="eastAsia" w:ascii="宋体" w:hAnsi="宋体" w:eastAsia="宋体" w:cs="宋体"/>
                <w:sz w:val="21"/>
                <w:szCs w:val="21"/>
              </w:rPr>
              <w:t>当年所有群众信访意见均有回复，且在规定时间内，得3分，否则按比例扣分。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5" w:hRule="atLeast"/>
          <w:jc w:val="center"/>
        </w:trPr>
        <w:tc>
          <w:tcPr>
            <w:tcW w:w="733" w:type="dxa"/>
            <w:vMerge w:val="continue"/>
            <w:tcBorders>
              <w:left w:val="single" w:color="000000" w:sz="4" w:space="0"/>
              <w:right w:val="single" w:color="000000" w:sz="4" w:space="0"/>
            </w:tcBorders>
            <w:vAlign w:val="center"/>
          </w:tcPr>
          <w:p>
            <w:pPr>
              <w:rPr>
                <w:rFonts w:hint="eastAsia" w:ascii="宋体" w:hAnsi="宋体" w:eastAsia="宋体" w:cs="宋体"/>
                <w:sz w:val="21"/>
                <w:szCs w:val="21"/>
              </w:rPr>
            </w:pPr>
          </w:p>
        </w:tc>
        <w:tc>
          <w:tcPr>
            <w:tcW w:w="803" w:type="dxa"/>
            <w:gridSpan w:val="2"/>
            <w:vMerge w:val="continue"/>
            <w:tcBorders>
              <w:left w:val="single" w:color="000000" w:sz="4" w:space="0"/>
              <w:bottom w:val="single" w:color="auto" w:sz="4" w:space="0"/>
              <w:right w:val="single" w:color="000000" w:sz="4" w:space="0"/>
            </w:tcBorders>
            <w:vAlign w:val="center"/>
          </w:tcPr>
          <w:p>
            <w:pPr>
              <w:spacing w:line="68" w:lineRule="atLeast"/>
              <w:rPr>
                <w:rFonts w:hint="eastAsia" w:ascii="宋体" w:hAnsi="宋体" w:eastAsia="宋体" w:cs="宋体"/>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社会公众满意度（5分）</w:t>
            </w: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通过问卷调查了解社会公众对部门履职效果、解决民众关心的热点问题、厉行节约等方面的满意程度，反映和评价部门支出所带来的社会效益。</w:t>
            </w:r>
          </w:p>
        </w:tc>
        <w:tc>
          <w:tcPr>
            <w:tcW w:w="3780" w:type="dxa"/>
            <w:tcBorders>
              <w:top w:val="single" w:color="000000" w:sz="4" w:space="0"/>
              <w:left w:val="single" w:color="auto" w:sz="4" w:space="0"/>
              <w:bottom w:val="single" w:color="000000" w:sz="4" w:space="0"/>
              <w:right w:val="single" w:color="auto" w:sz="4" w:space="0"/>
            </w:tcBorders>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按照满意度调查的优秀、良好、合格、不合格给予该项指标打分：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优秀（5分）；良好（3分）；合格（1分）；不合格（0分）。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jc w:val="center"/>
        </w:trPr>
        <w:tc>
          <w:tcPr>
            <w:tcW w:w="733" w:type="dxa"/>
            <w:tcBorders>
              <w:left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小计</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100</w:t>
            </w: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p>
        </w:tc>
        <w:tc>
          <w:tcPr>
            <w:tcW w:w="6554"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p>
        </w:tc>
        <w:tc>
          <w:tcPr>
            <w:tcW w:w="3780" w:type="dxa"/>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733" w:type="dxa"/>
            <w:tcBorders>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评价结果</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spacing w:line="68" w:lineRule="atLeast"/>
              <w:rPr>
                <w:rFonts w:hint="eastAsia" w:ascii="宋体" w:hAnsi="宋体" w:eastAsia="宋体" w:cs="宋体"/>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p>
        </w:tc>
        <w:tc>
          <w:tcPr>
            <w:tcW w:w="10334" w:type="dxa"/>
            <w:gridSpan w:val="2"/>
            <w:tcBorders>
              <w:top w:val="single" w:color="000000" w:sz="4" w:space="0"/>
              <w:left w:val="single" w:color="auto" w:sz="4" w:space="0"/>
              <w:bottom w:val="single" w:color="000000" w:sz="4" w:space="0"/>
              <w:right w:val="single" w:color="auto" w:sz="4" w:space="0"/>
            </w:tcBorders>
            <w:vAlign w:val="center"/>
          </w:tcPr>
          <w:p>
            <w:pPr>
              <w:spacing w:line="68" w:lineRule="atLeast"/>
              <w:rPr>
                <w:rFonts w:hint="eastAsia" w:ascii="宋体" w:hAnsi="宋体" w:eastAsia="宋体" w:cs="宋体"/>
                <w:sz w:val="21"/>
                <w:szCs w:val="21"/>
              </w:rPr>
            </w:pPr>
            <w:r>
              <w:rPr>
                <w:rFonts w:hint="eastAsia" w:ascii="宋体" w:hAnsi="宋体" w:eastAsia="宋体" w:cs="宋体"/>
                <w:sz w:val="21"/>
                <w:szCs w:val="21"/>
              </w:rPr>
              <w:t>□优秀  90分≤得分≤100分； □良好  80分≤得分≤89分；</w:t>
            </w:r>
          </w:p>
          <w:p>
            <w:pPr>
              <w:spacing w:line="68" w:lineRule="atLeast"/>
              <w:rPr>
                <w:rFonts w:hint="eastAsia" w:ascii="宋体" w:hAnsi="宋体" w:eastAsia="宋体" w:cs="宋体"/>
                <w:sz w:val="21"/>
                <w:szCs w:val="21"/>
              </w:rPr>
            </w:pPr>
            <w:r>
              <w:rPr>
                <w:rFonts w:hint="eastAsia" w:ascii="宋体" w:hAnsi="宋体" w:eastAsia="宋体" w:cs="宋体"/>
                <w:sz w:val="21"/>
                <w:szCs w:val="21"/>
              </w:rPr>
              <w:t xml:space="preserve">  □中  60分≤得分≤79分；  □较差  0≤得分≤59分</w:t>
            </w:r>
          </w:p>
        </w:tc>
        <w:tc>
          <w:tcPr>
            <w:tcW w:w="790" w:type="dxa"/>
            <w:tcBorders>
              <w:top w:val="single" w:color="000000" w:sz="4" w:space="0"/>
              <w:left w:val="single" w:color="auto" w:sz="4" w:space="0"/>
              <w:bottom w:val="single" w:color="000000" w:sz="4" w:space="0"/>
              <w:right w:val="single" w:color="000000" w:sz="4" w:space="0"/>
            </w:tcBorders>
            <w:vAlign w:val="center"/>
          </w:tcPr>
          <w:p>
            <w:pPr>
              <w:spacing w:line="68" w:lineRule="atLeast"/>
              <w:jc w:val="center"/>
              <w:rPr>
                <w:rFonts w:hint="eastAsia" w:ascii="宋体" w:hAnsi="宋体" w:eastAsia="宋体" w:cs="宋体"/>
                <w:sz w:val="21"/>
                <w:szCs w:val="21"/>
              </w:rPr>
            </w:pPr>
            <w:r>
              <w:rPr>
                <w:rFonts w:hint="eastAsia" w:ascii="宋体" w:hAnsi="宋体" w:eastAsia="宋体" w:cs="宋体"/>
                <w:sz w:val="21"/>
                <w:szCs w:val="21"/>
              </w:rPr>
              <w:t>优秀</w:t>
            </w:r>
          </w:p>
        </w:tc>
      </w:tr>
    </w:tbl>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填报人：罗老师                                                    联系电话：74668513</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2" w:firstLineChars="200"/>
        <w:textAlignment w:val="auto"/>
        <w:rPr>
          <w:rFonts w:hint="eastAsia" w:ascii="方正仿宋_GBK" w:hAnsi="方正仿宋_GBK" w:eastAsia="方正仿宋_GBK" w:cs="方正仿宋_GBK"/>
          <w:b/>
          <w:bCs/>
          <w:sz w:val="24"/>
          <w:szCs w:val="24"/>
        </w:rPr>
      </w:pPr>
      <w:r>
        <w:rPr>
          <w:rStyle w:val="8"/>
          <w:rFonts w:hint="eastAsia" w:ascii="方正仿宋_GBK" w:hAnsi="方正仿宋_GBK" w:eastAsia="方正仿宋_GBK" w:cs="方正仿宋_GBK"/>
          <w:sz w:val="24"/>
          <w:szCs w:val="24"/>
        </w:rPr>
        <w:t>2</w:t>
      </w:r>
      <w:r>
        <w:rPr>
          <w:rStyle w:val="8"/>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color w:val="000000"/>
          <w:sz w:val="24"/>
          <w:szCs w:val="24"/>
        </w:rPr>
        <w:t>项目绩效目标自评表</w:t>
      </w:r>
    </w:p>
    <w:tbl>
      <w:tblPr>
        <w:tblStyle w:val="6"/>
        <w:tblW w:w="14360" w:type="dxa"/>
        <w:tblInd w:w="96" w:type="dxa"/>
        <w:tblLayout w:type="fixed"/>
        <w:tblCellMar>
          <w:top w:w="0" w:type="dxa"/>
          <w:left w:w="108" w:type="dxa"/>
          <w:bottom w:w="0" w:type="dxa"/>
          <w:right w:w="108" w:type="dxa"/>
        </w:tblCellMar>
      </w:tblPr>
      <w:tblGrid>
        <w:gridCol w:w="748"/>
        <w:gridCol w:w="936"/>
        <w:gridCol w:w="796"/>
        <w:gridCol w:w="847"/>
        <w:gridCol w:w="1497"/>
        <w:gridCol w:w="936"/>
        <w:gridCol w:w="936"/>
        <w:gridCol w:w="484"/>
        <w:gridCol w:w="1100"/>
        <w:gridCol w:w="1540"/>
        <w:gridCol w:w="1263"/>
        <w:gridCol w:w="1685"/>
        <w:gridCol w:w="1592"/>
      </w:tblGrid>
      <w:tr>
        <w:tblPrEx>
          <w:tblLayout w:type="fixed"/>
          <w:tblCellMar>
            <w:top w:w="0" w:type="dxa"/>
            <w:left w:w="108" w:type="dxa"/>
            <w:bottom w:w="0" w:type="dxa"/>
            <w:right w:w="108" w:type="dxa"/>
          </w:tblCellMar>
        </w:tblPrEx>
        <w:trPr>
          <w:trHeight w:val="405" w:hRule="atLeast"/>
        </w:trPr>
        <w:tc>
          <w:tcPr>
            <w:tcW w:w="14360" w:type="dxa"/>
            <w:gridSpan w:val="13"/>
            <w:tcBorders>
              <w:top w:val="nil"/>
              <w:left w:val="nil"/>
              <w:bottom w:val="nil"/>
              <w:right w:val="nil"/>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2021年预算项目绩效目标自评表</w:t>
            </w:r>
          </w:p>
        </w:tc>
      </w:tr>
      <w:tr>
        <w:tblPrEx>
          <w:tblLayout w:type="fixed"/>
          <w:tblCellMar>
            <w:top w:w="0" w:type="dxa"/>
            <w:left w:w="108" w:type="dxa"/>
            <w:bottom w:w="0" w:type="dxa"/>
            <w:right w:w="108" w:type="dxa"/>
          </w:tblCellMar>
        </w:tblPrEx>
        <w:trPr>
          <w:trHeight w:val="285"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填报单位：        </w:t>
            </w:r>
          </w:p>
        </w:tc>
        <w:tc>
          <w:tcPr>
            <w:tcW w:w="13612" w:type="dxa"/>
            <w:gridSpan w:val="12"/>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垫江县民政局</w:t>
            </w:r>
          </w:p>
        </w:tc>
      </w:tr>
      <w:tr>
        <w:tblPrEx>
          <w:tblLayout w:type="fixed"/>
          <w:tblCellMar>
            <w:top w:w="0" w:type="dxa"/>
            <w:left w:w="108" w:type="dxa"/>
            <w:bottom w:w="0" w:type="dxa"/>
            <w:right w:w="108" w:type="dxa"/>
          </w:tblCellMar>
        </w:tblPrEx>
        <w:trPr>
          <w:trHeight w:val="285" w:hRule="atLeast"/>
        </w:trPr>
        <w:tc>
          <w:tcPr>
            <w:tcW w:w="748"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7532" w:type="dxa"/>
            <w:gridSpan w:val="8"/>
            <w:tcBorders>
              <w:top w:val="single" w:color="auto" w:sz="4" w:space="0"/>
              <w:left w:val="nil"/>
              <w:bottom w:val="single" w:color="auto" w:sz="4" w:space="0"/>
              <w:right w:val="nil"/>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困难群众救助补助金</w:t>
            </w:r>
          </w:p>
        </w:tc>
        <w:tc>
          <w:tcPr>
            <w:tcW w:w="154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自评总分（分)</w:t>
            </w:r>
          </w:p>
        </w:tc>
        <w:tc>
          <w:tcPr>
            <w:tcW w:w="4540"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r>
      <w:tr>
        <w:tblPrEx>
          <w:tblLayout w:type="fixed"/>
          <w:tblCellMar>
            <w:top w:w="0" w:type="dxa"/>
            <w:left w:w="108" w:type="dxa"/>
            <w:bottom w:w="0" w:type="dxa"/>
            <w:right w:w="108" w:type="dxa"/>
          </w:tblCellMar>
        </w:tblPrEx>
        <w:trPr>
          <w:trHeight w:val="360" w:hRule="atLeast"/>
        </w:trPr>
        <w:tc>
          <w:tcPr>
            <w:tcW w:w="748"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业务主管部门</w:t>
            </w:r>
          </w:p>
        </w:tc>
        <w:tc>
          <w:tcPr>
            <w:tcW w:w="7532" w:type="dxa"/>
            <w:gridSpan w:val="8"/>
            <w:tcBorders>
              <w:top w:val="single" w:color="auto" w:sz="4" w:space="0"/>
              <w:left w:val="nil"/>
              <w:bottom w:val="single" w:color="auto" w:sz="4" w:space="0"/>
              <w:right w:val="nil"/>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垫江县财政局社保科</w:t>
            </w:r>
          </w:p>
        </w:tc>
        <w:tc>
          <w:tcPr>
            <w:tcW w:w="154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及电话</w:t>
            </w:r>
          </w:p>
        </w:tc>
        <w:tc>
          <w:tcPr>
            <w:tcW w:w="4540"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孙老师74517378</w:t>
            </w:r>
          </w:p>
        </w:tc>
      </w:tr>
      <w:tr>
        <w:tblPrEx>
          <w:tblLayout w:type="fixed"/>
          <w:tblCellMar>
            <w:top w:w="0" w:type="dxa"/>
            <w:left w:w="108" w:type="dxa"/>
            <w:bottom w:w="0" w:type="dxa"/>
            <w:right w:w="108" w:type="dxa"/>
          </w:tblCellMar>
        </w:tblPrEx>
        <w:trPr>
          <w:trHeight w:val="285" w:hRule="atLeast"/>
        </w:trPr>
        <w:tc>
          <w:tcPr>
            <w:tcW w:w="74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532" w:type="dxa"/>
            <w:gridSpan w:val="8"/>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全年资金总额</w:t>
            </w:r>
          </w:p>
        </w:tc>
        <w:tc>
          <w:tcPr>
            <w:tcW w:w="60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预算执行情况</w:t>
            </w:r>
          </w:p>
        </w:tc>
      </w:tr>
      <w:tr>
        <w:tblPrEx>
          <w:tblLayout w:type="fixed"/>
          <w:tblCellMar>
            <w:top w:w="0" w:type="dxa"/>
            <w:left w:w="108" w:type="dxa"/>
            <w:bottom w:w="0" w:type="dxa"/>
            <w:right w:w="108" w:type="dxa"/>
          </w:tblCellMar>
        </w:tblPrEx>
        <w:trPr>
          <w:trHeight w:val="360" w:hRule="atLeast"/>
        </w:trPr>
        <w:tc>
          <w:tcPr>
            <w:tcW w:w="74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项目资金（万元）</w:t>
            </w:r>
          </w:p>
        </w:tc>
        <w:tc>
          <w:tcPr>
            <w:tcW w:w="93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31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上年结转数</w:t>
            </w:r>
          </w:p>
        </w:tc>
        <w:tc>
          <w:tcPr>
            <w:tcW w:w="2356"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年初预算数</w:t>
            </w:r>
          </w:p>
        </w:tc>
        <w:tc>
          <w:tcPr>
            <w:tcW w:w="1100"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预算追加、追减(以“-”表示）金额</w:t>
            </w:r>
          </w:p>
        </w:tc>
        <w:tc>
          <w:tcPr>
            <w:tcW w:w="280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全年执行数（决算数）</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执行率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执行率得分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（10分)</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1"/>
                <w:szCs w:val="21"/>
              </w:rPr>
            </w:pPr>
          </w:p>
        </w:tc>
        <w:tc>
          <w:tcPr>
            <w:tcW w:w="936"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1"/>
                <w:szCs w:val="21"/>
              </w:rPr>
            </w:pPr>
          </w:p>
        </w:tc>
        <w:tc>
          <w:tcPr>
            <w:tcW w:w="79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847"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财政资金</w:t>
            </w:r>
          </w:p>
        </w:tc>
        <w:tc>
          <w:tcPr>
            <w:tcW w:w="1497"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其他资金</w:t>
            </w:r>
          </w:p>
        </w:tc>
        <w:tc>
          <w:tcPr>
            <w:tcW w:w="93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936"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财政资金</w:t>
            </w:r>
          </w:p>
        </w:tc>
        <w:tc>
          <w:tcPr>
            <w:tcW w:w="484"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其他资金</w:t>
            </w:r>
          </w:p>
        </w:tc>
        <w:tc>
          <w:tcPr>
            <w:tcW w:w="1100" w:type="dxa"/>
            <w:tcBorders>
              <w:top w:val="nil"/>
              <w:left w:val="nil"/>
              <w:bottom w:val="single" w:color="auto" w:sz="4" w:space="0"/>
              <w:right w:val="nil"/>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28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11078.54 </w:t>
            </w:r>
          </w:p>
        </w:tc>
        <w:tc>
          <w:tcPr>
            <w:tcW w:w="168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59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1"/>
                <w:szCs w:val="21"/>
              </w:rPr>
            </w:pPr>
          </w:p>
        </w:tc>
        <w:tc>
          <w:tcPr>
            <w:tcW w:w="93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11078.54 </w:t>
            </w:r>
          </w:p>
        </w:tc>
        <w:tc>
          <w:tcPr>
            <w:tcW w:w="79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67.47 </w:t>
            </w:r>
          </w:p>
        </w:tc>
        <w:tc>
          <w:tcPr>
            <w:tcW w:w="847"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67.47 </w:t>
            </w:r>
          </w:p>
        </w:tc>
        <w:tc>
          <w:tcPr>
            <w:tcW w:w="1497"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93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11011.07 </w:t>
            </w:r>
          </w:p>
        </w:tc>
        <w:tc>
          <w:tcPr>
            <w:tcW w:w="93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11011.07 </w:t>
            </w:r>
          </w:p>
        </w:tc>
        <w:tc>
          <w:tcPr>
            <w:tcW w:w="484"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100" w:type="dxa"/>
            <w:tcBorders>
              <w:top w:val="nil"/>
              <w:left w:val="nil"/>
              <w:bottom w:val="single" w:color="auto" w:sz="4" w:space="0"/>
              <w:right w:val="nil"/>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03" w:type="dxa"/>
            <w:gridSpan w:val="2"/>
            <w:vMerge w:val="continue"/>
            <w:tcBorders>
              <w:top w:val="nil"/>
              <w:left w:val="nil"/>
              <w:bottom w:val="single" w:color="auto" w:sz="4" w:space="0"/>
              <w:right w:val="nil"/>
            </w:tcBorders>
            <w:vAlign w:val="center"/>
          </w:tcPr>
          <w:p>
            <w:pPr>
              <w:rPr>
                <w:rFonts w:hint="eastAsia" w:ascii="宋体" w:hAnsi="宋体" w:eastAsia="宋体" w:cs="宋体"/>
                <w:color w:val="000000"/>
                <w:sz w:val="21"/>
                <w:szCs w:val="21"/>
              </w:rPr>
            </w:pPr>
          </w:p>
        </w:tc>
        <w:tc>
          <w:tcPr>
            <w:tcW w:w="168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1"/>
                <w:szCs w:val="21"/>
              </w:rPr>
            </w:pPr>
          </w:p>
        </w:tc>
        <w:tc>
          <w:tcPr>
            <w:tcW w:w="1592"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85" w:hRule="atLeast"/>
        </w:trPr>
        <w:tc>
          <w:tcPr>
            <w:tcW w:w="74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年度总体目标</w:t>
            </w:r>
          </w:p>
        </w:tc>
        <w:tc>
          <w:tcPr>
            <w:tcW w:w="7532"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年初设定目标</w:t>
            </w:r>
          </w:p>
        </w:tc>
        <w:tc>
          <w:tcPr>
            <w:tcW w:w="6080"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全年目标实际完成情况</w:t>
            </w:r>
          </w:p>
        </w:tc>
      </w:tr>
      <w:tr>
        <w:tblPrEx>
          <w:tblLayout w:type="fixed"/>
          <w:tblCellMar>
            <w:top w:w="0" w:type="dxa"/>
            <w:left w:w="108" w:type="dxa"/>
            <w:bottom w:w="0" w:type="dxa"/>
            <w:right w:w="108" w:type="dxa"/>
          </w:tblCellMar>
        </w:tblPrEx>
        <w:trPr>
          <w:trHeight w:val="1275" w:hRule="atLeast"/>
        </w:trPr>
        <w:tc>
          <w:tcPr>
            <w:tcW w:w="748"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7532" w:type="dxa"/>
            <w:gridSpan w:val="8"/>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1.不断完善城乡低保政策，规范救助申报及审批程序，稳步提高低保标准，低保对象基本生活得到有效保障。2.统筹城乡特困人员救助供养工作，特困供养标准稳步提高。3.临时救助政策规范实施，实现了即时高效，救急解难。4.为生活无着的流浪乞讨人员实施主动救助、生活救助、医疗救治、教育矫治、返乡救助、临时安置以及未成年社会保护等救助保护工作，切实发挥了救助机构的“临时救助”作用，贯彻了“兜底线、救急难”的原则，保障了受助人员的基本生活权益和人格尊严。5.保障孤儿（艾滋病儿、事实无人抚养儿童）的基本生活，及时将符合条件的儿童纳入保障范围，提高未成年人的合法权益。</w:t>
            </w:r>
          </w:p>
        </w:tc>
        <w:tc>
          <w:tcPr>
            <w:tcW w:w="6080" w:type="dxa"/>
            <w:gridSpan w:val="4"/>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1.完善了城乡低保政策，进一步规范了救助申报及审批程序，稳步提高了低保标准，低保对象基本生活得到了有效保障。2.特困供养标准稳步提高。3.临时救助政策规范实施，实现了即时高效，救急解难。4.为生活无着的流浪乞讨人员实施了主动救助、生活救助、医疗救治、教育矫治、返乡救助、临时安置以及未成年社会保护等救助保护工作，切实发挥了救助机构的“临时救助”作用，贯彻了“兜底线、救急难”的原则，保障了受助人员的基本生活权益和人格尊严。5.保障了孤儿（艾滋病儿、事实无人抚养儿童）的基本生活，及时将符合条件的儿童纳入保障范围，提高了未成年人的合法权益。</w:t>
            </w:r>
          </w:p>
        </w:tc>
      </w:tr>
      <w:tr>
        <w:tblPrEx>
          <w:tblLayout w:type="fixed"/>
          <w:tblCellMar>
            <w:top w:w="0" w:type="dxa"/>
            <w:left w:w="108" w:type="dxa"/>
            <w:bottom w:w="0" w:type="dxa"/>
            <w:right w:w="108" w:type="dxa"/>
          </w:tblCellMar>
        </w:tblPrEx>
        <w:trPr>
          <w:trHeight w:val="360" w:hRule="atLeast"/>
        </w:trPr>
        <w:tc>
          <w:tcPr>
            <w:tcW w:w="748" w:type="dxa"/>
            <w:vMerge w:val="restart"/>
            <w:tcBorders>
              <w:top w:val="nil"/>
              <w:left w:val="single" w:color="auto" w:sz="4" w:space="0"/>
              <w:bottom w:val="nil"/>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936"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一级指标</w:t>
            </w:r>
          </w:p>
        </w:tc>
        <w:tc>
          <w:tcPr>
            <w:tcW w:w="79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二级指标</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三级指标（指标名称）</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年度指标值（计量单位）</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调整后指标值（未调整不填列）</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实际完成值（计量单位）</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得分系数（%）</w:t>
            </w:r>
          </w:p>
        </w:tc>
        <w:tc>
          <w:tcPr>
            <w:tcW w:w="1685"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权重</w:t>
            </w:r>
          </w:p>
        </w:tc>
        <w:tc>
          <w:tcPr>
            <w:tcW w:w="159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得分</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796"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数量指标</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城乡低保保障人数</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≥18000人</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18110人</w:t>
            </w:r>
          </w:p>
        </w:tc>
        <w:tc>
          <w:tcPr>
            <w:tcW w:w="126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特困供养人数</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≥4450人</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4503人</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孤儿（艾滋病儿、事实无人扶养儿童）保障人数</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≥150人</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161人</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流浪乞讨人员救助人次</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≥120人次</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144人次</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临时救助次数</w:t>
            </w:r>
          </w:p>
        </w:tc>
        <w:tc>
          <w:tcPr>
            <w:tcW w:w="2356" w:type="dxa"/>
            <w:gridSpan w:val="3"/>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≥4000人次</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4129人次</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质量指标</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生活不能自理特困人员集中供养率</w:t>
            </w:r>
          </w:p>
        </w:tc>
        <w:tc>
          <w:tcPr>
            <w:tcW w:w="936" w:type="dxa"/>
            <w:tcBorders>
              <w:top w:val="nil"/>
              <w:left w:val="nil"/>
              <w:bottom w:val="single" w:color="auto" w:sz="4" w:space="0"/>
              <w:right w:val="nil"/>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936" w:type="dxa"/>
            <w:tcBorders>
              <w:top w:val="nil"/>
              <w:left w:val="nil"/>
              <w:bottom w:val="single" w:color="auto" w:sz="4" w:space="0"/>
              <w:right w:val="nil"/>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484"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55%</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补助对象认定准确率</w:t>
            </w:r>
          </w:p>
        </w:tc>
        <w:tc>
          <w:tcPr>
            <w:tcW w:w="936" w:type="dxa"/>
            <w:tcBorders>
              <w:top w:val="nil"/>
              <w:left w:val="nil"/>
              <w:bottom w:val="single" w:color="auto" w:sz="4" w:space="0"/>
              <w:right w:val="nil"/>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936" w:type="dxa"/>
            <w:tcBorders>
              <w:top w:val="nil"/>
              <w:left w:val="nil"/>
              <w:bottom w:val="single" w:color="auto" w:sz="4" w:space="0"/>
              <w:right w:val="nil"/>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c>
          <w:tcPr>
            <w:tcW w:w="484"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95%</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成本指标</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城市低保补差标准</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562元/人•月</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562元/人•月</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农村低保补差标准</w:t>
            </w:r>
          </w:p>
        </w:tc>
        <w:tc>
          <w:tcPr>
            <w:tcW w:w="2356" w:type="dxa"/>
            <w:gridSpan w:val="3"/>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451元/人•月</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451元/人•月</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孤儿补助标准</w:t>
            </w:r>
          </w:p>
        </w:tc>
        <w:tc>
          <w:tcPr>
            <w:tcW w:w="2356" w:type="dxa"/>
            <w:gridSpan w:val="3"/>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1277元/人•月</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1277元/人•月</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特困供养标准</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827元/人•月</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827元/人•月</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时效指标</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困难群众节本生活救助生活费按时发放率</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4.1</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4.1</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79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color w:val="000000"/>
                <w:sz w:val="21"/>
                <w:szCs w:val="21"/>
              </w:rPr>
            </w:pP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流浪乞讨人员</w:t>
            </w:r>
            <w:r>
              <w:rPr>
                <w:rFonts w:hint="eastAsia" w:cs="宋体"/>
                <w:color w:val="000000"/>
                <w:sz w:val="21"/>
                <w:szCs w:val="21"/>
                <w:lang w:eastAsia="zh-CN"/>
              </w:rPr>
              <w:t>救</w:t>
            </w:r>
            <w:r>
              <w:rPr>
                <w:rFonts w:hint="eastAsia" w:ascii="宋体" w:hAnsi="宋体" w:eastAsia="宋体" w:cs="宋体"/>
                <w:color w:val="000000"/>
                <w:sz w:val="21"/>
                <w:szCs w:val="21"/>
              </w:rPr>
              <w:t>助信息响应时间</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≤1个小时</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50分钟</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4.1</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4.1</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效益指标</w:t>
            </w:r>
          </w:p>
        </w:tc>
        <w:tc>
          <w:tcPr>
            <w:tcW w:w="79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社会效益</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困难群众生活水平提升情况</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有所提升</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有所提升</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9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可持续影响</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困难群众基本生活救助保障制度</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进一步完善</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进一步完善</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nil"/>
              <w:left w:val="single" w:color="auto" w:sz="4" w:space="0"/>
              <w:bottom w:val="nil"/>
              <w:right w:val="single" w:color="auto" w:sz="4" w:space="0"/>
            </w:tcBorders>
            <w:vAlign w:val="center"/>
          </w:tcPr>
          <w:p>
            <w:pPr>
              <w:rPr>
                <w:rFonts w:hint="eastAsia" w:ascii="宋体" w:hAnsi="宋体" w:eastAsia="宋体" w:cs="宋体"/>
                <w:sz w:val="21"/>
                <w:szCs w:val="21"/>
              </w:rPr>
            </w:pPr>
          </w:p>
        </w:tc>
        <w:tc>
          <w:tcPr>
            <w:tcW w:w="936"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满意度指标</w:t>
            </w:r>
          </w:p>
        </w:tc>
        <w:tc>
          <w:tcPr>
            <w:tcW w:w="796"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满意度指标（10分）</w:t>
            </w:r>
          </w:p>
        </w:tc>
        <w:tc>
          <w:tcPr>
            <w:tcW w:w="2344" w:type="dxa"/>
            <w:gridSpan w:val="2"/>
            <w:tcBorders>
              <w:top w:val="single" w:color="auto" w:sz="4" w:space="0"/>
              <w:left w:val="nil"/>
              <w:bottom w:val="single" w:color="auto" w:sz="4" w:space="0"/>
              <w:right w:val="single" w:color="000000"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救助对象满意度</w:t>
            </w:r>
          </w:p>
        </w:tc>
        <w:tc>
          <w:tcPr>
            <w:tcW w:w="235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11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c>
          <w:tcPr>
            <w:tcW w:w="126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100.00%</w:t>
            </w:r>
          </w:p>
        </w:tc>
        <w:tc>
          <w:tcPr>
            <w:tcW w:w="168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r>
      <w:tr>
        <w:tblPrEx>
          <w:tblLayout w:type="fixed"/>
          <w:tblCellMar>
            <w:top w:w="0" w:type="dxa"/>
            <w:left w:w="108" w:type="dxa"/>
            <w:bottom w:w="0" w:type="dxa"/>
            <w:right w:w="108" w:type="dxa"/>
          </w:tblCellMar>
        </w:tblPrEx>
        <w:trPr>
          <w:trHeight w:val="285" w:hRule="atLeast"/>
        </w:trPr>
        <w:tc>
          <w:tcPr>
            <w:tcW w:w="74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绩效目标未全部完成原因分析及整改措施</w:t>
            </w:r>
          </w:p>
        </w:tc>
        <w:tc>
          <w:tcPr>
            <w:tcW w:w="13612" w:type="dxa"/>
            <w:gridSpan w:val="12"/>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一、未全部完成原因分析:</w:t>
            </w:r>
          </w:p>
        </w:tc>
      </w:tr>
      <w:tr>
        <w:tblPrEx>
          <w:tblLayout w:type="fixed"/>
          <w:tblCellMar>
            <w:top w:w="0" w:type="dxa"/>
            <w:left w:w="108" w:type="dxa"/>
            <w:bottom w:w="0" w:type="dxa"/>
            <w:right w:w="108" w:type="dxa"/>
          </w:tblCellMar>
        </w:tblPrEx>
        <w:trPr>
          <w:trHeight w:val="285" w:hRule="atLeast"/>
        </w:trPr>
        <w:tc>
          <w:tcPr>
            <w:tcW w:w="748"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3612" w:type="dxa"/>
            <w:gridSpan w:val="12"/>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二、整改措施：</w:t>
            </w:r>
          </w:p>
        </w:tc>
      </w:tr>
    </w:tbl>
    <w:p>
      <w:pPr>
        <w:spacing w:line="520" w:lineRule="exact"/>
        <w:jc w:val="both"/>
        <w:rPr>
          <w:rStyle w:val="8"/>
          <w:sz w:val="27"/>
          <w:szCs w:val="27"/>
        </w:rPr>
        <w:sectPr>
          <w:pgSz w:w="16840" w:h="11907" w:orient="landscape"/>
          <w:pgMar w:top="1800" w:right="1440" w:bottom="1800" w:left="1440" w:header="851" w:footer="992" w:gutter="0"/>
          <w:cols w:space="425" w:num="1"/>
          <w:docGrid w:type="lines" w:linePitch="326" w:charSpace="0"/>
        </w:sectPr>
      </w:pPr>
    </w:p>
    <w:p>
      <w:pPr>
        <w:keepNext w:val="0"/>
        <w:keepLines w:val="0"/>
        <w:pageBreakBefore w:val="0"/>
        <w:numPr>
          <w:ilvl w:val="0"/>
          <w:numId w:val="0"/>
        </w:numPr>
        <w:kinsoku/>
        <w:wordWrap/>
        <w:overflowPunct/>
        <w:topLinePunct w:val="0"/>
        <w:autoSpaceDN/>
        <w:bidi w:val="0"/>
        <w:adjustRightInd/>
        <w:snapToGrid/>
        <w:spacing w:beforeAutospacing="0" w:afterAutospacing="0" w:line="360" w:lineRule="exact"/>
        <w:ind w:leftChars="200"/>
        <w:jc w:val="both"/>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lang w:val="en-US" w:eastAsia="zh-CN"/>
        </w:rPr>
        <w:t>3.</w:t>
      </w:r>
      <w:r>
        <w:rPr>
          <w:rStyle w:val="8"/>
          <w:rFonts w:hint="eastAsia" w:ascii="方正仿宋_GBK" w:hAnsi="方正仿宋_GBK" w:eastAsia="方正仿宋_GBK" w:cs="方正仿宋_GBK"/>
          <w:sz w:val="24"/>
          <w:szCs w:val="24"/>
        </w:rPr>
        <w:t>绩效自评报告或案例。</w:t>
      </w:r>
    </w:p>
    <w:p>
      <w:pPr>
        <w:pStyle w:val="11"/>
        <w:keepNext w:val="0"/>
        <w:keepLines w:val="0"/>
        <w:pageBreakBefore w:val="0"/>
        <w:kinsoku/>
        <w:wordWrap/>
        <w:overflowPunct/>
        <w:topLinePunct w:val="0"/>
        <w:autoSpaceDE w:val="0"/>
        <w:autoSpaceDN/>
        <w:bidi w:val="0"/>
        <w:adjustRightInd/>
        <w:snapToGrid/>
        <w:spacing w:beforeAutospacing="0" w:afterAutospacing="0" w:line="360" w:lineRule="exact"/>
        <w:ind w:left="0" w:firstLine="480" w:firstLineChars="200"/>
        <w:textAlignment w:val="auto"/>
        <w:rPr>
          <w:rStyle w:val="8"/>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本单位未委托第三方开展绩效自评，无绩效评估报告。</w:t>
      </w:r>
    </w:p>
    <w:p>
      <w:pPr>
        <w:keepNext w:val="0"/>
        <w:keepLines w:val="0"/>
        <w:pageBreakBefore w:val="0"/>
        <w:kinsoku/>
        <w:wordWrap/>
        <w:overflowPunct/>
        <w:topLinePunct w:val="0"/>
        <w:autoSpaceDN/>
        <w:bidi w:val="0"/>
        <w:adjustRightInd/>
        <w:snapToGrid/>
        <w:spacing w:beforeAutospacing="0" w:afterAutospacing="0" w:line="360" w:lineRule="exact"/>
        <w:ind w:left="0" w:firstLine="482" w:firstLineChars="200"/>
        <w:jc w:val="both"/>
        <w:textAlignment w:val="auto"/>
        <w:rPr>
          <w:rStyle w:val="8"/>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lang w:val="en-US" w:eastAsia="zh-CN"/>
        </w:rPr>
        <w:t>4</w:t>
      </w:r>
      <w:r>
        <w:rPr>
          <w:rStyle w:val="8"/>
          <w:rFonts w:hint="eastAsia" w:ascii="方正仿宋_GBK" w:hAnsi="方正仿宋_GBK" w:eastAsia="方正仿宋_GBK" w:cs="方正仿宋_GBK"/>
          <w:sz w:val="24"/>
          <w:szCs w:val="24"/>
        </w:rPr>
        <w:t>.关于绩效自评结果的说明。</w:t>
      </w:r>
    </w:p>
    <w:p>
      <w:pPr>
        <w:keepNext w:val="0"/>
        <w:keepLines w:val="0"/>
        <w:pageBreakBefore w:val="0"/>
        <w:kinsoku/>
        <w:wordWrap/>
        <w:overflowPunct/>
        <w:topLinePunct w:val="0"/>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2021年困难群众基本生活救助项目绩效目标自评综述：根据年初设定的绩效目标，项目总体完成情况一是筑牢了民生保障底线，保障了城乡低收入人群的基本生活；二是基本解决了我县特困人员生活困难，满足了特困人员基本需求，做到了应养尽养；三是对生活无着落的流浪乞讨人员提供了主动救助、临时安置等救助；四是发挥了社会救助托底线、救急难功能，解决城乡困难群众突发性、紧迫性、临时生活困难；五是保障了孤儿(艾滋病儿、事实无人抚养儿童)的基本生活。收到项目资金15945.18万元，资金到位率100.0%。已使用困难群众救助资金15082.38万元，执行率达100.0%。</w:t>
      </w:r>
    </w:p>
    <w:p>
      <w:pPr>
        <w:keepNext w:val="0"/>
        <w:keepLines w:val="0"/>
        <w:pageBreakBefore w:val="0"/>
        <w:kinsoku/>
        <w:wordWrap/>
        <w:overflowPunct/>
        <w:topLinePunct w:val="0"/>
        <w:autoSpaceDN/>
        <w:bidi w:val="0"/>
        <w:adjustRightInd/>
        <w:snapToGrid/>
        <w:spacing w:beforeAutospacing="0" w:afterAutospacing="0" w:line="360" w:lineRule="exact"/>
        <w:ind w:left="0" w:firstLine="480" w:firstLineChars="200"/>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主要产出和效果：2021年，救助覆盖面实现了应保尽保、应救尽救。其中补助低保18249人，特困供养4650人，临时救助5098人，孤儿(艾滋病儿、事实无人抚养儿童)148人，救助流浪乞讨人员128人次。二是城市居民最低生活保障标准、农村居民最低生活保障标准、全市特困人员基本生活标准都提了标准线。散居孤儿基本生活保障标准、是建立了社会救助家庭经济状况核对机制；四是在规定时限内拨付市级以上困难群众补助资金的比例达100.0%；五是全县困难群众的基本生活得到保障，通过对符合民政救助相关条件的困难群众给予救助，困难群众的生活状况得以改善；六是困难群众基本生活救助保障制度不断完善，</w:t>
      </w:r>
      <w:r>
        <w:rPr>
          <w:rFonts w:hint="eastAsia" w:ascii="方正仿宋_GBK" w:hAnsi="方正仿宋_GBK" w:eastAsia="方正仿宋_GBK" w:cs="方正仿宋_GBK"/>
          <w:color w:val="191919"/>
          <w:sz w:val="24"/>
          <w:szCs w:val="24"/>
          <w:shd w:val="clear" w:color="auto" w:fill="FFFFFF"/>
        </w:rPr>
        <w:t>困难群众基本生活水平</w:t>
      </w:r>
      <w:r>
        <w:rPr>
          <w:rFonts w:hint="eastAsia" w:ascii="方正仿宋_GBK" w:hAnsi="方正仿宋_GBK" w:eastAsia="方正仿宋_GBK" w:cs="方正仿宋_GBK"/>
          <w:color w:val="000000" w:themeColor="text1"/>
          <w:sz w:val="24"/>
          <w:szCs w:val="24"/>
          <w14:textFill>
            <w14:solidFill>
              <w14:schemeClr w14:val="tx1"/>
            </w14:solidFill>
          </w14:textFill>
        </w:rPr>
        <w:t>不断提升。发现的问题及原因，2020年的特困资金结转较大，2021年预算安排较少，故资金执行率超过100.0%。下一步改进措施，将上年结转资金纳入本年度预算，延续下年度使用。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firstLine="480" w:firstLineChars="200"/>
        <w:jc w:val="both"/>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（三）重点绩效评价结果。</w:t>
      </w:r>
    </w:p>
    <w:p>
      <w:pPr>
        <w:pStyle w:val="14"/>
        <w:keepNext w:val="0"/>
        <w:keepLines w:val="0"/>
        <w:pageBreakBefore w:val="0"/>
        <w:kinsoku/>
        <w:wordWrap/>
        <w:overflowPunct/>
        <w:topLinePunct w:val="0"/>
        <w:autoSpaceDE w:val="0"/>
        <w:autoSpaceDN/>
        <w:bidi w:val="0"/>
        <w:adjustRightInd/>
        <w:snapToGrid/>
        <w:spacing w:beforeAutospacing="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本单位未委托第三方开展重点绩效自评，无重点绩效评估结果。</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Style w:val="9"/>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六、专业名词解释</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（一）财政拨款收入</w:t>
      </w:r>
      <w:r>
        <w:rPr>
          <w:rFonts w:hint="eastAsia" w:ascii="方正仿宋_GBK" w:hAnsi="方正仿宋_GBK" w:eastAsia="方正仿宋_GBK" w:cs="方正仿宋_GBK"/>
          <w:sz w:val="24"/>
          <w:szCs w:val="24"/>
        </w:rPr>
        <w:t>：指本年度从本级财政部门取得的财政拨款，包括一般公共预算财政拨款和政府性基金预算财政拨款。</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（二）事业收入</w:t>
      </w:r>
      <w:r>
        <w:rPr>
          <w:rFonts w:hint="eastAsia" w:ascii="方正仿宋_GBK" w:hAnsi="方正仿宋_GBK" w:eastAsia="方正仿宋_GBK" w:cs="方正仿宋_GBK"/>
          <w:sz w:val="24"/>
          <w:szCs w:val="24"/>
        </w:rPr>
        <w:t>：指事业单位开展专业业务活动及其辅助活动取得的现金流入；事业单位收到的财政专户实际核拨的教育收费等资金在此反映。</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（三）经营收入</w:t>
      </w:r>
      <w:r>
        <w:rPr>
          <w:rFonts w:hint="eastAsia" w:ascii="方正仿宋_GBK" w:hAnsi="方正仿宋_GBK" w:eastAsia="方正仿宋_GBK" w:cs="方正仿宋_GBK"/>
          <w:sz w:val="24"/>
          <w:szCs w:val="24"/>
        </w:rPr>
        <w:t>：指事业单位在专业业务活动及其辅助活动之外开展非独立核算经营活动取得的现金流入。</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（四）其他收入</w:t>
      </w:r>
      <w:r>
        <w:rPr>
          <w:rFonts w:hint="eastAsia" w:ascii="方正仿宋_GBK" w:hAnsi="方正仿宋_GBK" w:eastAsia="方正仿宋_GBK" w:cs="方正仿宋_GBK"/>
          <w:sz w:val="24"/>
          <w:szCs w:val="24"/>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（五）使用非财政拨款结余</w:t>
      </w:r>
      <w:r>
        <w:rPr>
          <w:rFonts w:hint="eastAsia" w:ascii="方正仿宋_GBK" w:hAnsi="方正仿宋_GBK" w:eastAsia="方正仿宋_GBK" w:cs="方正仿宋_GBK"/>
          <w:sz w:val="24"/>
          <w:szCs w:val="24"/>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（六）年初结转和结余</w:t>
      </w:r>
      <w:r>
        <w:rPr>
          <w:rFonts w:hint="eastAsia" w:ascii="方正仿宋_GBK" w:hAnsi="方正仿宋_GBK" w:eastAsia="方正仿宋_GBK" w:cs="方正仿宋_GBK"/>
          <w:sz w:val="24"/>
          <w:szCs w:val="24"/>
        </w:rPr>
        <w:t>：指单位上年结转本年使用的基本支出结转、项目支出结转和结余、经营结余。</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（七）结余分配</w:t>
      </w:r>
      <w:r>
        <w:rPr>
          <w:rFonts w:hint="eastAsia" w:ascii="方正仿宋_GBK" w:hAnsi="方正仿宋_GBK" w:eastAsia="方正仿宋_GBK" w:cs="方正仿宋_GBK"/>
          <w:sz w:val="24"/>
          <w:szCs w:val="24"/>
        </w:rPr>
        <w:t>：指单位按照国家有关规定，缴纳所得税、提取专用基金、转入非财政拨款结余等当年结余的分配情况。</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（八）年末结转和结余</w:t>
      </w:r>
      <w:r>
        <w:rPr>
          <w:rFonts w:hint="eastAsia" w:ascii="方正仿宋_GBK" w:hAnsi="方正仿宋_GBK" w:eastAsia="方正仿宋_GBK" w:cs="方正仿宋_GBK"/>
          <w:sz w:val="24"/>
          <w:szCs w:val="24"/>
        </w:rPr>
        <w:t>：指单位结转下年的基本支出结转、项目支出结转和结余、经营结余。</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（九）基本支出</w:t>
      </w:r>
      <w:r>
        <w:rPr>
          <w:rFonts w:hint="eastAsia" w:ascii="方正仿宋_GBK" w:hAnsi="方正仿宋_GBK" w:eastAsia="方正仿宋_GBK" w:cs="方正仿宋_GBK"/>
          <w:sz w:val="24"/>
          <w:szCs w:val="24"/>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（十）项目支出</w:t>
      </w:r>
      <w:r>
        <w:rPr>
          <w:rFonts w:hint="eastAsia" w:ascii="方正仿宋_GBK" w:hAnsi="方正仿宋_GBK" w:eastAsia="方正仿宋_GBK" w:cs="方正仿宋_GBK"/>
          <w:sz w:val="24"/>
          <w:szCs w:val="24"/>
        </w:rPr>
        <w:t>：指在基本支出之外为完成特定行政任务和事业发展目标所发生的支出。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（十一）经营支出</w:t>
      </w:r>
      <w:r>
        <w:rPr>
          <w:rFonts w:hint="eastAsia" w:ascii="方正仿宋_GBK" w:hAnsi="方正仿宋_GBK" w:eastAsia="方正仿宋_GBK" w:cs="方正仿宋_GBK"/>
          <w:sz w:val="24"/>
          <w:szCs w:val="24"/>
        </w:rPr>
        <w:t>：指事业单位在专业业务活动及其辅助活动之外开展非独立核算经营活动发生的支出。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（十二）“三公”经费</w:t>
      </w:r>
      <w:r>
        <w:rPr>
          <w:rFonts w:hint="eastAsia" w:ascii="方正仿宋_GBK" w:hAnsi="方正仿宋_GBK" w:eastAsia="方正仿宋_GBK" w:cs="方正仿宋_GBK"/>
          <w:sz w:val="24"/>
          <w:szCs w:val="24"/>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（十三）机关运行经费</w:t>
      </w:r>
      <w:r>
        <w:rPr>
          <w:rFonts w:hint="eastAsia" w:ascii="方正仿宋_GBK" w:hAnsi="方正仿宋_GBK" w:eastAsia="方正仿宋_GBK" w:cs="方正仿宋_GBK"/>
          <w:sz w:val="24"/>
          <w:szCs w:val="24"/>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（十四）工资福利支出</w:t>
      </w:r>
      <w:r>
        <w:rPr>
          <w:rStyle w:val="8"/>
          <w:rFonts w:hint="eastAsia" w:ascii="方正仿宋_GBK" w:hAnsi="方正仿宋_GBK" w:eastAsia="方正仿宋_GBK" w:cs="方正仿宋_GBK"/>
          <w:sz w:val="24"/>
          <w:szCs w:val="24"/>
        </w:rPr>
        <w:t>（支出经济分类科目类级）</w:t>
      </w:r>
      <w:r>
        <w:rPr>
          <w:rFonts w:hint="eastAsia" w:ascii="方正仿宋_GBK" w:hAnsi="方正仿宋_GBK" w:eastAsia="方正仿宋_GBK" w:cs="方正仿宋_GBK"/>
          <w:sz w:val="24"/>
          <w:szCs w:val="24"/>
        </w:rPr>
        <w:t>：反映单位开支的在职职工和编制外长期聘用人员的各类劳动报酬，以及为上述人员缴纳的各项社会保险费等。</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（十五）商品和服务支出</w:t>
      </w:r>
      <w:r>
        <w:rPr>
          <w:rStyle w:val="8"/>
          <w:rFonts w:hint="eastAsia" w:ascii="方正仿宋_GBK" w:hAnsi="方正仿宋_GBK" w:eastAsia="方正仿宋_GBK" w:cs="方正仿宋_GBK"/>
          <w:sz w:val="24"/>
          <w:szCs w:val="24"/>
        </w:rPr>
        <w:t>（支出经济分类科目类级）</w:t>
      </w:r>
      <w:r>
        <w:rPr>
          <w:rFonts w:hint="eastAsia" w:ascii="方正仿宋_GBK" w:hAnsi="方正仿宋_GBK" w:eastAsia="方正仿宋_GBK" w:cs="方正仿宋_GBK"/>
          <w:sz w:val="24"/>
          <w:szCs w:val="24"/>
        </w:rPr>
        <w:t>：反映单位购买商品和服务的支出（不包括用于购置固定资产的支出、战略性和应急储备支出）。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（十六）对个人和家庭的补助</w:t>
      </w:r>
      <w:r>
        <w:rPr>
          <w:rFonts w:hint="eastAsia" w:ascii="方正仿宋_GBK" w:hAnsi="方正仿宋_GBK" w:eastAsia="方正仿宋_GBK" w:cs="方正仿宋_GBK"/>
          <w:sz w:val="24"/>
          <w:szCs w:val="24"/>
          <w:lang w:val="en-US" w:eastAsia="zh-CN"/>
        </w:rPr>
        <w:t>（支出经济分类科目类级）：反映用于对个人和</w:t>
      </w:r>
      <w:r>
        <w:rPr>
          <w:rFonts w:hint="eastAsia" w:ascii="方正仿宋_GBK" w:hAnsi="方正仿宋_GBK" w:eastAsia="方正仿宋_GBK" w:cs="方正仿宋_GBK"/>
          <w:sz w:val="24"/>
          <w:szCs w:val="24"/>
        </w:rPr>
        <w:t>家庭的补助支出。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楷体_GBK" w:hAnsi="方正楷体_GBK" w:eastAsia="方正楷体_GBK" w:cs="方正楷体_GBK"/>
          <w:color w:val="000000"/>
          <w:sz w:val="24"/>
          <w:szCs w:val="24"/>
          <w:lang w:val="en-US" w:eastAsia="zh-CN" w:bidi="ar-SA"/>
        </w:rPr>
        <w:t>（十七）其他资本性支出</w:t>
      </w:r>
      <w:r>
        <w:rPr>
          <w:rStyle w:val="8"/>
          <w:rFonts w:hint="eastAsia" w:ascii="方正仿宋_GBK" w:hAnsi="方正仿宋_GBK" w:eastAsia="方正仿宋_GBK" w:cs="方正仿宋_GBK"/>
          <w:sz w:val="24"/>
          <w:szCs w:val="24"/>
        </w:rPr>
        <w:t>（支出经济分类科目类级）</w:t>
      </w:r>
      <w:r>
        <w:rPr>
          <w:rFonts w:hint="eastAsia" w:ascii="方正仿宋_GBK" w:hAnsi="方正仿宋_GBK" w:eastAsia="方正仿宋_GBK" w:cs="方正仿宋_GBK"/>
          <w:sz w:val="24"/>
          <w:szCs w:val="24"/>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黑体_GBK" w:hAnsi="方正黑体_GBK" w:eastAsia="方正黑体_GBK" w:cs="方正黑体_GBK"/>
          <w:b w:val="0"/>
          <w:bCs w:val="0"/>
          <w:sz w:val="24"/>
          <w:szCs w:val="24"/>
        </w:rPr>
      </w:pPr>
      <w:r>
        <w:rPr>
          <w:rStyle w:val="9"/>
          <w:rFonts w:hint="eastAsia" w:ascii="方正黑体_GBK" w:hAnsi="方正黑体_GBK" w:eastAsia="方正黑体_GBK" w:cs="方正黑体_GBK"/>
          <w:b w:val="0"/>
          <w:bCs w:val="0"/>
          <w:sz w:val="24"/>
          <w:szCs w:val="24"/>
        </w:rPr>
        <w:t> </w:t>
      </w:r>
      <w:r>
        <w:rPr>
          <w:rStyle w:val="8"/>
          <w:rFonts w:hint="eastAsia" w:ascii="方正黑体_GBK" w:hAnsi="方正黑体_GBK" w:eastAsia="方正黑体_GBK" w:cs="方正黑体_GBK"/>
          <w:b w:val="0"/>
          <w:bCs w:val="0"/>
          <w:sz w:val="24"/>
          <w:szCs w:val="24"/>
        </w:rPr>
        <w:t>七、决算公开联系方式及信息反馈渠道</w:t>
      </w:r>
    </w:p>
    <w:p>
      <w:pPr>
        <w:pStyle w:val="5"/>
        <w:keepNext w:val="0"/>
        <w:keepLines w:val="0"/>
        <w:pageBreakBefore w:val="0"/>
        <w:shd w:val="clear" w:color="auto" w:fill="FFFFFF"/>
        <w:kinsoku/>
        <w:wordWrap/>
        <w:overflowPunct/>
        <w:topLinePunct w:val="0"/>
        <w:autoSpaceDN/>
        <w:bidi w:val="0"/>
        <w:adjustRightInd/>
        <w:snapToGrid/>
        <w:spacing w:before="0" w:beforeAutospacing="0" w:after="0" w:afterAutospacing="0" w:line="360" w:lineRule="exact"/>
        <w:ind w:left="0" w:firstLine="480" w:firstLineChars="200"/>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sz w:val="24"/>
          <w:szCs w:val="24"/>
        </w:rPr>
        <w:t>本单位决算公开信息反馈和联系方式：</w:t>
      </w:r>
      <w:r>
        <w:rPr>
          <w:rFonts w:hint="eastAsia" w:ascii="方正仿宋_GBK" w:hAnsi="方正仿宋_GBK" w:eastAsia="方正仿宋_GBK" w:cs="方正仿宋_GBK"/>
          <w:color w:val="000000" w:themeColor="text1"/>
          <w:sz w:val="24"/>
          <w:szCs w:val="24"/>
          <w14:textFill>
            <w14:solidFill>
              <w14:schemeClr w14:val="tx1"/>
            </w14:solidFill>
          </w14:textFill>
        </w:rPr>
        <w:t>冯老师，联系电话：023-74512561。</w:t>
      </w:r>
    </w:p>
    <w:tbl>
      <w:tblPr>
        <w:tblStyle w:val="6"/>
        <w:tblpPr w:leftFromText="180" w:rightFromText="180" w:vertAnchor="text" w:horzAnchor="page" w:tblpXSpec="center" w:tblpY="893"/>
        <w:tblOverlap w:val="never"/>
        <w:tblW w:w="8336" w:type="dxa"/>
        <w:jc w:val="center"/>
        <w:tblInd w:w="0" w:type="dxa"/>
        <w:tblLayout w:type="fixed"/>
        <w:tblCellMar>
          <w:top w:w="0" w:type="dxa"/>
          <w:left w:w="108" w:type="dxa"/>
          <w:bottom w:w="0" w:type="dxa"/>
          <w:right w:w="108" w:type="dxa"/>
        </w:tblCellMar>
      </w:tblPr>
      <w:tblGrid>
        <w:gridCol w:w="3222"/>
        <w:gridCol w:w="1236"/>
        <w:gridCol w:w="2751"/>
        <w:gridCol w:w="1127"/>
      </w:tblGrid>
      <w:tr>
        <w:tblPrEx>
          <w:tblLayout w:type="fixed"/>
          <w:tblCellMar>
            <w:top w:w="0" w:type="dxa"/>
            <w:left w:w="108" w:type="dxa"/>
            <w:bottom w:w="0" w:type="dxa"/>
            <w:right w:w="108" w:type="dxa"/>
          </w:tblCellMar>
        </w:tblPrEx>
        <w:trPr>
          <w:trHeight w:val="345" w:hRule="atLeast"/>
          <w:jc w:val="center"/>
        </w:trPr>
        <w:tc>
          <w:tcPr>
            <w:tcW w:w="3222"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附件2</w:t>
            </w:r>
          </w:p>
        </w:tc>
        <w:tc>
          <w:tcPr>
            <w:tcW w:w="1236"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2751"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127"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trHeight w:val="600" w:hRule="atLeast"/>
          <w:jc w:val="center"/>
        </w:trPr>
        <w:tc>
          <w:tcPr>
            <w:tcW w:w="8336" w:type="dxa"/>
            <w:gridSpan w:val="4"/>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收入支出决算总表</w:t>
            </w:r>
          </w:p>
        </w:tc>
      </w:tr>
      <w:tr>
        <w:tblPrEx>
          <w:tblLayout w:type="fixed"/>
          <w:tblCellMar>
            <w:top w:w="0" w:type="dxa"/>
            <w:left w:w="108" w:type="dxa"/>
            <w:bottom w:w="0" w:type="dxa"/>
            <w:right w:w="108" w:type="dxa"/>
          </w:tblCellMar>
        </w:tblPrEx>
        <w:trPr>
          <w:trHeight w:val="285" w:hRule="atLeast"/>
          <w:jc w:val="center"/>
        </w:trPr>
        <w:tc>
          <w:tcPr>
            <w:tcW w:w="3222"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36"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3878" w:type="dxa"/>
            <w:gridSpan w:val="2"/>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公开01表</w:t>
            </w:r>
          </w:p>
        </w:tc>
      </w:tr>
      <w:tr>
        <w:tblPrEx>
          <w:tblLayout w:type="fixed"/>
          <w:tblCellMar>
            <w:top w:w="0" w:type="dxa"/>
            <w:left w:w="108" w:type="dxa"/>
            <w:bottom w:w="0" w:type="dxa"/>
            <w:right w:w="108" w:type="dxa"/>
          </w:tblCellMar>
        </w:tblPrEx>
        <w:trPr>
          <w:trHeight w:val="285" w:hRule="atLeast"/>
          <w:jc w:val="center"/>
        </w:trPr>
        <w:tc>
          <w:tcPr>
            <w:tcW w:w="4458" w:type="dxa"/>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    2021年度</w:t>
            </w:r>
          </w:p>
        </w:tc>
        <w:tc>
          <w:tcPr>
            <w:tcW w:w="3878" w:type="dxa"/>
            <w:gridSpan w:val="2"/>
            <w:tcBorders>
              <w:top w:val="nil"/>
              <w:left w:val="nil"/>
              <w:bottom w:val="single" w:color="auto" w:sz="4" w:space="0"/>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trHeight w:val="420" w:hRule="atLeast"/>
          <w:jc w:val="center"/>
        </w:trPr>
        <w:tc>
          <w:tcPr>
            <w:tcW w:w="445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收入</w:t>
            </w:r>
          </w:p>
        </w:tc>
        <w:tc>
          <w:tcPr>
            <w:tcW w:w="3878"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支出</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123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决算数</w:t>
            </w:r>
          </w:p>
        </w:tc>
        <w:tc>
          <w:tcPr>
            <w:tcW w:w="275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112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决算数</w:t>
            </w:r>
          </w:p>
        </w:tc>
      </w:tr>
      <w:tr>
        <w:tblPrEx>
          <w:tblLayout w:type="fixed"/>
          <w:tblCellMar>
            <w:top w:w="0" w:type="dxa"/>
            <w:left w:w="108" w:type="dxa"/>
            <w:bottom w:w="0" w:type="dxa"/>
            <w:right w:w="108" w:type="dxa"/>
          </w:tblCellMar>
        </w:tblPrEx>
        <w:trPr>
          <w:trHeight w:val="420" w:hRule="atLeast"/>
          <w:jc w:val="center"/>
        </w:trPr>
        <w:tc>
          <w:tcPr>
            <w:tcW w:w="3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一、一般公共预算财政拨款收入</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15,798.20</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一、一般公共服务支出</w:t>
            </w:r>
          </w:p>
        </w:tc>
        <w:tc>
          <w:tcPr>
            <w:tcW w:w="112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二、政府性基金预算财政拨款收入</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45.86</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二、外交支出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三、国有资本经营预算财政拨款收入</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三、国防支出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四、上级补助收入</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四、公共安全支出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五、事业收入</w:t>
            </w:r>
          </w:p>
        </w:tc>
        <w:tc>
          <w:tcPr>
            <w:tcW w:w="1236" w:type="dxa"/>
            <w:tcBorders>
              <w:top w:val="nil"/>
              <w:left w:val="nil"/>
              <w:bottom w:val="nil"/>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五、教育支出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六、经营收入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六、科学技术支出</w:t>
            </w:r>
          </w:p>
        </w:tc>
        <w:tc>
          <w:tcPr>
            <w:tcW w:w="112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七、附属单位上缴收入</w:t>
            </w:r>
          </w:p>
        </w:tc>
        <w:tc>
          <w:tcPr>
            <w:tcW w:w="1236"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七、文化旅游体育与传媒支出</w:t>
            </w:r>
          </w:p>
        </w:tc>
        <w:tc>
          <w:tcPr>
            <w:tcW w:w="1127"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八、其他收入</w:t>
            </w:r>
          </w:p>
        </w:tc>
        <w:tc>
          <w:tcPr>
            <w:tcW w:w="123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八、社会保障和就业支出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16,404.89</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九、卫生健康支出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46.19</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十九、住房保障支出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236"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二十二、灾害防治及应急管理支出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000000" w:sz="4" w:space="0"/>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236"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二十三、其他支出</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893.22</w:t>
            </w:r>
          </w:p>
        </w:tc>
      </w:tr>
      <w:tr>
        <w:tblPrEx>
          <w:tblLayout w:type="fixed"/>
          <w:tblCellMar>
            <w:top w:w="0" w:type="dxa"/>
            <w:left w:w="108" w:type="dxa"/>
            <w:bottom w:w="0" w:type="dxa"/>
            <w:right w:w="108" w:type="dxa"/>
          </w:tblCellMar>
        </w:tblPrEx>
        <w:trPr>
          <w:trHeight w:val="420" w:hRule="atLeast"/>
          <w:jc w:val="center"/>
        </w:trPr>
        <w:tc>
          <w:tcPr>
            <w:tcW w:w="3222"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本年收入合计</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15,844.06</w:t>
            </w:r>
          </w:p>
        </w:tc>
        <w:tc>
          <w:tcPr>
            <w:tcW w:w="2751" w:type="dxa"/>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本年支出合计</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17,398.22</w:t>
            </w:r>
          </w:p>
        </w:tc>
      </w:tr>
      <w:tr>
        <w:tblPrEx>
          <w:tblLayout w:type="fixed"/>
          <w:tblCellMar>
            <w:top w:w="0" w:type="dxa"/>
            <w:left w:w="108" w:type="dxa"/>
            <w:bottom w:w="0" w:type="dxa"/>
            <w:right w:w="108" w:type="dxa"/>
          </w:tblCellMar>
        </w:tblPrEx>
        <w:trPr>
          <w:trHeight w:val="420"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使用非财政拨款结余</w:t>
            </w:r>
          </w:p>
        </w:tc>
        <w:tc>
          <w:tcPr>
            <w:tcW w:w="1236"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75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结余分配</w:t>
            </w:r>
          </w:p>
        </w:tc>
        <w:tc>
          <w:tcPr>
            <w:tcW w:w="112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年初结转和结余</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1,700.03</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年末结转和结余</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145.87</w:t>
            </w:r>
          </w:p>
        </w:tc>
      </w:tr>
      <w:tr>
        <w:tblPrEx>
          <w:tblLayout w:type="fixed"/>
          <w:tblCellMar>
            <w:top w:w="0" w:type="dxa"/>
            <w:left w:w="108" w:type="dxa"/>
            <w:bottom w:w="0" w:type="dxa"/>
            <w:right w:w="108" w:type="dxa"/>
          </w:tblCellMar>
        </w:tblPrEx>
        <w:trPr>
          <w:trHeight w:val="420" w:hRule="atLeast"/>
          <w:jc w:val="center"/>
        </w:trPr>
        <w:tc>
          <w:tcPr>
            <w:tcW w:w="322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总计</w:t>
            </w:r>
          </w:p>
        </w:tc>
        <w:tc>
          <w:tcPr>
            <w:tcW w:w="12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17,544.09</w:t>
            </w:r>
          </w:p>
        </w:tc>
        <w:tc>
          <w:tcPr>
            <w:tcW w:w="275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总计</w:t>
            </w:r>
          </w:p>
        </w:tc>
        <w:tc>
          <w:tcPr>
            <w:tcW w:w="11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17,544.09</w:t>
            </w:r>
          </w:p>
        </w:tc>
      </w:tr>
      <w:tr>
        <w:tblPrEx>
          <w:tblLayout w:type="fixed"/>
          <w:tblCellMar>
            <w:top w:w="0" w:type="dxa"/>
            <w:left w:w="108" w:type="dxa"/>
            <w:bottom w:w="0" w:type="dxa"/>
            <w:right w:w="108" w:type="dxa"/>
          </w:tblCellMar>
        </w:tblPrEx>
        <w:trPr>
          <w:trHeight w:val="420" w:hRule="atLeast"/>
          <w:jc w:val="center"/>
        </w:trPr>
        <w:tc>
          <w:tcPr>
            <w:tcW w:w="7209"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备注：本表反映部门本年度的总收支和年末结转结余等情况。</w:t>
            </w:r>
          </w:p>
        </w:tc>
        <w:tc>
          <w:tcPr>
            <w:tcW w:w="1127" w:type="dxa"/>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p>
        </w:tc>
      </w:tr>
    </w:tbl>
    <w:p>
      <w:pPr>
        <w:pStyle w:val="5"/>
        <w:shd w:val="clear" w:color="auto" w:fill="FFFFFF"/>
        <w:rPr>
          <w:rFonts w:ascii="方正仿宋_GBK" w:eastAsia="方正仿宋_GBK"/>
          <w:color w:val="000000" w:themeColor="text1"/>
          <w:sz w:val="28"/>
          <w:szCs w:val="28"/>
          <w14:textFill>
            <w14:solidFill>
              <w14:schemeClr w14:val="tx1"/>
            </w14:solidFill>
          </w14:textFill>
        </w:rPr>
      </w:pPr>
    </w:p>
    <w:p>
      <w:pPr>
        <w:pStyle w:val="5"/>
        <w:shd w:val="clear" w:color="auto" w:fill="FFFFFF"/>
        <w:rPr>
          <w:rFonts w:ascii="方正仿宋_GBK" w:eastAsia="方正仿宋_GBK"/>
          <w:color w:val="000000" w:themeColor="text1"/>
          <w:sz w:val="28"/>
          <w:szCs w:val="28"/>
          <w14:textFill>
            <w14:solidFill>
              <w14:schemeClr w14:val="tx1"/>
            </w14:solidFill>
          </w14:textFill>
        </w:rPr>
        <w:sectPr>
          <w:pgSz w:w="11907" w:h="16840"/>
          <w:pgMar w:top="1440" w:right="1800" w:bottom="1440" w:left="1800" w:header="851" w:footer="992" w:gutter="0"/>
          <w:cols w:space="425" w:num="1"/>
          <w:docGrid w:type="lines" w:linePitch="312" w:charSpace="0"/>
        </w:sectPr>
      </w:pPr>
    </w:p>
    <w:tbl>
      <w:tblPr>
        <w:tblStyle w:val="6"/>
        <w:tblW w:w="14321" w:type="dxa"/>
        <w:jc w:val="center"/>
        <w:tblInd w:w="0" w:type="dxa"/>
        <w:tblLayout w:type="fixed"/>
        <w:tblCellMar>
          <w:top w:w="0" w:type="dxa"/>
          <w:left w:w="108" w:type="dxa"/>
          <w:bottom w:w="0" w:type="dxa"/>
          <w:right w:w="108" w:type="dxa"/>
        </w:tblCellMar>
      </w:tblPr>
      <w:tblGrid>
        <w:gridCol w:w="987"/>
        <w:gridCol w:w="273"/>
        <w:gridCol w:w="2637"/>
        <w:gridCol w:w="1193"/>
        <w:gridCol w:w="151"/>
        <w:gridCol w:w="576"/>
        <w:gridCol w:w="533"/>
        <w:gridCol w:w="679"/>
        <w:gridCol w:w="581"/>
        <w:gridCol w:w="480"/>
        <w:gridCol w:w="276"/>
        <w:gridCol w:w="732"/>
        <w:gridCol w:w="134"/>
        <w:gridCol w:w="31"/>
        <w:gridCol w:w="619"/>
        <w:gridCol w:w="100"/>
        <w:gridCol w:w="397"/>
        <w:gridCol w:w="146"/>
        <w:gridCol w:w="255"/>
        <w:gridCol w:w="693"/>
        <w:gridCol w:w="160"/>
        <w:gridCol w:w="172"/>
        <w:gridCol w:w="1036"/>
        <w:gridCol w:w="215"/>
        <w:gridCol w:w="1265"/>
      </w:tblGrid>
      <w:tr>
        <w:tblPrEx>
          <w:tblLayout w:type="fixed"/>
          <w:tblCellMar>
            <w:top w:w="0" w:type="dxa"/>
            <w:left w:w="108" w:type="dxa"/>
            <w:bottom w:w="0" w:type="dxa"/>
            <w:right w:w="108" w:type="dxa"/>
          </w:tblCellMar>
        </w:tblPrEx>
        <w:trPr>
          <w:gridAfter w:val="1"/>
          <w:wAfter w:w="1265" w:type="dxa"/>
          <w:trHeight w:val="705" w:hRule="atLeast"/>
          <w:jc w:val="center"/>
        </w:trPr>
        <w:tc>
          <w:tcPr>
            <w:tcW w:w="13056" w:type="dxa"/>
            <w:gridSpan w:val="24"/>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收入决算表</w:t>
            </w:r>
          </w:p>
        </w:tc>
      </w:tr>
      <w:tr>
        <w:tblPrEx>
          <w:tblLayout w:type="fixed"/>
          <w:tblCellMar>
            <w:top w:w="0" w:type="dxa"/>
            <w:left w:w="108" w:type="dxa"/>
            <w:bottom w:w="0" w:type="dxa"/>
            <w:right w:w="108" w:type="dxa"/>
          </w:tblCellMar>
        </w:tblPrEx>
        <w:trPr>
          <w:gridAfter w:val="1"/>
          <w:wAfter w:w="1265" w:type="dxa"/>
          <w:trHeight w:val="270" w:hRule="atLeast"/>
          <w:jc w:val="center"/>
        </w:trPr>
        <w:tc>
          <w:tcPr>
            <w:tcW w:w="126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383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60"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6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756"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732"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884" w:type="dxa"/>
            <w:gridSpan w:val="4"/>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798"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693"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583" w:type="dxa"/>
            <w:gridSpan w:val="4"/>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公开02表</w:t>
            </w:r>
          </w:p>
        </w:tc>
      </w:tr>
      <w:tr>
        <w:tblPrEx>
          <w:tblLayout w:type="fixed"/>
          <w:tblCellMar>
            <w:top w:w="0" w:type="dxa"/>
            <w:left w:w="108" w:type="dxa"/>
            <w:bottom w:w="0" w:type="dxa"/>
            <w:right w:w="108" w:type="dxa"/>
          </w:tblCellMar>
        </w:tblPrEx>
        <w:trPr>
          <w:gridAfter w:val="1"/>
          <w:wAfter w:w="1265" w:type="dxa"/>
          <w:trHeight w:val="285" w:hRule="atLeast"/>
          <w:jc w:val="center"/>
        </w:trPr>
        <w:tc>
          <w:tcPr>
            <w:tcW w:w="5090" w:type="dxa"/>
            <w:gridSpan w:val="4"/>
            <w:tcBorders>
              <w:top w:val="nil"/>
              <w:left w:val="nil"/>
              <w:bottom w:val="single" w:color="auto" w:sz="4" w:space="0"/>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公开部门：垫江县民政局           </w:t>
            </w:r>
          </w:p>
        </w:tc>
        <w:tc>
          <w:tcPr>
            <w:tcW w:w="1260"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2021年度</w:t>
            </w:r>
          </w:p>
        </w:tc>
        <w:tc>
          <w:tcPr>
            <w:tcW w:w="126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756" w:type="dxa"/>
            <w:gridSpan w:val="2"/>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732"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884" w:type="dxa"/>
            <w:gridSpan w:val="4"/>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798"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693"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583" w:type="dxa"/>
            <w:gridSpan w:val="4"/>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gridAfter w:val="1"/>
          <w:wAfter w:w="1265" w:type="dxa"/>
          <w:trHeight w:val="435" w:hRule="atLeast"/>
          <w:jc w:val="center"/>
        </w:trPr>
        <w:tc>
          <w:tcPr>
            <w:tcW w:w="50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12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本年收入合计</w:t>
            </w:r>
          </w:p>
        </w:tc>
        <w:tc>
          <w:tcPr>
            <w:tcW w:w="12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财政拨款收入</w:t>
            </w:r>
          </w:p>
        </w:tc>
        <w:tc>
          <w:tcPr>
            <w:tcW w:w="7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上级补助收入</w:t>
            </w:r>
          </w:p>
        </w:tc>
        <w:tc>
          <w:tcPr>
            <w:tcW w:w="1616"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事业收入</w:t>
            </w:r>
          </w:p>
        </w:tc>
        <w:tc>
          <w:tcPr>
            <w:tcW w:w="79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经营收入</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附属单位上缴收入</w:t>
            </w:r>
          </w:p>
        </w:tc>
        <w:tc>
          <w:tcPr>
            <w:tcW w:w="158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其他收入</w:t>
            </w:r>
          </w:p>
        </w:tc>
      </w:tr>
      <w:tr>
        <w:tblPrEx>
          <w:tblLayout w:type="fixed"/>
          <w:tblCellMar>
            <w:top w:w="0" w:type="dxa"/>
            <w:left w:w="108" w:type="dxa"/>
            <w:bottom w:w="0" w:type="dxa"/>
            <w:right w:w="108" w:type="dxa"/>
          </w:tblCellMar>
        </w:tblPrEx>
        <w:trPr>
          <w:gridAfter w:val="1"/>
          <w:wAfter w:w="1265" w:type="dxa"/>
          <w:trHeight w:val="345" w:hRule="atLeast"/>
          <w:jc w:val="center"/>
        </w:trPr>
        <w:tc>
          <w:tcPr>
            <w:tcW w:w="126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功能分类科目编码</w:t>
            </w:r>
          </w:p>
        </w:tc>
        <w:tc>
          <w:tcPr>
            <w:tcW w:w="383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项目(按“项”级功能分类科目)</w:t>
            </w:r>
          </w:p>
        </w:tc>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5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616"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9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583"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3830" w:type="dxa"/>
            <w:gridSpan w:val="2"/>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5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3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小计</w:t>
            </w:r>
          </w:p>
        </w:tc>
        <w:tc>
          <w:tcPr>
            <w:tcW w:w="884" w:type="dxa"/>
            <w:gridSpan w:val="4"/>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其中：教育收费</w:t>
            </w:r>
          </w:p>
        </w:tc>
        <w:tc>
          <w:tcPr>
            <w:tcW w:w="79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583"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3830" w:type="dxa"/>
            <w:gridSpan w:val="2"/>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5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32"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884" w:type="dxa"/>
            <w:gridSpan w:val="4"/>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79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583"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50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15,844.06</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15,844.06</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教育支出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20508</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进修及培训</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2050803</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培训支出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社会保障和就业支出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15,698.10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15,698.10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民政管理事务</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957.07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957.07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行政运行</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2080207</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行政区划和地名管理</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69.97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69.97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2080208</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基层政权建设和社区治理</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5.47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5.47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其他民政管理事务支出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574.35</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574.35</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20805</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行政事业单位养老支出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245.98</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245.98</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行政单位离退休</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2080505</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机关事业单位基本养老保险缴费支出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282"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2080506</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机关事业单位职业年金缴费支出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79.52</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79.52</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01"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其他行政事业单位养老支出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25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20810</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社会福利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1,520.02</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1,520.02</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儿童福利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老年福利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2081004</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殡葬</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224.52</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224.52</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2081005</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社会福利事业单位</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残疾人事业</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2081107</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残疾人生活和护理补贴</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最低生活保障</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10,089.22</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10,089.22</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城市最低生活保障金支出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2,465.48</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2,465.48</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农村最低生活保障金支出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7,623.74</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7,623.74</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20820</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临时救助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临时救助支出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流浪乞讨人员救助支出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特困人员救助供养</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2082101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城市特困人员救助供养支出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20825</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其他生活救助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其他城市生活救助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其他农村生活救助</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其他社会保障和就业支出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25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2089999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其他社会保障和就业支出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398"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卫生健康支出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21011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行政事业单位医疗</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行政单位医疗</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事业单位医疗</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住房保障支出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住房改革支出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2210201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住房公积金</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37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灾害防治及应急管理支出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22401</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应急管理事务</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355"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2240199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其他应急管理支出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346"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22960</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彩票公益金安排的支出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2296002</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用于社会福利的彩票公益金支出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1"/>
          <w:wAfter w:w="1265" w:type="dxa"/>
          <w:trHeight w:val="420" w:hRule="atLeast"/>
          <w:jc w:val="center"/>
        </w:trPr>
        <w:tc>
          <w:tcPr>
            <w:tcW w:w="126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2296099</w:t>
            </w:r>
          </w:p>
        </w:tc>
        <w:tc>
          <w:tcPr>
            <w:tcW w:w="3830" w:type="dxa"/>
            <w:gridSpan w:val="2"/>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用于其他社会公益事业的彩票公益金支出</w:t>
            </w:r>
          </w:p>
        </w:tc>
        <w:tc>
          <w:tcPr>
            <w:tcW w:w="126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126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75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3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884"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79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9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583"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705" w:hRule="atLeast"/>
          <w:jc w:val="center"/>
        </w:trPr>
        <w:tc>
          <w:tcPr>
            <w:tcW w:w="11805" w:type="dxa"/>
            <w:gridSpan w:val="22"/>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支出决算表</w:t>
            </w:r>
          </w:p>
        </w:tc>
      </w:tr>
      <w:tr>
        <w:tblPrEx>
          <w:tblLayout w:type="fixed"/>
          <w:tblCellMar>
            <w:top w:w="0" w:type="dxa"/>
            <w:left w:w="108" w:type="dxa"/>
            <w:bottom w:w="0" w:type="dxa"/>
            <w:right w:w="108" w:type="dxa"/>
          </w:tblCellMar>
        </w:tblPrEx>
        <w:trPr>
          <w:gridAfter w:val="3"/>
          <w:wAfter w:w="2516" w:type="dxa"/>
          <w:trHeight w:val="270" w:hRule="atLeast"/>
          <w:jc w:val="center"/>
        </w:trPr>
        <w:tc>
          <w:tcPr>
            <w:tcW w:w="987"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4830" w:type="dxa"/>
            <w:gridSpan w:val="5"/>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12"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061"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142"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65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643"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80" w:type="dxa"/>
            <w:gridSpan w:val="4"/>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公开03表</w:t>
            </w:r>
          </w:p>
        </w:tc>
      </w:tr>
      <w:tr>
        <w:tblPrEx>
          <w:tblLayout w:type="fixed"/>
          <w:tblCellMar>
            <w:top w:w="0" w:type="dxa"/>
            <w:left w:w="108" w:type="dxa"/>
            <w:bottom w:w="0" w:type="dxa"/>
            <w:right w:w="108" w:type="dxa"/>
          </w:tblCellMar>
        </w:tblPrEx>
        <w:trPr>
          <w:gridAfter w:val="3"/>
          <w:wAfter w:w="2516" w:type="dxa"/>
          <w:trHeight w:val="285" w:hRule="atLeast"/>
          <w:jc w:val="center"/>
        </w:trPr>
        <w:tc>
          <w:tcPr>
            <w:tcW w:w="5817" w:type="dxa"/>
            <w:gridSpan w:val="6"/>
            <w:tcBorders>
              <w:top w:val="nil"/>
              <w:left w:val="nil"/>
              <w:bottom w:val="single" w:color="auto" w:sz="4" w:space="0"/>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w:t>
            </w:r>
          </w:p>
        </w:tc>
        <w:tc>
          <w:tcPr>
            <w:tcW w:w="1212"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2021年度</w:t>
            </w:r>
          </w:p>
        </w:tc>
        <w:tc>
          <w:tcPr>
            <w:tcW w:w="1061"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142" w:type="dxa"/>
            <w:gridSpan w:val="3"/>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650"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643"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280" w:type="dxa"/>
            <w:gridSpan w:val="4"/>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gridAfter w:val="3"/>
          <w:wAfter w:w="2516" w:type="dxa"/>
          <w:trHeight w:val="435" w:hRule="atLeast"/>
          <w:jc w:val="center"/>
        </w:trPr>
        <w:tc>
          <w:tcPr>
            <w:tcW w:w="5817"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1212"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本年支出合计</w:t>
            </w:r>
          </w:p>
        </w:tc>
        <w:tc>
          <w:tcPr>
            <w:tcW w:w="1061"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基本支出</w:t>
            </w:r>
          </w:p>
        </w:tc>
        <w:tc>
          <w:tcPr>
            <w:tcW w:w="1142"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项目支出</w:t>
            </w:r>
          </w:p>
        </w:tc>
        <w:tc>
          <w:tcPr>
            <w:tcW w:w="6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上缴上级支出</w:t>
            </w:r>
          </w:p>
        </w:tc>
        <w:tc>
          <w:tcPr>
            <w:tcW w:w="643"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经营支出</w:t>
            </w:r>
          </w:p>
        </w:tc>
        <w:tc>
          <w:tcPr>
            <w:tcW w:w="1280" w:type="dxa"/>
            <w:gridSpan w:val="4"/>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对附属单位补助支出</w:t>
            </w:r>
          </w:p>
        </w:tc>
      </w:tr>
      <w:tr>
        <w:tblPrEx>
          <w:tblLayout w:type="fixed"/>
          <w:tblCellMar>
            <w:top w:w="0" w:type="dxa"/>
            <w:left w:w="108" w:type="dxa"/>
            <w:bottom w:w="0" w:type="dxa"/>
            <w:right w:w="108" w:type="dxa"/>
          </w:tblCellMar>
        </w:tblPrEx>
        <w:trPr>
          <w:gridAfter w:val="3"/>
          <w:wAfter w:w="2516" w:type="dxa"/>
          <w:trHeight w:val="345" w:hRule="atLeast"/>
          <w:jc w:val="center"/>
        </w:trPr>
        <w:tc>
          <w:tcPr>
            <w:tcW w:w="98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功能分类科目编码</w:t>
            </w:r>
          </w:p>
        </w:tc>
        <w:tc>
          <w:tcPr>
            <w:tcW w:w="483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项目(按“项”级功能分类科目)</w:t>
            </w:r>
          </w:p>
        </w:tc>
        <w:tc>
          <w:tcPr>
            <w:tcW w:w="1212"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061"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142"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50"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43"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80" w:type="dxa"/>
            <w:gridSpan w:val="4"/>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3"/>
          <w:wAfter w:w="2516" w:type="dxa"/>
          <w:trHeight w:val="420" w:hRule="atLeast"/>
          <w:jc w:val="center"/>
        </w:trPr>
        <w:tc>
          <w:tcPr>
            <w:tcW w:w="987"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4830" w:type="dxa"/>
            <w:gridSpan w:val="5"/>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12"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061"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142"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50"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43"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80" w:type="dxa"/>
            <w:gridSpan w:val="4"/>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3"/>
          <w:wAfter w:w="2516" w:type="dxa"/>
          <w:trHeight w:val="420" w:hRule="atLeast"/>
          <w:jc w:val="center"/>
        </w:trPr>
        <w:tc>
          <w:tcPr>
            <w:tcW w:w="987"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4830" w:type="dxa"/>
            <w:gridSpan w:val="5"/>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12"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061"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142"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50" w:type="dxa"/>
            <w:gridSpan w:val="2"/>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643" w:type="dxa"/>
            <w:gridSpan w:val="3"/>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1280" w:type="dxa"/>
            <w:gridSpan w:val="4"/>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3"/>
          <w:wAfter w:w="2516" w:type="dxa"/>
          <w:trHeight w:val="420" w:hRule="atLeast"/>
          <w:jc w:val="center"/>
        </w:trPr>
        <w:tc>
          <w:tcPr>
            <w:tcW w:w="581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17,398.22</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1,453.05</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15,945.18</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教育支出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20508</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进修及培训</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2050803</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培训支出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社会保障和就业支出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16,404.90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1,354.45</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15,050.45</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民政管理事务</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1,427.20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564.40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862.80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行政运行</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2080207</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行政区划和地名管理</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2080208</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基层政权建设和社区治理</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46.07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46.07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其他民政管理事务支出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960.09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257.12</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702.97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20805</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行政事业单位养老支出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280.16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280.16</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行政单位离退休</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2080505</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机关事业单位基本养老保险缴费支出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2080506</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机关事业单位职业年金缴费支出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其他行政事业单位养老支出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20810</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社会福利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1,655.04</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509.89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1,145.15</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儿童福利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老年福利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2081004</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殡葬</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359.54</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229.44</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130.10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2081005</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社会福利事业单位</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残疾人事业</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2081107</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残疾人生活和护理补贴</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最低生活保障</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10,156.69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10,156.69</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城市最低生活保障金支出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2,484.03</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2,484.03</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农村最低生活保障金支出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7,672.66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7,672.66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20820</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临时救助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临时救助支出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流浪乞讨人员救助支出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特困人员救助供养</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2082101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城市特困人员救助供养支出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20825</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其他生活救助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其他城市生活救助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其他农村生活救助</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其他社会保障和就业支出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2089999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其他社会保障和就业支出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卫生健康支出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21011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行政事业单位医疗</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行政单位医疗</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事业单位医疗</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住房保障支出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住房改革支出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2210201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住房公积金</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灾害防治及应急管理支出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22401</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应急管理事务</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2240199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其他应急管理支出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893.22</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893.22</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22904</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其他政府性基金及对应专项债务收入安排的支出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847.36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847.36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2290402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其他地方自行试点项目收益专项债券收入安排的支出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847.36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847.36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22960</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彩票公益金安排的支出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2296002</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用于社会福利的彩票公益金支出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gridAfter w:val="3"/>
          <w:wAfter w:w="2516" w:type="dxa"/>
          <w:trHeight w:val="360" w:hRule="atLeast"/>
          <w:jc w:val="center"/>
        </w:trPr>
        <w:tc>
          <w:tcPr>
            <w:tcW w:w="987"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2296099</w:t>
            </w:r>
          </w:p>
        </w:tc>
        <w:tc>
          <w:tcPr>
            <w:tcW w:w="4830" w:type="dxa"/>
            <w:gridSpan w:val="5"/>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用于其他社会公益事业的彩票公益金支出</w:t>
            </w:r>
          </w:p>
        </w:tc>
        <w:tc>
          <w:tcPr>
            <w:tcW w:w="12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106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42"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65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64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28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705" w:hRule="atLeast"/>
          <w:jc w:val="center"/>
        </w:trPr>
        <w:tc>
          <w:tcPr>
            <w:tcW w:w="12841" w:type="dxa"/>
            <w:gridSpan w:val="23"/>
            <w:tcBorders>
              <w:top w:val="nil"/>
              <w:left w:val="nil"/>
              <w:bottom w:val="nil"/>
              <w:right w:val="nil"/>
            </w:tcBorders>
            <w:shd w:val="clear" w:color="auto" w:fill="auto"/>
            <w:noWrap/>
            <w:vAlign w:val="center"/>
          </w:tcPr>
          <w:p>
            <w:pP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财政拨款收入支出决算总表</w:t>
            </w:r>
          </w:p>
        </w:tc>
        <w:tc>
          <w:tcPr>
            <w:tcW w:w="1480" w:type="dxa"/>
            <w:gridSpan w:val="2"/>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trHeight w:val="285" w:hRule="atLeast"/>
          <w:jc w:val="center"/>
        </w:trPr>
        <w:tc>
          <w:tcPr>
            <w:tcW w:w="3897" w:type="dxa"/>
            <w:gridSpan w:val="3"/>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344" w:type="dxa"/>
            <w:gridSpan w:val="2"/>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4022" w:type="dxa"/>
            <w:gridSpan w:val="9"/>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116" w:type="dxa"/>
            <w:gridSpan w:val="3"/>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254" w:type="dxa"/>
            <w:gridSpan w:val="4"/>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2688" w:type="dxa"/>
            <w:gridSpan w:val="4"/>
            <w:tcBorders>
              <w:top w:val="nil"/>
              <w:left w:val="nil"/>
              <w:bottom w:val="nil"/>
              <w:right w:val="nil"/>
            </w:tcBorders>
            <w:shd w:val="clear" w:color="auto" w:fill="auto"/>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公开04表</w:t>
            </w:r>
          </w:p>
        </w:tc>
      </w:tr>
      <w:tr>
        <w:tblPrEx>
          <w:tblLayout w:type="fixed"/>
          <w:tblCellMar>
            <w:top w:w="0" w:type="dxa"/>
            <w:left w:w="108" w:type="dxa"/>
            <w:bottom w:w="0" w:type="dxa"/>
            <w:right w:w="108" w:type="dxa"/>
          </w:tblCellMar>
        </w:tblPrEx>
        <w:trPr>
          <w:trHeight w:val="285" w:hRule="atLeast"/>
          <w:jc w:val="center"/>
        </w:trPr>
        <w:tc>
          <w:tcPr>
            <w:tcW w:w="5241" w:type="dxa"/>
            <w:gridSpan w:val="5"/>
            <w:tcBorders>
              <w:top w:val="nil"/>
              <w:left w:val="nil"/>
              <w:bottom w:val="single" w:color="auto" w:sz="4" w:space="0"/>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w:t>
            </w:r>
          </w:p>
        </w:tc>
        <w:tc>
          <w:tcPr>
            <w:tcW w:w="4022" w:type="dxa"/>
            <w:gridSpan w:val="9"/>
            <w:tcBorders>
              <w:top w:val="nil"/>
              <w:left w:val="nil"/>
              <w:bottom w:val="nil"/>
              <w:right w:val="nil"/>
            </w:tcBorders>
            <w:shd w:val="clear" w:color="auto" w:fill="auto"/>
            <w:noWrap/>
            <w:vAlign w:val="bottom"/>
          </w:tcPr>
          <w:p>
            <w:pPr>
              <w:rPr>
                <w:rFonts w:hint="eastAsia" w:ascii="宋体" w:hAnsi="宋体" w:eastAsia="宋体" w:cs="宋体"/>
                <w:sz w:val="21"/>
                <w:szCs w:val="21"/>
              </w:rPr>
            </w:pPr>
            <w:r>
              <w:rPr>
                <w:rFonts w:hint="eastAsia" w:ascii="宋体" w:hAnsi="宋体" w:eastAsia="宋体" w:cs="宋体"/>
                <w:sz w:val="21"/>
                <w:szCs w:val="21"/>
              </w:rPr>
              <w:t>2021年度</w:t>
            </w:r>
          </w:p>
        </w:tc>
        <w:tc>
          <w:tcPr>
            <w:tcW w:w="1116" w:type="dxa"/>
            <w:gridSpan w:val="3"/>
            <w:tcBorders>
              <w:top w:val="nil"/>
              <w:left w:val="nil"/>
              <w:bottom w:val="nil"/>
              <w:right w:val="nil"/>
            </w:tcBorders>
            <w:shd w:val="clear" w:color="auto" w:fill="auto"/>
            <w:noWrap/>
            <w:vAlign w:val="bottom"/>
          </w:tcPr>
          <w:p>
            <w:pPr>
              <w:jc w:val="center"/>
              <w:rPr>
                <w:rFonts w:hint="eastAsia" w:ascii="宋体" w:hAnsi="宋体" w:eastAsia="宋体" w:cs="宋体"/>
                <w:sz w:val="21"/>
                <w:szCs w:val="21"/>
              </w:rPr>
            </w:pPr>
          </w:p>
        </w:tc>
        <w:tc>
          <w:tcPr>
            <w:tcW w:w="1254" w:type="dxa"/>
            <w:gridSpan w:val="4"/>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2688" w:type="dxa"/>
            <w:gridSpan w:val="4"/>
            <w:tcBorders>
              <w:top w:val="nil"/>
              <w:left w:val="nil"/>
              <w:bottom w:val="single" w:color="000000" w:sz="4" w:space="0"/>
              <w:right w:val="nil"/>
            </w:tcBorders>
            <w:shd w:val="clear" w:color="auto" w:fill="auto"/>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trHeight w:val="375" w:hRule="atLeast"/>
          <w:jc w:val="center"/>
        </w:trPr>
        <w:tc>
          <w:tcPr>
            <w:tcW w:w="52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收     入</w:t>
            </w:r>
          </w:p>
        </w:tc>
        <w:tc>
          <w:tcPr>
            <w:tcW w:w="9080" w:type="dxa"/>
            <w:gridSpan w:val="20"/>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支     出</w:t>
            </w:r>
          </w:p>
        </w:tc>
      </w:tr>
      <w:tr>
        <w:tblPrEx>
          <w:tblLayout w:type="fixed"/>
          <w:tblCellMar>
            <w:top w:w="0" w:type="dxa"/>
            <w:left w:w="108" w:type="dxa"/>
            <w:bottom w:w="0" w:type="dxa"/>
            <w:right w:w="108" w:type="dxa"/>
          </w:tblCellMar>
        </w:tblPrEx>
        <w:trPr>
          <w:trHeight w:val="859" w:hRule="atLeast"/>
          <w:jc w:val="center"/>
        </w:trPr>
        <w:tc>
          <w:tcPr>
            <w:tcW w:w="389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    目</w:t>
            </w:r>
          </w:p>
        </w:tc>
        <w:tc>
          <w:tcPr>
            <w:tcW w:w="1344" w:type="dxa"/>
            <w:gridSpan w:val="2"/>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决算数</w:t>
            </w:r>
          </w:p>
        </w:tc>
        <w:tc>
          <w:tcPr>
            <w:tcW w:w="4022" w:type="dxa"/>
            <w:gridSpan w:val="9"/>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功能分类科目</w:t>
            </w:r>
          </w:p>
        </w:tc>
        <w:tc>
          <w:tcPr>
            <w:tcW w:w="5058" w:type="dxa"/>
            <w:gridSpan w:val="11"/>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决算数</w:t>
            </w:r>
          </w:p>
        </w:tc>
      </w:tr>
      <w:tr>
        <w:tblPrEx>
          <w:tblLayout w:type="fixed"/>
          <w:tblCellMar>
            <w:top w:w="0" w:type="dxa"/>
            <w:left w:w="108" w:type="dxa"/>
            <w:bottom w:w="0" w:type="dxa"/>
            <w:right w:w="108" w:type="dxa"/>
          </w:tblCellMar>
        </w:tblPrEx>
        <w:trPr>
          <w:trHeight w:val="859" w:hRule="atLeast"/>
          <w:jc w:val="center"/>
        </w:trPr>
        <w:tc>
          <w:tcPr>
            <w:tcW w:w="3897" w:type="dxa"/>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1344" w:type="dxa"/>
            <w:gridSpan w:val="2"/>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4022" w:type="dxa"/>
            <w:gridSpan w:val="9"/>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1116" w:type="dxa"/>
            <w:gridSpan w:val="3"/>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小计</w:t>
            </w:r>
          </w:p>
        </w:tc>
        <w:tc>
          <w:tcPr>
            <w:tcW w:w="1254" w:type="dxa"/>
            <w:gridSpan w:val="4"/>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一般公共预算财政拨款</w:t>
            </w:r>
          </w:p>
        </w:tc>
        <w:tc>
          <w:tcPr>
            <w:tcW w:w="1208" w:type="dxa"/>
            <w:gridSpan w:val="2"/>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政府性基金预算财政拨款</w:t>
            </w:r>
          </w:p>
        </w:tc>
        <w:tc>
          <w:tcPr>
            <w:tcW w:w="1480" w:type="dxa"/>
            <w:gridSpan w:val="2"/>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国有资本经营预算财政拨款</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一、一般公共预算财政拨款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15,798.20</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一、一般公共服务支出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二、政府性基金预算财政拨款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45.86</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二、外交支出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三、国有资本经营预算财政拨款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三、国防支出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四、公共安全支出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五、教育支出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六、科学技术支出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七、文化旅游体育与传媒支出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八、社会保障和就业支出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16,404.89</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16,404.89</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022"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w:t>
            </w:r>
          </w:p>
        </w:tc>
        <w:tc>
          <w:tcPr>
            <w:tcW w:w="1116" w:type="dxa"/>
            <w:gridSpan w:val="3"/>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42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本年收入合计</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15,844.06</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二十五、债务付息支出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27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年初财政拨款结转和结余</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1,700.03</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二十六、抗疫特别国债安排的支出</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27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一、一般公共预算财政拨款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707.24</w:t>
            </w:r>
          </w:p>
        </w:tc>
        <w:tc>
          <w:tcPr>
            <w:tcW w:w="4022" w:type="dxa"/>
            <w:gridSpan w:val="9"/>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本年支出合计</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17,398.22</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16,505.00</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893.22</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27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二、政府性基金预算财政拨款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992.79</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年末财政拨款结转和结余</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145.87</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0.44</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145.42</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27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三、国有资本经营预算财政拨款</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4022" w:type="dxa"/>
            <w:gridSpan w:val="9"/>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270" w:hRule="atLeast"/>
          <w:jc w:val="center"/>
        </w:trPr>
        <w:tc>
          <w:tcPr>
            <w:tcW w:w="3897"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总计</w:t>
            </w:r>
          </w:p>
        </w:tc>
        <w:tc>
          <w:tcPr>
            <w:tcW w:w="134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17,544.09</w:t>
            </w:r>
          </w:p>
        </w:tc>
        <w:tc>
          <w:tcPr>
            <w:tcW w:w="4022" w:type="dxa"/>
            <w:gridSpan w:val="9"/>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总计</w:t>
            </w:r>
          </w:p>
        </w:tc>
        <w:tc>
          <w:tcPr>
            <w:tcW w:w="1116"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17,544.09</w:t>
            </w:r>
          </w:p>
        </w:tc>
        <w:tc>
          <w:tcPr>
            <w:tcW w:w="1254"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16,505.45</w:t>
            </w:r>
          </w:p>
        </w:tc>
        <w:tc>
          <w:tcPr>
            <w:tcW w:w="1208"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1,038.64</w:t>
            </w:r>
          </w:p>
        </w:tc>
        <w:tc>
          <w:tcPr>
            <w:tcW w:w="148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270" w:hRule="atLeast"/>
          <w:jc w:val="center"/>
        </w:trPr>
        <w:tc>
          <w:tcPr>
            <w:tcW w:w="14321" w:type="dxa"/>
            <w:gridSpan w:val="25"/>
            <w:tcBorders>
              <w:top w:val="single" w:color="000000" w:sz="4" w:space="0"/>
              <w:left w:val="nil"/>
              <w:bottom w:val="nil"/>
              <w:right w:val="nil"/>
            </w:tcBorders>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备注：本表反映部门本年度一般公共预算财政拨款、政府性基金预算财政拨款及国有资本经营预算财政拨款的总收支和年末结转结余情况。</w:t>
            </w:r>
          </w:p>
        </w:tc>
      </w:tr>
    </w:tbl>
    <w:p>
      <w:pPr>
        <w:pStyle w:val="5"/>
        <w:shd w:val="clear" w:color="auto" w:fill="FFFFFF"/>
        <w:rPr>
          <w:rFonts w:ascii="方正仿宋_GBK" w:eastAsia="方正仿宋_GBK"/>
          <w:color w:val="000000" w:themeColor="text1"/>
          <w:sz w:val="28"/>
          <w:szCs w:val="28"/>
          <w14:textFill>
            <w14:solidFill>
              <w14:schemeClr w14:val="tx1"/>
            </w14:solidFill>
          </w14:textFill>
        </w:rPr>
        <w:sectPr>
          <w:pgSz w:w="16840" w:h="11907" w:orient="landscape"/>
          <w:pgMar w:top="1800" w:right="1440" w:bottom="1800" w:left="1440" w:header="851" w:footer="992" w:gutter="0"/>
          <w:cols w:space="425" w:num="1"/>
          <w:docGrid w:type="lines" w:linePitch="326" w:charSpace="0"/>
        </w:sectPr>
      </w:pPr>
    </w:p>
    <w:tbl>
      <w:tblPr>
        <w:tblStyle w:val="6"/>
        <w:tblW w:w="8826" w:type="dxa"/>
        <w:jc w:val="center"/>
        <w:tblInd w:w="0" w:type="dxa"/>
        <w:tblLayout w:type="fixed"/>
        <w:tblCellMar>
          <w:top w:w="0" w:type="dxa"/>
          <w:left w:w="108" w:type="dxa"/>
          <w:bottom w:w="0" w:type="dxa"/>
          <w:right w:w="108" w:type="dxa"/>
        </w:tblCellMar>
      </w:tblPr>
      <w:tblGrid>
        <w:gridCol w:w="1294"/>
        <w:gridCol w:w="4018"/>
        <w:gridCol w:w="1124"/>
        <w:gridCol w:w="1066"/>
        <w:gridCol w:w="1324"/>
      </w:tblGrid>
      <w:tr>
        <w:tblPrEx>
          <w:tblLayout w:type="fixed"/>
          <w:tblCellMar>
            <w:top w:w="0" w:type="dxa"/>
            <w:left w:w="108" w:type="dxa"/>
            <w:bottom w:w="0" w:type="dxa"/>
            <w:right w:w="108" w:type="dxa"/>
          </w:tblCellMar>
        </w:tblPrEx>
        <w:trPr>
          <w:trHeight w:val="600" w:hRule="atLeast"/>
          <w:jc w:val="center"/>
        </w:trPr>
        <w:tc>
          <w:tcPr>
            <w:tcW w:w="8826" w:type="dxa"/>
            <w:gridSpan w:val="5"/>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一般公共预算财政拨款支出决算表</w:t>
            </w:r>
          </w:p>
        </w:tc>
      </w:tr>
      <w:tr>
        <w:tblPrEx>
          <w:tblLayout w:type="fixed"/>
          <w:tblCellMar>
            <w:top w:w="0" w:type="dxa"/>
            <w:left w:w="108" w:type="dxa"/>
            <w:bottom w:w="0" w:type="dxa"/>
            <w:right w:w="108" w:type="dxa"/>
          </w:tblCellMar>
        </w:tblPrEx>
        <w:trPr>
          <w:trHeight w:val="255" w:hRule="atLeast"/>
          <w:jc w:val="center"/>
        </w:trPr>
        <w:tc>
          <w:tcPr>
            <w:tcW w:w="1294"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4018"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124"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066"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324" w:type="dxa"/>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公开05表</w:t>
            </w:r>
          </w:p>
        </w:tc>
      </w:tr>
      <w:tr>
        <w:tblPrEx>
          <w:tblLayout w:type="fixed"/>
          <w:tblCellMar>
            <w:top w:w="0" w:type="dxa"/>
            <w:left w:w="108" w:type="dxa"/>
            <w:bottom w:w="0" w:type="dxa"/>
            <w:right w:w="108" w:type="dxa"/>
          </w:tblCellMar>
        </w:tblPrEx>
        <w:trPr>
          <w:trHeight w:val="255" w:hRule="atLeast"/>
          <w:jc w:val="center"/>
        </w:trPr>
        <w:tc>
          <w:tcPr>
            <w:tcW w:w="5312"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w:t>
            </w:r>
          </w:p>
        </w:tc>
        <w:tc>
          <w:tcPr>
            <w:tcW w:w="1124"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r>
              <w:rPr>
                <w:rFonts w:hint="eastAsia" w:ascii="宋体" w:hAnsi="宋体" w:eastAsia="宋体" w:cs="宋体"/>
                <w:sz w:val="21"/>
                <w:szCs w:val="21"/>
              </w:rPr>
              <w:t>2021年度</w:t>
            </w:r>
          </w:p>
        </w:tc>
        <w:tc>
          <w:tcPr>
            <w:tcW w:w="1066"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1324" w:type="dxa"/>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trHeight w:val="600" w:hRule="atLeast"/>
          <w:jc w:val="center"/>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功能分类科目编码</w:t>
            </w:r>
          </w:p>
        </w:tc>
        <w:tc>
          <w:tcPr>
            <w:tcW w:w="40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项目(按“项”级功能分类科目)</w:t>
            </w:r>
          </w:p>
        </w:tc>
        <w:tc>
          <w:tcPr>
            <w:tcW w:w="3514"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决算数</w:t>
            </w:r>
          </w:p>
        </w:tc>
      </w:tr>
      <w:tr>
        <w:tblPrEx>
          <w:tblLayout w:type="fixed"/>
          <w:tblCellMar>
            <w:top w:w="0" w:type="dxa"/>
            <w:left w:w="108" w:type="dxa"/>
            <w:bottom w:w="0" w:type="dxa"/>
            <w:right w:w="108" w:type="dxa"/>
          </w:tblCellMar>
        </w:tblPrEx>
        <w:trPr>
          <w:trHeight w:val="600" w:hRule="atLeast"/>
          <w:jc w:val="center"/>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01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12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基本支出</w:t>
            </w:r>
          </w:p>
        </w:tc>
        <w:tc>
          <w:tcPr>
            <w:tcW w:w="132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项目支出</w:t>
            </w:r>
          </w:p>
        </w:tc>
      </w:tr>
      <w:tr>
        <w:tblPrEx>
          <w:tblLayout w:type="fixed"/>
          <w:tblCellMar>
            <w:top w:w="0" w:type="dxa"/>
            <w:left w:w="108" w:type="dxa"/>
            <w:bottom w:w="0" w:type="dxa"/>
            <w:right w:w="108" w:type="dxa"/>
          </w:tblCellMar>
        </w:tblPrEx>
        <w:trPr>
          <w:trHeight w:val="420" w:hRule="atLeast"/>
          <w:jc w:val="center"/>
        </w:trPr>
        <w:tc>
          <w:tcPr>
            <w:tcW w:w="53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  计</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16,505.00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1,453.05</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15,051.96</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教育支出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20508</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进修及培训</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3.09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2050803</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培训支出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社会保障和就业支出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16,404.90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1,354.45</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15,050.45</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民政管理事务</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1,427.20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564.40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862.80</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行政运行</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307.28</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2080207</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行政区划和地名管理</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113.76</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113.76</w:t>
            </w:r>
          </w:p>
        </w:tc>
      </w:tr>
      <w:tr>
        <w:tblPrEx>
          <w:tblLayout w:type="fixed"/>
          <w:tblCellMar>
            <w:top w:w="0" w:type="dxa"/>
            <w:left w:w="108" w:type="dxa"/>
            <w:bottom w:w="0" w:type="dxa"/>
            <w:right w:w="108" w:type="dxa"/>
          </w:tblCellMar>
        </w:tblPrEx>
        <w:trPr>
          <w:trHeight w:val="54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2080208</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基层政权建设和社区治理</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46.07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46.07</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2080299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其他民政管理事务支出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960.09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257.12</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702.97</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20805</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行政事业单位养老支出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280.16</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280.16</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行政单位离退休</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10.67</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2080505</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机关事业单位基本养老保险缴费支出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65.75</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2080506</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机关事业单位职业年金缴费支出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113.70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2080599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其他行政事业单位养老支出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90.04</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20810</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社会福利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1,655.04</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509.89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1,145.15</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儿童福利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194.57</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老年福利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820.48</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2081004</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殡葬</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359.54</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229.44</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130.10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2081005</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社会福利事业单位</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280.45</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残疾人事业</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1,160.11</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2081107</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残疾人生活和护理补贴</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1,160.11</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20819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最低生活保障</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10,156.69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10,156.69</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城市最低生活保障金支出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2,484.03</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2,484.03</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2081902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农村最低生活保障金支出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7,672.66</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7,672.66</w:t>
            </w:r>
          </w:p>
        </w:tc>
      </w:tr>
      <w:tr>
        <w:tblPrEx>
          <w:tblLayout w:type="fixed"/>
          <w:tblCellMar>
            <w:top w:w="0" w:type="dxa"/>
            <w:left w:w="108" w:type="dxa"/>
            <w:bottom w:w="0" w:type="dxa"/>
            <w:right w:w="108" w:type="dxa"/>
          </w:tblCellMar>
        </w:tblPrEx>
        <w:trPr>
          <w:trHeight w:val="42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20820</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临时救助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734.89</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临时救助支出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681.77</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2082002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流浪乞讨人员救助支出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53.12</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特困人员救助供养</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7.17</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2082101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城市特困人员救助供养支出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7.17</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20825</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其他生活救助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798.84</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其他城市生活救助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65.00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2082502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其他农村生活救助</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733.84</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20899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其他社会保障和就业支出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184.80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2089999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其他社会保障和就业支出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184.80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卫生健康支出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21011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行政事业单位医疗</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46.19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行政单位医疗</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15.41</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2101102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事业单位医疗</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30.78</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住房保障支出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22102</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住房改革支出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49.33</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2210201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住房公积金</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49.33</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灾害防治及应急管理支出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22401</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应急管理事务</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1.50</w:t>
            </w:r>
          </w:p>
        </w:tc>
      </w:tr>
      <w:tr>
        <w:tblPrEx>
          <w:tblLayout w:type="fixed"/>
          <w:tblCellMar>
            <w:top w:w="0" w:type="dxa"/>
            <w:left w:w="108" w:type="dxa"/>
            <w:bottom w:w="0" w:type="dxa"/>
            <w:right w:w="108" w:type="dxa"/>
          </w:tblCellMar>
        </w:tblPrEx>
        <w:trPr>
          <w:trHeight w:val="300" w:hRule="atLeast"/>
          <w:jc w:val="center"/>
        </w:trPr>
        <w:tc>
          <w:tcPr>
            <w:tcW w:w="12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2240199</w:t>
            </w:r>
          </w:p>
        </w:tc>
        <w:tc>
          <w:tcPr>
            <w:tcW w:w="4018"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其他应急管理支出</w:t>
            </w:r>
          </w:p>
        </w:tc>
        <w:tc>
          <w:tcPr>
            <w:tcW w:w="11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c>
          <w:tcPr>
            <w:tcW w:w="10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1.50</w:t>
            </w:r>
          </w:p>
        </w:tc>
      </w:tr>
    </w:tbl>
    <w:p>
      <w:pPr>
        <w:pStyle w:val="5"/>
        <w:shd w:val="clear" w:color="auto" w:fill="FFFFFF"/>
        <w:rPr>
          <w:rFonts w:ascii="方正仿宋_GBK" w:eastAsia="方正仿宋_GBK"/>
          <w:color w:val="000000" w:themeColor="text1"/>
          <w:sz w:val="28"/>
          <w:szCs w:val="28"/>
          <w14:textFill>
            <w14:solidFill>
              <w14:schemeClr w14:val="tx1"/>
            </w14:solidFill>
          </w14:textFill>
        </w:rPr>
      </w:pPr>
    </w:p>
    <w:p>
      <w:pPr>
        <w:pStyle w:val="5"/>
        <w:shd w:val="clear" w:color="auto" w:fill="FFFFFF"/>
        <w:rPr>
          <w:rFonts w:ascii="方正仿宋_GBK" w:eastAsia="方正仿宋_GBK"/>
          <w:color w:val="000000" w:themeColor="text1"/>
          <w:sz w:val="28"/>
          <w:szCs w:val="28"/>
          <w14:textFill>
            <w14:solidFill>
              <w14:schemeClr w14:val="tx1"/>
            </w14:solidFill>
          </w14:textFill>
        </w:rPr>
      </w:pPr>
    </w:p>
    <w:p>
      <w:pPr>
        <w:pStyle w:val="5"/>
        <w:shd w:val="clear" w:color="auto" w:fill="FFFFFF"/>
        <w:rPr>
          <w:rFonts w:ascii="方正仿宋_GBK" w:eastAsia="方正仿宋_GBK"/>
          <w:color w:val="000000" w:themeColor="text1"/>
          <w:sz w:val="28"/>
          <w:szCs w:val="28"/>
          <w14:textFill>
            <w14:solidFill>
              <w14:schemeClr w14:val="tx1"/>
            </w14:solidFill>
          </w14:textFill>
        </w:rPr>
      </w:pPr>
    </w:p>
    <w:p>
      <w:pPr>
        <w:pStyle w:val="5"/>
        <w:shd w:val="clear" w:color="auto" w:fill="FFFFFF"/>
        <w:rPr>
          <w:rFonts w:ascii="方正仿宋_GBK" w:eastAsia="方正仿宋_GBK"/>
          <w:color w:val="000000" w:themeColor="text1"/>
          <w:sz w:val="28"/>
          <w:szCs w:val="28"/>
          <w14:textFill>
            <w14:solidFill>
              <w14:schemeClr w14:val="tx1"/>
            </w14:solidFill>
          </w14:textFill>
        </w:rPr>
      </w:pPr>
    </w:p>
    <w:p>
      <w:pPr>
        <w:pStyle w:val="5"/>
        <w:shd w:val="clear" w:color="auto" w:fill="FFFFFF"/>
        <w:rPr>
          <w:rFonts w:ascii="方正仿宋_GBK" w:eastAsia="方正仿宋_GBK"/>
          <w:color w:val="000000" w:themeColor="text1"/>
          <w:sz w:val="28"/>
          <w:szCs w:val="28"/>
          <w14:textFill>
            <w14:solidFill>
              <w14:schemeClr w14:val="tx1"/>
            </w14:solidFill>
          </w14:textFill>
        </w:rPr>
        <w:sectPr>
          <w:pgSz w:w="11907" w:h="16840"/>
          <w:pgMar w:top="1440" w:right="1800" w:bottom="1440" w:left="1800" w:header="851" w:footer="992" w:gutter="0"/>
          <w:cols w:space="425" w:num="1"/>
          <w:docGrid w:type="lines" w:linePitch="326" w:charSpace="0"/>
        </w:sectPr>
      </w:pPr>
    </w:p>
    <w:tbl>
      <w:tblPr>
        <w:tblStyle w:val="6"/>
        <w:tblW w:w="14083" w:type="dxa"/>
        <w:tblInd w:w="93" w:type="dxa"/>
        <w:tblLayout w:type="fixed"/>
        <w:tblCellMar>
          <w:top w:w="0" w:type="dxa"/>
          <w:left w:w="108" w:type="dxa"/>
          <w:bottom w:w="0" w:type="dxa"/>
          <w:right w:w="108" w:type="dxa"/>
        </w:tblCellMar>
      </w:tblPr>
      <w:tblGrid>
        <w:gridCol w:w="1511"/>
        <w:gridCol w:w="124"/>
        <w:gridCol w:w="2599"/>
        <w:gridCol w:w="261"/>
        <w:gridCol w:w="261"/>
        <w:gridCol w:w="2063"/>
        <w:gridCol w:w="129"/>
        <w:gridCol w:w="1434"/>
        <w:gridCol w:w="387"/>
        <w:gridCol w:w="708"/>
        <w:gridCol w:w="1042"/>
        <w:gridCol w:w="108"/>
        <w:gridCol w:w="1026"/>
        <w:gridCol w:w="1038"/>
        <w:gridCol w:w="364"/>
        <w:gridCol w:w="1028"/>
      </w:tblGrid>
      <w:tr>
        <w:tblPrEx>
          <w:tblLayout w:type="fixed"/>
          <w:tblCellMar>
            <w:top w:w="0" w:type="dxa"/>
            <w:left w:w="108" w:type="dxa"/>
            <w:bottom w:w="0" w:type="dxa"/>
            <w:right w:w="108" w:type="dxa"/>
          </w:tblCellMar>
        </w:tblPrEx>
        <w:trPr>
          <w:trHeight w:val="510" w:hRule="atLeast"/>
        </w:trPr>
        <w:tc>
          <w:tcPr>
            <w:tcW w:w="14083" w:type="dxa"/>
            <w:gridSpan w:val="16"/>
            <w:tcBorders>
              <w:top w:val="nil"/>
              <w:left w:val="nil"/>
              <w:bottom w:val="nil"/>
              <w:right w:val="nil"/>
            </w:tcBorders>
            <w:shd w:val="clear" w:color="auto" w:fill="auto"/>
            <w:noWrap/>
            <w:vAlign w:val="center"/>
          </w:tcPr>
          <w:tbl>
            <w:tblPr>
              <w:tblStyle w:val="6"/>
              <w:tblW w:w="13718" w:type="dxa"/>
              <w:jc w:val="center"/>
              <w:tblInd w:w="0" w:type="dxa"/>
              <w:tblLayout w:type="fixed"/>
              <w:tblCellMar>
                <w:top w:w="0" w:type="dxa"/>
                <w:left w:w="108" w:type="dxa"/>
                <w:bottom w:w="0" w:type="dxa"/>
                <w:right w:w="108" w:type="dxa"/>
              </w:tblCellMar>
            </w:tblPr>
            <w:tblGrid>
              <w:gridCol w:w="716"/>
              <w:gridCol w:w="2828"/>
              <w:gridCol w:w="1016"/>
              <w:gridCol w:w="716"/>
              <w:gridCol w:w="2266"/>
              <w:gridCol w:w="816"/>
              <w:gridCol w:w="716"/>
              <w:gridCol w:w="3828"/>
              <w:gridCol w:w="816"/>
            </w:tblGrid>
            <w:tr>
              <w:tblPrEx>
                <w:tblLayout w:type="fixed"/>
                <w:tblCellMar>
                  <w:top w:w="0" w:type="dxa"/>
                  <w:left w:w="108" w:type="dxa"/>
                  <w:bottom w:w="0" w:type="dxa"/>
                  <w:right w:w="108" w:type="dxa"/>
                </w:tblCellMar>
              </w:tblPrEx>
              <w:trPr>
                <w:trHeight w:val="652" w:hRule="atLeast"/>
                <w:jc w:val="center"/>
              </w:trPr>
              <w:tc>
                <w:tcPr>
                  <w:tcW w:w="13718" w:type="dxa"/>
                  <w:gridSpan w:val="9"/>
                  <w:vMerge w:val="restart"/>
                  <w:tcBorders>
                    <w:top w:val="nil"/>
                    <w:left w:val="nil"/>
                    <w:bottom w:val="nil"/>
                    <w:right w:val="single" w:color="808080" w:sz="4" w:space="0"/>
                  </w:tcBorders>
                  <w:shd w:val="clear" w:color="000000" w:fill="FFFFFF"/>
                  <w:noWrap/>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一般公共预算财政拨款基本支出决算表</w:t>
                  </w:r>
                </w:p>
              </w:tc>
            </w:tr>
            <w:tr>
              <w:tblPrEx>
                <w:tblLayout w:type="fixed"/>
                <w:tblCellMar>
                  <w:top w:w="0" w:type="dxa"/>
                  <w:left w:w="108" w:type="dxa"/>
                  <w:bottom w:w="0" w:type="dxa"/>
                  <w:right w:w="108" w:type="dxa"/>
                </w:tblCellMar>
              </w:tblPrEx>
              <w:trPr>
                <w:trHeight w:val="652" w:hRule="atLeast"/>
                <w:jc w:val="center"/>
              </w:trPr>
              <w:tc>
                <w:tcPr>
                  <w:tcW w:w="13718" w:type="dxa"/>
                  <w:gridSpan w:val="9"/>
                  <w:vMerge w:val="continue"/>
                  <w:tcBorders>
                    <w:top w:val="nil"/>
                    <w:left w:val="nil"/>
                    <w:bottom w:val="nil"/>
                    <w:right w:val="single" w:color="808080" w:sz="4" w:space="0"/>
                  </w:tcBorders>
                  <w:vAlign w:val="center"/>
                </w:tcPr>
                <w:p>
                  <w:pP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70" w:hRule="atLeast"/>
                <w:jc w:val="center"/>
              </w:trPr>
              <w:tc>
                <w:tcPr>
                  <w:tcW w:w="71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28"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01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26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1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nil"/>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644" w:type="dxa"/>
                  <w:gridSpan w:val="2"/>
                  <w:tcBorders>
                    <w:top w:val="nil"/>
                    <w:left w:val="nil"/>
                    <w:bottom w:val="nil"/>
                    <w:right w:val="single" w:color="80808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公开06表</w:t>
                  </w:r>
                </w:p>
              </w:tc>
            </w:tr>
            <w:tr>
              <w:tblPrEx>
                <w:tblLayout w:type="fixed"/>
                <w:tblCellMar>
                  <w:top w:w="0" w:type="dxa"/>
                  <w:left w:w="108" w:type="dxa"/>
                  <w:bottom w:w="0" w:type="dxa"/>
                  <w:right w:w="108" w:type="dxa"/>
                </w:tblCellMar>
              </w:tblPrEx>
              <w:trPr>
                <w:trHeight w:val="300" w:hRule="atLeast"/>
                <w:jc w:val="center"/>
              </w:trPr>
              <w:tc>
                <w:tcPr>
                  <w:tcW w:w="4560" w:type="dxa"/>
                  <w:gridSpan w:val="3"/>
                  <w:tcBorders>
                    <w:top w:val="nil"/>
                    <w:left w:val="nil"/>
                    <w:bottom w:val="single" w:color="808080" w:sz="4" w:space="0"/>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公开部门：重庆市垫江县民政局</w:t>
                  </w:r>
                </w:p>
              </w:tc>
              <w:tc>
                <w:tcPr>
                  <w:tcW w:w="716" w:type="dxa"/>
                  <w:tcBorders>
                    <w:top w:val="nil"/>
                    <w:left w:val="nil"/>
                    <w:bottom w:val="single" w:color="808080" w:sz="4" w:space="0"/>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266" w:type="dxa"/>
                  <w:tcBorders>
                    <w:top w:val="nil"/>
                    <w:left w:val="nil"/>
                    <w:bottom w:val="single" w:color="808080" w:sz="4" w:space="0"/>
                    <w:right w:val="nil"/>
                  </w:tcBorders>
                  <w:shd w:val="clear" w:color="000000" w:fill="FFFFFF"/>
                  <w:noWrap/>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2021年度</w:t>
                  </w:r>
                </w:p>
              </w:tc>
              <w:tc>
                <w:tcPr>
                  <w:tcW w:w="816" w:type="dxa"/>
                  <w:tcBorders>
                    <w:top w:val="nil"/>
                    <w:left w:val="nil"/>
                    <w:bottom w:val="single" w:color="808080" w:sz="4" w:space="0"/>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single" w:color="808080" w:sz="4" w:space="0"/>
                    <w:right w:val="nil"/>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4644" w:type="dxa"/>
                  <w:gridSpan w:val="2"/>
                  <w:tcBorders>
                    <w:top w:val="nil"/>
                    <w:left w:val="nil"/>
                    <w:bottom w:val="single" w:color="808080" w:sz="4" w:space="0"/>
                    <w:right w:val="single" w:color="80808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单位：万元</w:t>
                  </w:r>
                </w:p>
              </w:tc>
            </w:tr>
            <w:tr>
              <w:tblPrEx>
                <w:tblLayout w:type="fixed"/>
                <w:tblCellMar>
                  <w:top w:w="0" w:type="dxa"/>
                  <w:left w:w="108" w:type="dxa"/>
                  <w:bottom w:w="0" w:type="dxa"/>
                  <w:right w:w="108" w:type="dxa"/>
                </w:tblCellMar>
              </w:tblPrEx>
              <w:trPr>
                <w:trHeight w:val="300" w:hRule="atLeast"/>
                <w:jc w:val="center"/>
              </w:trPr>
              <w:tc>
                <w:tcPr>
                  <w:tcW w:w="4560" w:type="dxa"/>
                  <w:gridSpan w:val="3"/>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人员经费</w:t>
                  </w:r>
                </w:p>
              </w:tc>
              <w:tc>
                <w:tcPr>
                  <w:tcW w:w="9158" w:type="dxa"/>
                  <w:gridSpan w:val="6"/>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公用经费</w:t>
                  </w:r>
                </w:p>
              </w:tc>
            </w:tr>
            <w:tr>
              <w:tblPrEx>
                <w:tblLayout w:type="fixed"/>
                <w:tblCellMar>
                  <w:top w:w="0" w:type="dxa"/>
                  <w:left w:w="108" w:type="dxa"/>
                  <w:bottom w:w="0" w:type="dxa"/>
                  <w:right w:w="108" w:type="dxa"/>
                </w:tblCellMar>
              </w:tblPrEx>
              <w:trPr>
                <w:trHeight w:val="326" w:hRule="atLeast"/>
                <w:jc w:val="center"/>
              </w:trPr>
              <w:tc>
                <w:tcPr>
                  <w:tcW w:w="716" w:type="dxa"/>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经济分类科目编码</w:t>
                  </w:r>
                </w:p>
              </w:tc>
              <w:tc>
                <w:tcPr>
                  <w:tcW w:w="2828"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经济分类科目（按“款”级功能分类科目）</w:t>
                  </w:r>
                </w:p>
              </w:tc>
              <w:tc>
                <w:tcPr>
                  <w:tcW w:w="101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金额</w:t>
                  </w:r>
                </w:p>
              </w:tc>
              <w:tc>
                <w:tcPr>
                  <w:tcW w:w="71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经济分类科目编码</w:t>
                  </w:r>
                </w:p>
              </w:tc>
              <w:tc>
                <w:tcPr>
                  <w:tcW w:w="226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经济分类科目（按“款”级功能分类科目）</w:t>
                  </w:r>
                </w:p>
              </w:tc>
              <w:tc>
                <w:tcPr>
                  <w:tcW w:w="81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金额</w:t>
                  </w:r>
                </w:p>
              </w:tc>
              <w:tc>
                <w:tcPr>
                  <w:tcW w:w="71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经济分类科目编码</w:t>
                  </w:r>
                </w:p>
              </w:tc>
              <w:tc>
                <w:tcPr>
                  <w:tcW w:w="3828"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经济分类科目（按“款”级功能分类科目）</w:t>
                  </w:r>
                </w:p>
              </w:tc>
              <w:tc>
                <w:tcPr>
                  <w:tcW w:w="816" w:type="dxa"/>
                  <w:vMerge w:val="restart"/>
                  <w:tcBorders>
                    <w:top w:val="nil"/>
                    <w:left w:val="nil"/>
                    <w:bottom w:val="single" w:color="000000" w:sz="4" w:space="0"/>
                    <w:right w:val="single" w:color="000000" w:sz="4" w:space="0"/>
                  </w:tcBorders>
                  <w:shd w:val="clear" w:color="000000" w:fill="FFFFFF"/>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金额</w:t>
                  </w:r>
                </w:p>
              </w:tc>
            </w:tr>
            <w:tr>
              <w:tblPrEx>
                <w:tblLayout w:type="fixed"/>
                <w:tblCellMar>
                  <w:top w:w="0" w:type="dxa"/>
                  <w:left w:w="108" w:type="dxa"/>
                  <w:bottom w:w="0" w:type="dxa"/>
                  <w:right w:w="108" w:type="dxa"/>
                </w:tblCellMar>
              </w:tblPrEx>
              <w:trPr>
                <w:trHeight w:val="600" w:hRule="atLeast"/>
                <w:jc w:val="center"/>
              </w:trPr>
              <w:tc>
                <w:tcPr>
                  <w:tcW w:w="716"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2828"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101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71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226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81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71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3828"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c>
                <w:tcPr>
                  <w:tcW w:w="816" w:type="dxa"/>
                  <w:vMerge w:val="continue"/>
                  <w:tcBorders>
                    <w:top w:val="nil"/>
                    <w:left w:val="nil"/>
                    <w:bottom w:val="single" w:color="000000" w:sz="4" w:space="0"/>
                    <w:right w:val="single" w:color="000000" w:sz="4" w:space="0"/>
                  </w:tcBorders>
                  <w:vAlign w:val="center"/>
                </w:tcPr>
                <w:p>
                  <w:pPr>
                    <w:rPr>
                      <w:rFonts w:hint="eastAsia" w:ascii="宋体" w:hAnsi="宋体" w:eastAsia="宋体" w:cs="宋体"/>
                      <w:b/>
                      <w:bCs/>
                      <w:color w:val="000000"/>
                      <w:sz w:val="21"/>
                      <w:szCs w:val="21"/>
                    </w:rPr>
                  </w:pP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工资福利支出</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1,045.63</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商品和服务支出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293.53</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资本性支出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6.74</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30101</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基本工资</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242.10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30201</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办公费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45.95</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31001</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房屋建筑物购建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30102</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津贴补贴</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37.59</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30202</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印刷费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0.59</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31002</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办公设备购置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4.78</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30103</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奖金</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48.06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30203</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咨询费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31003</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专用设备购置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1.96</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30106</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伙食补助费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42.96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30204</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手续费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0.02</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31005</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基础设施建设</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30107</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绩效工资</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268.40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30205</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水费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8.26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31006</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大型修缮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30108</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机关事业单位基本养老保险费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65.75</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30206</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电费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27.47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31007</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信息网络及软件购置更新</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30109</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职业年金缴费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113.70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30207</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邮电费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8.50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31008</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物资储备</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30110</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职工基本医疗保险缴费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46.19</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30208</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取暖费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31009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土地补偿</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30111</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公务员医疗补助缴费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30209</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物业管理费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31010</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安置补助</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30112</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其他社会保障缴费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4.25</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30211</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差旅费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34.50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31011</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地上附着物和青苗补偿</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30113</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住房公积金</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62.09</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30212</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因公出国（境）费用</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31012</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拆迁补偿</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30114</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医疗费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14.28</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30213</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维修（护）费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28.47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31013</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公务用车购置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30199</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其他工资福利支出</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100.25</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30214</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租赁费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31019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其他交通工具购置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对个人和家庭的补助</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107.14</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30215</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会议费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31021</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文物和陈列品购置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30301</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离休费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10.47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30216</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培训费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8.84</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31022</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无形资产购置</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30302</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退休费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30217</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公务接待费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2.08</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31099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其他资本性支出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3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30303</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退职（役）费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30218</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专用材料费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对企业补助</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30304</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抚恤金</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3.87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30224</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被装购置费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31201</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资本金注入</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30305</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生活补助</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79.96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30225</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专用燃料费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31203</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政府投资基金股权投资</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30306</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救济费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30226</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劳务费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21.18</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31204</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费用补贴</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30307</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医疗费补助</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10.16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30227</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委托业务费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51.76</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31205</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利息补贴</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30308</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助学金</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30228</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工会经费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2.47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31299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其他对企业补助</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30309</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奖励金</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30229</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福利费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10.91</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399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其他支出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30310</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个人农业生产补贴</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30231</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公务用车运行维护费</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16.31</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39906</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赠与</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30311</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代缴社会保险费</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30239</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其他交通费用</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14.14</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39907</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国家赔偿费用支出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30399</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其他个人和家庭的补助支出</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2.67</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30240</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税金及附加费用</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39908</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对民间非营利组织和群众性自治组织补贴</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30299</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其他商品和服务支出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12.09</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39999</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其他支出</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30702</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国外债务付息</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30703</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国内债务发行费用</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30704</w:t>
                  </w:r>
                </w:p>
              </w:tc>
              <w:tc>
                <w:tcPr>
                  <w:tcW w:w="226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国外债务发行费用</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0.00</w:t>
                  </w:r>
                </w:p>
              </w:tc>
              <w:tc>
                <w:tcPr>
                  <w:tcW w:w="716"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3828"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300" w:hRule="atLeast"/>
                <w:jc w:val="center"/>
              </w:trPr>
              <w:tc>
                <w:tcPr>
                  <w:tcW w:w="3544" w:type="dxa"/>
                  <w:gridSpan w:val="2"/>
                  <w:tcBorders>
                    <w:top w:val="nil"/>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人员经费合计</w:t>
                  </w:r>
                </w:p>
              </w:tc>
              <w:tc>
                <w:tcPr>
                  <w:tcW w:w="10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1,152.77</w:t>
                  </w:r>
                </w:p>
              </w:tc>
              <w:tc>
                <w:tcPr>
                  <w:tcW w:w="8342" w:type="dxa"/>
                  <w:gridSpan w:val="5"/>
                  <w:tcBorders>
                    <w:top w:val="nil"/>
                    <w:left w:val="nil"/>
                    <w:bottom w:val="single" w:color="000000" w:sz="4" w:space="0"/>
                    <w:right w:val="single" w:color="000000" w:sz="4" w:space="0"/>
                  </w:tcBorders>
                  <w:shd w:val="clear" w:color="000000" w:fill="FFFFFF"/>
                  <w:noWrap/>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公用经费合计</w:t>
                  </w:r>
                </w:p>
              </w:tc>
              <w:tc>
                <w:tcPr>
                  <w:tcW w:w="816" w:type="dxa"/>
                  <w:tcBorders>
                    <w:top w:val="nil"/>
                    <w:left w:val="nil"/>
                    <w:bottom w:val="single" w:color="000000" w:sz="4" w:space="0"/>
                    <w:right w:val="single" w:color="000000" w:sz="4" w:space="0"/>
                  </w:tcBorders>
                  <w:shd w:val="clear" w:color="000000" w:fill="FFFFFF"/>
                  <w:noWrap/>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300.28</w:t>
                  </w:r>
                </w:p>
              </w:tc>
            </w:tr>
            <w:tr>
              <w:tblPrEx>
                <w:tblLayout w:type="fixed"/>
                <w:tblCellMar>
                  <w:top w:w="0" w:type="dxa"/>
                  <w:left w:w="108" w:type="dxa"/>
                  <w:bottom w:w="0" w:type="dxa"/>
                  <w:right w:w="108" w:type="dxa"/>
                </w:tblCellMar>
              </w:tblPrEx>
              <w:trPr>
                <w:trHeight w:val="300" w:hRule="atLeast"/>
                <w:jc w:val="center"/>
              </w:trPr>
              <w:tc>
                <w:tcPr>
                  <w:tcW w:w="13718" w:type="dxa"/>
                  <w:gridSpan w:val="9"/>
                  <w:tcBorders>
                    <w:top w:val="nil"/>
                    <w:left w:val="nil"/>
                    <w:bottom w:val="nil"/>
                    <w:right w:val="nil"/>
                  </w:tcBorders>
                  <w:shd w:val="clear" w:color="000000" w:fill="FFFFFF"/>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注：本表反映部门本年度一般公共预算财政拨款基本支出明细情况。</w:t>
                  </w:r>
                </w:p>
              </w:tc>
            </w:tr>
          </w:tbl>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ascii="华文中宋" w:hAnsi="华文中宋" w:eastAsia="华文中宋"/>
                <w:sz w:val="36"/>
                <w:szCs w:val="36"/>
              </w:rPr>
            </w:pPr>
            <w:r>
              <w:rPr>
                <w:rFonts w:hint="eastAsia" w:ascii="宋体" w:hAnsi="宋体" w:eastAsia="宋体" w:cs="宋体"/>
                <w:sz w:val="21"/>
                <w:szCs w:val="21"/>
              </w:rPr>
              <w:t>政府性基金预算财政拨款收入支出决算表</w:t>
            </w:r>
          </w:p>
        </w:tc>
      </w:tr>
      <w:tr>
        <w:tblPrEx>
          <w:tblLayout w:type="fixed"/>
          <w:tblCellMar>
            <w:top w:w="0" w:type="dxa"/>
            <w:left w:w="108" w:type="dxa"/>
            <w:bottom w:w="0" w:type="dxa"/>
            <w:right w:w="108" w:type="dxa"/>
          </w:tblCellMar>
        </w:tblPrEx>
        <w:trPr>
          <w:trHeight w:val="300" w:hRule="atLeast"/>
        </w:trPr>
        <w:tc>
          <w:tcPr>
            <w:tcW w:w="1511"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5437" w:type="dxa"/>
            <w:gridSpan w:val="6"/>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434"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0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150" w:type="dxa"/>
            <w:gridSpan w:val="2"/>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026"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038" w:type="dxa"/>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p>
        </w:tc>
        <w:tc>
          <w:tcPr>
            <w:tcW w:w="1392" w:type="dxa"/>
            <w:gridSpan w:val="2"/>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公开07表</w:t>
            </w:r>
          </w:p>
        </w:tc>
      </w:tr>
      <w:tr>
        <w:tblPrEx>
          <w:tblLayout w:type="fixed"/>
          <w:tblCellMar>
            <w:top w:w="0" w:type="dxa"/>
            <w:left w:w="108" w:type="dxa"/>
            <w:bottom w:w="0" w:type="dxa"/>
            <w:right w:w="108" w:type="dxa"/>
          </w:tblCellMar>
        </w:tblPrEx>
        <w:trPr>
          <w:trHeight w:val="300" w:hRule="atLeast"/>
        </w:trPr>
        <w:tc>
          <w:tcPr>
            <w:tcW w:w="6948" w:type="dxa"/>
            <w:gridSpan w:val="7"/>
            <w:tcBorders>
              <w:top w:val="nil"/>
              <w:left w:val="nil"/>
              <w:bottom w:val="single" w:color="auto" w:sz="4" w:space="0"/>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w:t>
            </w:r>
          </w:p>
        </w:tc>
        <w:tc>
          <w:tcPr>
            <w:tcW w:w="1434"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2021年度</w:t>
            </w:r>
          </w:p>
        </w:tc>
        <w:tc>
          <w:tcPr>
            <w:tcW w:w="1095" w:type="dxa"/>
            <w:gridSpan w:val="2"/>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150" w:type="dxa"/>
            <w:gridSpan w:val="2"/>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026"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038" w:type="dxa"/>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p>
        </w:tc>
        <w:tc>
          <w:tcPr>
            <w:tcW w:w="1392" w:type="dxa"/>
            <w:gridSpan w:val="2"/>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trHeight w:val="405" w:hRule="atLeast"/>
        </w:trPr>
        <w:tc>
          <w:tcPr>
            <w:tcW w:w="151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功能分类科目编码</w:t>
            </w:r>
          </w:p>
        </w:tc>
        <w:tc>
          <w:tcPr>
            <w:tcW w:w="5437" w:type="dxa"/>
            <w:gridSpan w:val="6"/>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项目(按“项”级功能分类科目)</w:t>
            </w:r>
          </w:p>
        </w:tc>
        <w:tc>
          <w:tcPr>
            <w:tcW w:w="1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年初结转和结余</w:t>
            </w:r>
          </w:p>
        </w:tc>
        <w:tc>
          <w:tcPr>
            <w:tcW w:w="10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本年收入</w:t>
            </w:r>
          </w:p>
        </w:tc>
        <w:tc>
          <w:tcPr>
            <w:tcW w:w="321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本年支出</w:t>
            </w:r>
          </w:p>
        </w:tc>
        <w:tc>
          <w:tcPr>
            <w:tcW w:w="13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sz w:val="22"/>
                <w:szCs w:val="22"/>
              </w:rPr>
            </w:pPr>
            <w:r>
              <w:rPr>
                <w:rFonts w:hint="eastAsia" w:ascii="黑体" w:hAnsi="黑体" w:eastAsia="黑体"/>
                <w:sz w:val="22"/>
                <w:szCs w:val="22"/>
              </w:rPr>
              <w:t>年末结转和结余</w:t>
            </w:r>
          </w:p>
        </w:tc>
      </w:tr>
      <w:tr>
        <w:tblPrEx>
          <w:tblLayout w:type="fixed"/>
          <w:tblCellMar>
            <w:top w:w="0" w:type="dxa"/>
            <w:left w:w="108" w:type="dxa"/>
            <w:bottom w:w="0" w:type="dxa"/>
            <w:right w:w="108" w:type="dxa"/>
          </w:tblCellMar>
        </w:tblPrEx>
        <w:trPr>
          <w:trHeight w:val="405" w:hRule="atLeast"/>
        </w:trPr>
        <w:tc>
          <w:tcPr>
            <w:tcW w:w="1511"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21"/>
                <w:szCs w:val="21"/>
              </w:rPr>
            </w:pPr>
          </w:p>
        </w:tc>
        <w:tc>
          <w:tcPr>
            <w:tcW w:w="5437" w:type="dxa"/>
            <w:gridSpan w:val="6"/>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150" w:type="dxa"/>
            <w:gridSpan w:val="2"/>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02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基本支出</w:t>
            </w:r>
          </w:p>
        </w:tc>
        <w:tc>
          <w:tcPr>
            <w:tcW w:w="103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项目支出</w:t>
            </w:r>
          </w:p>
        </w:tc>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sz w:val="22"/>
                <w:szCs w:val="22"/>
              </w:rPr>
            </w:pPr>
          </w:p>
        </w:tc>
      </w:tr>
      <w:tr>
        <w:tblPrEx>
          <w:tblLayout w:type="fixed"/>
          <w:tblCellMar>
            <w:top w:w="0" w:type="dxa"/>
            <w:left w:w="108" w:type="dxa"/>
            <w:bottom w:w="0" w:type="dxa"/>
            <w:right w:w="108" w:type="dxa"/>
          </w:tblCellMar>
        </w:tblPrEx>
        <w:trPr>
          <w:trHeight w:val="420" w:hRule="atLeast"/>
        </w:trPr>
        <w:tc>
          <w:tcPr>
            <w:tcW w:w="694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992.79</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45.86</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893.22</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893.22</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sz w:val="20"/>
                <w:szCs w:val="20"/>
              </w:rPr>
            </w:pPr>
            <w:r>
              <w:rPr>
                <w:rFonts w:hint="eastAsia"/>
                <w:sz w:val="20"/>
                <w:szCs w:val="20"/>
              </w:rPr>
              <w:t>145.42</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992.79</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893.22</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893.22</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b/>
                <w:bCs/>
                <w:sz w:val="20"/>
                <w:szCs w:val="20"/>
              </w:rPr>
            </w:pPr>
            <w:r>
              <w:rPr>
                <w:rFonts w:hint="eastAsia"/>
                <w:b/>
                <w:bCs/>
                <w:sz w:val="20"/>
                <w:szCs w:val="20"/>
              </w:rPr>
              <w:t>145.42</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22904</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其他政府性基金及对应专项债务收入安排的支出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992.79</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847.36</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847.36</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b/>
                <w:bCs/>
                <w:sz w:val="20"/>
                <w:szCs w:val="20"/>
              </w:rPr>
            </w:pPr>
            <w:r>
              <w:rPr>
                <w:rFonts w:hint="eastAsia"/>
                <w:b/>
                <w:bCs/>
                <w:sz w:val="20"/>
                <w:szCs w:val="20"/>
              </w:rPr>
              <w:t>145.42</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2290402</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其他地方自行试点项目收益专项债券收入安排的支出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992.79</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847.36</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847.36</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sz w:val="20"/>
                <w:szCs w:val="20"/>
              </w:rPr>
            </w:pPr>
            <w:r>
              <w:rPr>
                <w:rFonts w:hint="eastAsia"/>
                <w:sz w:val="20"/>
                <w:szCs w:val="20"/>
              </w:rPr>
              <w:t>145.42</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22960</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彩票公益金安排的支出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sz w:val="21"/>
                <w:szCs w:val="21"/>
              </w:rPr>
            </w:pPr>
            <w:r>
              <w:rPr>
                <w:rFonts w:hint="eastAsia" w:ascii="宋体" w:hAnsi="宋体" w:eastAsia="宋体" w:cs="宋体"/>
                <w:b/>
                <w:bCs/>
                <w:sz w:val="21"/>
                <w:szCs w:val="21"/>
              </w:rPr>
              <w:t>45.86</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b/>
                <w:bCs/>
                <w:sz w:val="20"/>
                <w:szCs w:val="20"/>
              </w:rPr>
            </w:pPr>
            <w:r>
              <w:rPr>
                <w:rFonts w:hint="eastAsia"/>
                <w:b/>
                <w:bCs/>
                <w:sz w:val="20"/>
                <w:szCs w:val="20"/>
              </w:rPr>
              <w:t>0.00</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2296002</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用于社会福利的彩票公益金支出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35.46</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sz w:val="20"/>
                <w:szCs w:val="20"/>
              </w:rPr>
            </w:pPr>
            <w:r>
              <w:rPr>
                <w:rFonts w:hint="eastAsia"/>
                <w:sz w:val="20"/>
                <w:szCs w:val="20"/>
              </w:rPr>
              <w:t>0.00</w:t>
            </w:r>
          </w:p>
        </w:tc>
      </w:tr>
      <w:tr>
        <w:tblPrEx>
          <w:tblLayout w:type="fixed"/>
          <w:tblCellMar>
            <w:top w:w="0" w:type="dxa"/>
            <w:left w:w="108" w:type="dxa"/>
            <w:bottom w:w="0" w:type="dxa"/>
            <w:right w:w="108" w:type="dxa"/>
          </w:tblCellMar>
        </w:tblPrEx>
        <w:trPr>
          <w:trHeight w:val="582" w:hRule="atLeast"/>
        </w:trPr>
        <w:tc>
          <w:tcPr>
            <w:tcW w:w="1511"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2296099</w:t>
            </w:r>
          </w:p>
        </w:tc>
        <w:tc>
          <w:tcPr>
            <w:tcW w:w="5437" w:type="dxa"/>
            <w:gridSpan w:val="6"/>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用于其他社会公益事业的彩票公益金支出</w:t>
            </w:r>
          </w:p>
        </w:tc>
        <w:tc>
          <w:tcPr>
            <w:tcW w:w="143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9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11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10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0.00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10.40</w:t>
            </w:r>
          </w:p>
        </w:tc>
        <w:tc>
          <w:tcPr>
            <w:tcW w:w="1392" w:type="dxa"/>
            <w:gridSpan w:val="2"/>
            <w:tcBorders>
              <w:top w:val="nil"/>
              <w:left w:val="nil"/>
              <w:bottom w:val="single" w:color="000000" w:sz="4" w:space="0"/>
              <w:right w:val="single" w:color="000000" w:sz="4" w:space="0"/>
            </w:tcBorders>
            <w:shd w:val="clear" w:color="auto" w:fill="auto"/>
            <w:noWrap/>
            <w:vAlign w:val="center"/>
          </w:tcPr>
          <w:p>
            <w:pPr>
              <w:jc w:val="right"/>
              <w:rPr>
                <w:sz w:val="20"/>
                <w:szCs w:val="20"/>
              </w:rPr>
            </w:pPr>
            <w:r>
              <w:rPr>
                <w:rFonts w:hint="eastAsia"/>
                <w:sz w:val="20"/>
                <w:szCs w:val="20"/>
              </w:rPr>
              <w:t>0.00</w:t>
            </w:r>
          </w:p>
        </w:tc>
      </w:tr>
      <w:tr>
        <w:tblPrEx>
          <w:tblLayout w:type="fixed"/>
          <w:tblCellMar>
            <w:top w:w="0" w:type="dxa"/>
            <w:left w:w="108" w:type="dxa"/>
            <w:bottom w:w="0" w:type="dxa"/>
            <w:right w:w="108" w:type="dxa"/>
          </w:tblCellMar>
        </w:tblPrEx>
        <w:trPr>
          <w:trHeight w:val="420" w:hRule="atLeast"/>
        </w:trPr>
        <w:tc>
          <w:tcPr>
            <w:tcW w:w="10627" w:type="dxa"/>
            <w:gridSpan w:val="12"/>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本表反映部门本年度政府性基金预算财政拨款收入支出及结转结余情况。</w:t>
            </w:r>
          </w:p>
        </w:tc>
        <w:tc>
          <w:tcPr>
            <w:tcW w:w="1026"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038"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1392" w:type="dxa"/>
            <w:gridSpan w:val="2"/>
            <w:tcBorders>
              <w:top w:val="nil"/>
              <w:left w:val="nil"/>
              <w:bottom w:val="nil"/>
              <w:right w:val="nil"/>
            </w:tcBorders>
            <w:shd w:val="clear" w:color="auto" w:fill="auto"/>
            <w:noWrap/>
            <w:vAlign w:val="center"/>
          </w:tcPr>
          <w:p>
            <w:pPr>
              <w:rPr>
                <w:rFonts w:ascii="仿宋" w:hAnsi="仿宋" w:eastAsia="仿宋"/>
                <w:sz w:val="22"/>
                <w:szCs w:val="22"/>
              </w:rPr>
            </w:pPr>
          </w:p>
        </w:tc>
      </w:tr>
      <w:tr>
        <w:tblPrEx>
          <w:tblLayout w:type="fixed"/>
          <w:tblCellMar>
            <w:top w:w="0" w:type="dxa"/>
            <w:left w:w="108" w:type="dxa"/>
            <w:bottom w:w="0" w:type="dxa"/>
            <w:right w:w="108" w:type="dxa"/>
          </w:tblCellMar>
        </w:tblPrEx>
        <w:trPr>
          <w:gridAfter w:val="1"/>
          <w:wAfter w:w="1028" w:type="dxa"/>
          <w:trHeight w:val="510"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11420" w:type="dxa"/>
            <w:gridSpan w:val="13"/>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'国有资本经营预算财政拨款支出决算表</w:t>
            </w:r>
          </w:p>
        </w:tc>
      </w:tr>
      <w:tr>
        <w:tblPrEx>
          <w:tblLayout w:type="fixed"/>
          <w:tblCellMar>
            <w:top w:w="0" w:type="dxa"/>
            <w:left w:w="108" w:type="dxa"/>
            <w:bottom w:w="0" w:type="dxa"/>
            <w:right w:w="108" w:type="dxa"/>
          </w:tblCellMar>
        </w:tblPrEx>
        <w:trPr>
          <w:gridAfter w:val="1"/>
          <w:wAfter w:w="1028" w:type="dxa"/>
          <w:trHeight w:val="270"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11420" w:type="dxa"/>
            <w:gridSpan w:val="13"/>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公开08表</w:t>
            </w:r>
          </w:p>
        </w:tc>
      </w:tr>
      <w:tr>
        <w:tblPrEx>
          <w:tblLayout w:type="fixed"/>
          <w:tblCellMar>
            <w:top w:w="0" w:type="dxa"/>
            <w:left w:w="108" w:type="dxa"/>
            <w:bottom w:w="0" w:type="dxa"/>
            <w:right w:w="108" w:type="dxa"/>
          </w:tblCellMar>
        </w:tblPrEx>
        <w:trPr>
          <w:gridAfter w:val="1"/>
          <w:wAfter w:w="1028" w:type="dxa"/>
          <w:trHeight w:val="270"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2599"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w:t>
            </w:r>
          </w:p>
        </w:tc>
        <w:tc>
          <w:tcPr>
            <w:tcW w:w="261" w:type="dxa"/>
            <w:tcBorders>
              <w:top w:val="nil"/>
              <w:left w:val="nil"/>
              <w:bottom w:val="nil"/>
              <w:right w:val="nil"/>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261" w:type="dxa"/>
            <w:tcBorders>
              <w:top w:val="nil"/>
              <w:left w:val="nil"/>
              <w:bottom w:val="nil"/>
              <w:right w:val="nil"/>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2063" w:type="dxa"/>
            <w:tcBorders>
              <w:top w:val="nil"/>
              <w:left w:val="nil"/>
              <w:bottom w:val="nil"/>
              <w:right w:val="nil"/>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950" w:type="dxa"/>
            <w:gridSpan w:val="3"/>
            <w:tcBorders>
              <w:top w:val="nil"/>
              <w:left w:val="nil"/>
              <w:bottom w:val="nil"/>
              <w:right w:val="nil"/>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　2021年度</w:t>
            </w:r>
          </w:p>
        </w:tc>
        <w:tc>
          <w:tcPr>
            <w:tcW w:w="4286" w:type="dxa"/>
            <w:gridSpan w:val="6"/>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gridAfter w:val="1"/>
          <w:wAfter w:w="1028" w:type="dxa"/>
          <w:trHeight w:val="630"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5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本年支出</w:t>
            </w:r>
          </w:p>
        </w:tc>
      </w:tr>
      <w:tr>
        <w:tblPrEx>
          <w:tblLayout w:type="fixed"/>
          <w:tblCellMar>
            <w:top w:w="0" w:type="dxa"/>
            <w:left w:w="108" w:type="dxa"/>
            <w:bottom w:w="0" w:type="dxa"/>
            <w:right w:w="108" w:type="dxa"/>
          </w:tblCellMar>
        </w:tblPrEx>
        <w:trPr>
          <w:gridAfter w:val="1"/>
          <w:wAfter w:w="1028" w:type="dxa"/>
          <w:trHeight w:val="225" w:hRule="atLeast"/>
        </w:trPr>
        <w:tc>
          <w:tcPr>
            <w:tcW w:w="1635" w:type="dxa"/>
            <w:gridSpan w:val="2"/>
            <w:tcBorders>
              <w:top w:val="nil"/>
              <w:left w:val="nil"/>
              <w:bottom w:val="nil"/>
              <w:right w:val="single" w:color="auto" w:sz="4" w:space="0"/>
            </w:tcBorders>
            <w:shd w:val="clear" w:color="auto" w:fill="auto"/>
            <w:noWrap/>
            <w:vAlign w:val="center"/>
          </w:tcPr>
          <w:p>
            <w:pPr>
              <w:rPr>
                <w:rFonts w:hint="eastAsia" w:ascii="宋体" w:hAnsi="宋体" w:eastAsia="宋体" w:cs="宋体"/>
                <w:color w:val="000000"/>
                <w:sz w:val="21"/>
                <w:szCs w:val="21"/>
              </w:rPr>
            </w:pPr>
          </w:p>
        </w:tc>
        <w:tc>
          <w:tcPr>
            <w:tcW w:w="312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功能分类科目编码</w:t>
            </w:r>
          </w:p>
        </w:tc>
        <w:tc>
          <w:tcPr>
            <w:tcW w:w="2063" w:type="dxa"/>
            <w:vMerge w:val="restart"/>
            <w:tcBorders>
              <w:top w:val="nil"/>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科目名称</w:t>
            </w:r>
          </w:p>
        </w:tc>
        <w:tc>
          <w:tcPr>
            <w:tcW w:w="1950" w:type="dxa"/>
            <w:gridSpan w:val="3"/>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750" w:type="dxa"/>
            <w:gridSpan w:val="2"/>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基本支出</w:t>
            </w:r>
          </w:p>
        </w:tc>
        <w:tc>
          <w:tcPr>
            <w:tcW w:w="2536" w:type="dxa"/>
            <w:gridSpan w:val="4"/>
            <w:vMerge w:val="restart"/>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项目支出</w:t>
            </w:r>
          </w:p>
        </w:tc>
      </w:tr>
      <w:tr>
        <w:tblPrEx>
          <w:tblLayout w:type="fixed"/>
          <w:tblCellMar>
            <w:top w:w="0" w:type="dxa"/>
            <w:left w:w="108" w:type="dxa"/>
            <w:bottom w:w="0" w:type="dxa"/>
            <w:right w:w="108" w:type="dxa"/>
          </w:tblCellMar>
        </w:tblPrEx>
        <w:trPr>
          <w:gridAfter w:val="1"/>
          <w:wAfter w:w="1028" w:type="dxa"/>
          <w:trHeight w:val="225" w:hRule="atLeast"/>
        </w:trPr>
        <w:tc>
          <w:tcPr>
            <w:tcW w:w="1635" w:type="dxa"/>
            <w:gridSpan w:val="2"/>
            <w:tcBorders>
              <w:top w:val="nil"/>
              <w:left w:val="nil"/>
              <w:bottom w:val="nil"/>
              <w:right w:val="single" w:color="auto" w:sz="4" w:space="0"/>
            </w:tcBorders>
            <w:shd w:val="clear" w:color="auto" w:fill="auto"/>
            <w:noWrap/>
            <w:vAlign w:val="center"/>
          </w:tcPr>
          <w:p>
            <w:pPr>
              <w:rPr>
                <w:rFonts w:hint="eastAsia" w:ascii="宋体" w:hAnsi="宋体" w:eastAsia="宋体" w:cs="宋体"/>
                <w:color w:val="000000"/>
                <w:sz w:val="21"/>
                <w:szCs w:val="21"/>
              </w:rPr>
            </w:pPr>
          </w:p>
        </w:tc>
        <w:tc>
          <w:tcPr>
            <w:tcW w:w="312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2063" w:type="dxa"/>
            <w:vMerge w:val="continue"/>
            <w:tcBorders>
              <w:top w:val="nil"/>
              <w:left w:val="single" w:color="auto"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950" w:type="dxa"/>
            <w:gridSpan w:val="3"/>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c>
          <w:tcPr>
            <w:tcW w:w="1750" w:type="dxa"/>
            <w:gridSpan w:val="2"/>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c>
          <w:tcPr>
            <w:tcW w:w="2536" w:type="dxa"/>
            <w:gridSpan w:val="4"/>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1"/>
          <w:wAfter w:w="1028" w:type="dxa"/>
          <w:trHeight w:val="225" w:hRule="atLeast"/>
        </w:trPr>
        <w:tc>
          <w:tcPr>
            <w:tcW w:w="1635" w:type="dxa"/>
            <w:gridSpan w:val="2"/>
            <w:tcBorders>
              <w:top w:val="nil"/>
              <w:left w:val="nil"/>
              <w:bottom w:val="nil"/>
              <w:right w:val="single" w:color="auto" w:sz="4" w:space="0"/>
            </w:tcBorders>
            <w:shd w:val="clear" w:color="auto" w:fill="auto"/>
            <w:noWrap/>
            <w:vAlign w:val="center"/>
          </w:tcPr>
          <w:p>
            <w:pPr>
              <w:rPr>
                <w:rFonts w:hint="eastAsia" w:ascii="宋体" w:hAnsi="宋体" w:eastAsia="宋体" w:cs="宋体"/>
                <w:color w:val="000000"/>
                <w:sz w:val="21"/>
                <w:szCs w:val="21"/>
              </w:rPr>
            </w:pPr>
          </w:p>
        </w:tc>
        <w:tc>
          <w:tcPr>
            <w:tcW w:w="312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2063" w:type="dxa"/>
            <w:vMerge w:val="continue"/>
            <w:tcBorders>
              <w:top w:val="nil"/>
              <w:left w:val="single" w:color="auto" w:sz="4" w:space="0"/>
              <w:bottom w:val="single" w:color="000000" w:sz="4" w:space="0"/>
              <w:right w:val="single" w:color="000000" w:sz="4" w:space="0"/>
            </w:tcBorders>
            <w:vAlign w:val="center"/>
          </w:tcPr>
          <w:p>
            <w:pPr>
              <w:rPr>
                <w:rFonts w:hint="eastAsia" w:ascii="宋体" w:hAnsi="宋体" w:eastAsia="宋体" w:cs="宋体"/>
                <w:sz w:val="21"/>
                <w:szCs w:val="21"/>
              </w:rPr>
            </w:pPr>
          </w:p>
        </w:tc>
        <w:tc>
          <w:tcPr>
            <w:tcW w:w="1950" w:type="dxa"/>
            <w:gridSpan w:val="3"/>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c>
          <w:tcPr>
            <w:tcW w:w="1750" w:type="dxa"/>
            <w:gridSpan w:val="2"/>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c>
          <w:tcPr>
            <w:tcW w:w="2536" w:type="dxa"/>
            <w:gridSpan w:val="4"/>
            <w:vMerge w:val="continue"/>
            <w:tcBorders>
              <w:top w:val="nil"/>
              <w:left w:val="nil"/>
              <w:bottom w:val="single" w:color="000000" w:sz="4" w:space="0"/>
              <w:right w:val="single" w:color="000000" w:sz="4" w:space="0"/>
            </w:tcBorders>
            <w:vAlign w:val="center"/>
          </w:tcPr>
          <w:p>
            <w:pPr>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gridAfter w:val="1"/>
          <w:wAfter w:w="1028" w:type="dxa"/>
          <w:trHeight w:val="795"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5184"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1950"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sz w:val="21"/>
                <w:szCs w:val="21"/>
              </w:rPr>
            </w:pPr>
            <w:r>
              <w:rPr>
                <w:rFonts w:hint="eastAsia" w:ascii="宋体" w:hAnsi="宋体" w:eastAsia="宋体" w:cs="宋体"/>
                <w:sz w:val="21"/>
                <w:szCs w:val="21"/>
              </w:rPr>
              <w:t>本单位无国有资本经营预算财政拨款支出，故本表为空。</w:t>
            </w:r>
          </w:p>
        </w:tc>
        <w:tc>
          <w:tcPr>
            <w:tcW w:w="17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536"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gridAfter w:val="1"/>
          <w:wAfter w:w="1028" w:type="dxa"/>
          <w:trHeight w:val="795"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3121"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2063"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w:t>
            </w:r>
          </w:p>
        </w:tc>
        <w:tc>
          <w:tcPr>
            <w:tcW w:w="195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175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2536" w:type="dxa"/>
            <w:gridSpan w:val="4"/>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gridAfter w:val="1"/>
          <w:wAfter w:w="1028" w:type="dxa"/>
          <w:trHeight w:val="240" w:hRule="atLeast"/>
        </w:trPr>
        <w:tc>
          <w:tcPr>
            <w:tcW w:w="1635"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c>
          <w:tcPr>
            <w:tcW w:w="11420" w:type="dxa"/>
            <w:gridSpan w:val="13"/>
            <w:tcBorders>
              <w:top w:val="nil"/>
              <w:left w:val="nil"/>
              <w:bottom w:val="nil"/>
              <w:right w:val="nil"/>
            </w:tcBorders>
            <w:shd w:val="clear" w:color="000000" w:fill="FFFFFF"/>
            <w:noWrap/>
            <w:vAlign w:val="center"/>
          </w:tcPr>
          <w:p>
            <w:pPr>
              <w:rPr>
                <w:rFonts w:hint="eastAsia" w:ascii="宋体" w:hAnsi="宋体" w:eastAsia="宋体" w:cs="宋体"/>
                <w:sz w:val="21"/>
                <w:szCs w:val="21"/>
              </w:rPr>
            </w:pPr>
            <w:r>
              <w:rPr>
                <w:rFonts w:hint="eastAsia" w:ascii="宋体" w:hAnsi="宋体" w:eastAsia="宋体" w:cs="宋体"/>
                <w:sz w:val="21"/>
                <w:szCs w:val="21"/>
              </w:rPr>
              <w:t>备注：本表反映部门本年度国有资本经营预算财政拨款支出情况。</w:t>
            </w:r>
          </w:p>
        </w:tc>
      </w:tr>
    </w:tbl>
    <w:p>
      <w:pPr>
        <w:spacing w:line="520" w:lineRule="exact"/>
        <w:jc w:val="both"/>
        <w:rPr>
          <w:rStyle w:val="8"/>
          <w:rFonts w:hint="eastAsia" w:ascii="宋体" w:hAnsi="宋体" w:eastAsia="宋体" w:cs="宋体"/>
          <w:sz w:val="21"/>
          <w:szCs w:val="21"/>
        </w:rPr>
        <w:sectPr>
          <w:pgSz w:w="16840" w:h="11907" w:orient="landscape"/>
          <w:pgMar w:top="1800" w:right="1440" w:bottom="1800" w:left="1440" w:header="851" w:footer="992" w:gutter="0"/>
          <w:cols w:space="425" w:num="1"/>
          <w:docGrid w:type="lines" w:linePitch="326" w:charSpace="0"/>
        </w:sectPr>
      </w:pPr>
    </w:p>
    <w:tbl>
      <w:tblPr>
        <w:tblStyle w:val="6"/>
        <w:tblW w:w="14040" w:type="dxa"/>
        <w:jc w:val="center"/>
        <w:tblInd w:w="0" w:type="dxa"/>
        <w:tblLayout w:type="fixed"/>
        <w:tblCellMar>
          <w:top w:w="0" w:type="dxa"/>
          <w:left w:w="108" w:type="dxa"/>
          <w:bottom w:w="0" w:type="dxa"/>
          <w:right w:w="108" w:type="dxa"/>
        </w:tblCellMar>
      </w:tblPr>
      <w:tblGrid>
        <w:gridCol w:w="4750"/>
        <w:gridCol w:w="895"/>
        <w:gridCol w:w="895"/>
        <w:gridCol w:w="6605"/>
        <w:gridCol w:w="895"/>
      </w:tblGrid>
      <w:tr>
        <w:tblPrEx>
          <w:tblLayout w:type="fixed"/>
          <w:tblCellMar>
            <w:top w:w="0" w:type="dxa"/>
            <w:left w:w="108" w:type="dxa"/>
            <w:bottom w:w="0" w:type="dxa"/>
            <w:right w:w="108" w:type="dxa"/>
          </w:tblCellMar>
        </w:tblPrEx>
        <w:trPr>
          <w:trHeight w:val="435" w:hRule="atLeast"/>
          <w:jc w:val="center"/>
        </w:trPr>
        <w:tc>
          <w:tcPr>
            <w:tcW w:w="14040" w:type="dxa"/>
            <w:gridSpan w:val="5"/>
            <w:tcBorders>
              <w:top w:val="nil"/>
              <w:left w:val="nil"/>
              <w:bottom w:val="nil"/>
              <w:right w:val="nil"/>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机构运行信息表</w:t>
            </w:r>
          </w:p>
        </w:tc>
      </w:tr>
      <w:tr>
        <w:tblPrEx>
          <w:tblLayout w:type="fixed"/>
          <w:tblCellMar>
            <w:top w:w="0" w:type="dxa"/>
            <w:left w:w="108" w:type="dxa"/>
            <w:bottom w:w="0" w:type="dxa"/>
            <w:right w:w="108" w:type="dxa"/>
          </w:tblCellMar>
        </w:tblPrEx>
        <w:trPr>
          <w:trHeight w:val="300" w:hRule="atLeast"/>
          <w:jc w:val="center"/>
        </w:trPr>
        <w:tc>
          <w:tcPr>
            <w:tcW w:w="4750"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p>
        </w:tc>
        <w:tc>
          <w:tcPr>
            <w:tcW w:w="895"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895"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7500" w:type="dxa"/>
            <w:gridSpan w:val="2"/>
            <w:tcBorders>
              <w:top w:val="nil"/>
              <w:left w:val="nil"/>
              <w:bottom w:val="nil"/>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公开09表</w:t>
            </w:r>
          </w:p>
        </w:tc>
      </w:tr>
      <w:tr>
        <w:tblPrEx>
          <w:tblLayout w:type="fixed"/>
          <w:tblCellMar>
            <w:top w:w="0" w:type="dxa"/>
            <w:left w:w="108" w:type="dxa"/>
            <w:bottom w:w="0" w:type="dxa"/>
            <w:right w:w="108" w:type="dxa"/>
          </w:tblCellMar>
        </w:tblPrEx>
        <w:trPr>
          <w:trHeight w:val="270" w:hRule="atLeast"/>
          <w:jc w:val="center"/>
        </w:trPr>
        <w:tc>
          <w:tcPr>
            <w:tcW w:w="4750" w:type="dxa"/>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公开部门：垫江县民政局         2021年度</w:t>
            </w:r>
          </w:p>
        </w:tc>
        <w:tc>
          <w:tcPr>
            <w:tcW w:w="895" w:type="dxa"/>
            <w:tcBorders>
              <w:top w:val="nil"/>
              <w:left w:val="nil"/>
              <w:bottom w:val="nil"/>
              <w:right w:val="nil"/>
            </w:tcBorders>
            <w:shd w:val="clear" w:color="auto" w:fill="auto"/>
            <w:noWrap/>
            <w:vAlign w:val="bottom"/>
          </w:tcPr>
          <w:p>
            <w:pPr>
              <w:rPr>
                <w:rFonts w:hint="eastAsia" w:ascii="宋体" w:hAnsi="宋体" w:eastAsia="宋体" w:cs="宋体"/>
                <w:sz w:val="21"/>
                <w:szCs w:val="21"/>
              </w:rPr>
            </w:pPr>
          </w:p>
        </w:tc>
        <w:tc>
          <w:tcPr>
            <w:tcW w:w="895" w:type="dxa"/>
            <w:tcBorders>
              <w:top w:val="nil"/>
              <w:left w:val="nil"/>
              <w:bottom w:val="nil"/>
              <w:right w:val="nil"/>
            </w:tcBorders>
            <w:shd w:val="clear" w:color="auto" w:fill="auto"/>
            <w:noWrap/>
            <w:vAlign w:val="bottom"/>
          </w:tcPr>
          <w:p>
            <w:pPr>
              <w:jc w:val="center"/>
              <w:rPr>
                <w:rFonts w:hint="eastAsia" w:ascii="宋体" w:hAnsi="宋体" w:eastAsia="宋体" w:cs="宋体"/>
                <w:sz w:val="21"/>
                <w:szCs w:val="21"/>
              </w:rPr>
            </w:pPr>
          </w:p>
        </w:tc>
        <w:tc>
          <w:tcPr>
            <w:tcW w:w="7500" w:type="dxa"/>
            <w:gridSpan w:val="2"/>
            <w:tcBorders>
              <w:top w:val="nil"/>
              <w:left w:val="nil"/>
              <w:bottom w:val="single" w:color="auto" w:sz="4" w:space="0"/>
              <w:right w:val="nil"/>
            </w:tcBorders>
            <w:shd w:val="clear" w:color="auto" w:fill="auto"/>
            <w:noWrap/>
            <w:vAlign w:val="center"/>
          </w:tcPr>
          <w:p>
            <w:pPr>
              <w:jc w:val="right"/>
              <w:rPr>
                <w:rFonts w:hint="eastAsia" w:ascii="宋体" w:hAnsi="宋体" w:eastAsia="宋体" w:cs="宋体"/>
                <w:sz w:val="21"/>
                <w:szCs w:val="21"/>
              </w:rPr>
            </w:pPr>
            <w:r>
              <w:rPr>
                <w:rFonts w:hint="eastAsia" w:ascii="宋体" w:hAnsi="宋体" w:eastAsia="宋体" w:cs="宋体"/>
                <w:sz w:val="21"/>
                <w:szCs w:val="21"/>
              </w:rPr>
              <w:t>单位：万元</w:t>
            </w:r>
          </w:p>
        </w:tc>
      </w:tr>
      <w:tr>
        <w:tblPrEx>
          <w:tblLayout w:type="fixed"/>
          <w:tblCellMar>
            <w:top w:w="0" w:type="dxa"/>
            <w:left w:w="108" w:type="dxa"/>
            <w:bottom w:w="0" w:type="dxa"/>
            <w:right w:w="108" w:type="dxa"/>
          </w:tblCellMar>
        </w:tblPrEx>
        <w:trPr>
          <w:trHeight w:val="345" w:hRule="atLeast"/>
          <w:jc w:val="center"/>
        </w:trPr>
        <w:tc>
          <w:tcPr>
            <w:tcW w:w="47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  目</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预算数</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决算数</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项  目</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决算数</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一、“三公”经费支出</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四、机关运行经费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137.24</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（一）支出合计</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34.04</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20.51</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（一）行政单位</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126.70</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1．因公出国（境）费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0.00</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0.00</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（二）参照公务员法管理事业单位</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10.54</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2．公务用车购置及运行维护费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29.50</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16.31</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五、国有资产占用情况</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（1）公务用车购置费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0.00</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0.00</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（一）车辆数合计（辆）</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（2）公务用车运行维护费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29.50</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16.31</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1.副部（省）级及以上领导用车</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3．公务接待费</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4.54</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4.20</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2.主要领导干部用车</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（1）国内接待费</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4.20</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3.机要通信用车</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其中：外事接待费</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4.应急保障用车</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（2）国（境）外接待费</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5.执法执勤用车</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（二）相关统计数</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6.特种专业技术用车</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1．因公出国（境）团组数（个）</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7.离退休干部用车</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2．因公出国（境）人次数（人）</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8.其他用车</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3．公务用车购置数（辆）</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（二）单价50万元（含）以上通用设备（台，套）</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4．公务用车保有量（辆）</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（三）单价100万（含）元以上专用设备（台，套）</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5．国内公务接待批次（个）</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86</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六、政府采购支出信息</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其中：外事接待批次（个）</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（一）政府采购支出合计</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270.74</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6．国内公务接待人次（人）</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550</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1．政府采购货物支出</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163.74</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其中：外事接待人次（人）</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2．政府采购工程支出</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0.00</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7．国（境）外公务接待批次（个）</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3．政府采购服务支出</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107.00</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 xml:space="preserve">  8．国（境）外公务接待人次（人）</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66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（二）政府采购授予中小企业合同金额</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270.74</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二、会议费</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2.88</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其中：授予小微企业合同金额</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195.58</w:t>
            </w:r>
          </w:p>
        </w:tc>
      </w:tr>
      <w:tr>
        <w:tblPrEx>
          <w:tblLayout w:type="fixed"/>
          <w:tblCellMar>
            <w:top w:w="0" w:type="dxa"/>
            <w:left w:w="108" w:type="dxa"/>
            <w:bottom w:w="0" w:type="dxa"/>
            <w:right w:w="108" w:type="dxa"/>
          </w:tblCellMar>
        </w:tblPrEx>
        <w:trPr>
          <w:trHeight w:val="345" w:hRule="atLeast"/>
          <w:jc w:val="center"/>
        </w:trPr>
        <w:tc>
          <w:tcPr>
            <w:tcW w:w="475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b/>
                <w:bCs/>
                <w:sz w:val="21"/>
                <w:szCs w:val="21"/>
              </w:rPr>
            </w:pPr>
            <w:r>
              <w:rPr>
                <w:rFonts w:hint="eastAsia" w:ascii="宋体" w:hAnsi="宋体" w:eastAsia="宋体" w:cs="宋体"/>
                <w:b/>
                <w:bCs/>
                <w:sz w:val="21"/>
                <w:szCs w:val="21"/>
              </w:rPr>
              <w:t>三、培训费</w:t>
            </w:r>
          </w:p>
        </w:tc>
        <w:tc>
          <w:tcPr>
            <w:tcW w:w="89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18.25</w:t>
            </w:r>
          </w:p>
        </w:tc>
        <w:tc>
          <w:tcPr>
            <w:tcW w:w="6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c>
          <w:tcPr>
            <w:tcW w:w="89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w:t>
            </w:r>
          </w:p>
        </w:tc>
      </w:tr>
      <w:tr>
        <w:tblPrEx>
          <w:tblLayout w:type="fixed"/>
          <w:tblCellMar>
            <w:top w:w="0" w:type="dxa"/>
            <w:left w:w="108" w:type="dxa"/>
            <w:bottom w:w="0" w:type="dxa"/>
            <w:right w:w="108" w:type="dxa"/>
          </w:tblCellMar>
        </w:tblPrEx>
        <w:trPr>
          <w:trHeight w:val="345" w:hRule="atLeast"/>
          <w:jc w:val="center"/>
        </w:trPr>
        <w:tc>
          <w:tcPr>
            <w:tcW w:w="14040" w:type="dxa"/>
            <w:gridSpan w:val="5"/>
            <w:tcBorders>
              <w:top w:val="nil"/>
              <w:left w:val="nil"/>
              <w:bottom w:val="nil"/>
              <w:right w:val="nil"/>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备注：预算数年初部门预算批复数，决算数包括当年财政拨款预算和以前年度结转结余资金安排的实际支出。</w:t>
            </w:r>
          </w:p>
        </w:tc>
      </w:tr>
    </w:tbl>
    <w:p>
      <w:pPr>
        <w:pStyle w:val="5"/>
        <w:shd w:val="clear" w:color="auto" w:fill="FFFFFF"/>
        <w:rPr>
          <w:rFonts w:ascii="方正仿宋_GBK" w:eastAsia="方正仿宋_GBK"/>
          <w:color w:val="000000" w:themeColor="text1"/>
          <w:sz w:val="28"/>
          <w:szCs w:val="28"/>
          <w14:textFill>
            <w14:solidFill>
              <w14:schemeClr w14:val="tx1"/>
            </w14:solidFill>
          </w14:textFill>
        </w:rPr>
      </w:pPr>
    </w:p>
    <w:p>
      <w:pPr>
        <w:rPr>
          <w:rFonts w:ascii="仿宋" w:hAnsi="仿宋" w:eastAsia="仿宋"/>
        </w:rPr>
      </w:pPr>
    </w:p>
    <w:sectPr>
      <w:pgSz w:w="16840" w:h="11907"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NDY1MjkwYTg4ZWNiYjA4MzdhMWUxOTZjYmI0NDEifQ=="/>
  </w:docVars>
  <w:rsids>
    <w:rsidRoot w:val="005F64EE"/>
    <w:rsid w:val="0010021E"/>
    <w:rsid w:val="00364039"/>
    <w:rsid w:val="00476875"/>
    <w:rsid w:val="005F64EE"/>
    <w:rsid w:val="0064191F"/>
    <w:rsid w:val="006B1840"/>
    <w:rsid w:val="006D6FE9"/>
    <w:rsid w:val="00733084"/>
    <w:rsid w:val="009C49B5"/>
    <w:rsid w:val="00A63B5A"/>
    <w:rsid w:val="00BF1E5A"/>
    <w:rsid w:val="00C05D55"/>
    <w:rsid w:val="00C51C11"/>
    <w:rsid w:val="06480D2F"/>
    <w:rsid w:val="0A6F2A27"/>
    <w:rsid w:val="299B4825"/>
    <w:rsid w:val="2E761B53"/>
    <w:rsid w:val="315D67C0"/>
    <w:rsid w:val="38343D61"/>
    <w:rsid w:val="66FA550A"/>
    <w:rsid w:val="69FC1B52"/>
    <w:rsid w:val="6A48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uiPriority w:val="99"/>
    <w:rPr>
      <w:rFonts w:ascii="宋体" w:hAnsi="宋体" w:eastAsia="宋体" w:cs="宋体"/>
      <w:kern w:val="0"/>
      <w:sz w:val="18"/>
      <w:szCs w:val="18"/>
    </w:rPr>
  </w:style>
  <w:style w:type="paragraph" w:customStyle="1" w:styleId="13">
    <w:name w:val="msonormal"/>
    <w:basedOn w:val="1"/>
    <w:qFormat/>
    <w:uiPriority w:val="0"/>
    <w:pPr>
      <w:spacing w:before="100" w:beforeAutospacing="1" w:after="100" w:afterAutospacing="1"/>
    </w:pPr>
  </w:style>
  <w:style w:type="paragraph" w:customStyle="1" w:styleId="14">
    <w:name w:val="普通(网站) Char"/>
    <w:basedOn w:val="1"/>
    <w:qFormat/>
    <w:uiPriority w:val="0"/>
    <w:pPr>
      <w:spacing w:beforeAutospacing="1" w:afterAutospacing="1"/>
    </w:pPr>
    <w:rPr>
      <w:rFonts w:hint="eastAsia"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723D6-8DF2-475F-A413-365B55CF29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18340</Words>
  <Characters>24557</Characters>
  <Lines>203</Lines>
  <Paragraphs>57</Paragraphs>
  <TotalTime>3</TotalTime>
  <ScaleCrop>false</ScaleCrop>
  <LinksUpToDate>false</LinksUpToDate>
  <CharactersWithSpaces>25352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2022-09-15T08:17:00Z</dcterms:created>
  <dc:creator>AutoBVT</dc:creator>
  <cp:lastModifiedBy>Administrator</cp:lastModifiedBy>
  <dcterms:modified xsi:type="dcterms:W3CDTF">2025-10-22T07:19:55Z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7E46E5BFC8184FD3970FBF6C30107FB3</vt:lpwstr>
  </property>
</Properties>
</file>