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垫江县救助管理站</w:t>
      </w:r>
      <w:r>
        <w:rPr>
          <w:rFonts w:hint="default" w:ascii="Times New Roman" w:hAnsi="Times New Roman" w:eastAsia="方正小标宋_GBK" w:cs="Times New Roman"/>
          <w:sz w:val="36"/>
          <w:szCs w:val="36"/>
          <w:shd w:val="clear" w:color="auto" w:fill="FFFFFF"/>
        </w:rPr>
        <w:t>2023年度决算公开说明</w:t>
      </w:r>
    </w:p>
    <w:p>
      <w:pPr>
        <w:pStyle w:val="6"/>
        <w:shd w:val="clear" w:color="auto" w:fill="FFFFFF"/>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pPr>
        <w:pStyle w:val="6"/>
        <w:shd w:val="clear" w:color="auto" w:fill="FFFFFF"/>
        <w:ind w:firstLine="42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spacing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负责贯彻落实流浪乞讨儿童救助、未成年人救助保护工作，负责儿童福利机构建设管理工作。</w:t>
      </w:r>
    </w:p>
    <w:p>
      <w:pPr>
        <w:pStyle w:val="6"/>
        <w:shd w:val="clear" w:color="auto" w:fill="FFFFFF"/>
        <w:ind w:firstLine="420"/>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pPr>
        <w:pStyle w:val="14"/>
        <w:tabs>
          <w:tab w:val="center" w:pos="4153"/>
          <w:tab w:val="left" w:pos="7275"/>
        </w:tabs>
        <w:spacing w:line="600" w:lineRule="exact"/>
        <w:ind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t>我站2023年为民政局下属二级单位，无下属机构。</w:t>
      </w:r>
    </w:p>
    <w:p>
      <w:pPr>
        <w:pStyle w:val="6"/>
        <w:shd w:val="clear" w:color="auto" w:fill="FFFFFF"/>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二、部门决算情况说明</w:t>
      </w:r>
    </w:p>
    <w:p>
      <w:pPr>
        <w:pStyle w:val="11"/>
        <w:autoSpaceDE w:val="0"/>
        <w:ind w:firstLine="643"/>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（一）收入支出决算总体情况说明。</w:t>
      </w:r>
    </w:p>
    <w:p>
      <w:pPr>
        <w:pStyle w:val="6"/>
        <w:shd w:val="clear" w:color="auto" w:fill="FFFFFF"/>
        <w:ind w:firstLine="643" w:firstLineChars="200"/>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2023年度收入总计108.55万元，支出总计</w:t>
      </w:r>
      <w:r>
        <w:rPr>
          <w:rFonts w:hint="default" w:ascii="Times New Roman" w:hAnsi="Times New Roman" w:eastAsia="方正仿宋_GBK" w:cs="Times New Roman"/>
          <w:sz w:val="32"/>
          <w:szCs w:val="32"/>
        </w:rPr>
        <w:t>108.55</w:t>
      </w:r>
      <w:r>
        <w:rPr>
          <w:rFonts w:hint="default" w:ascii="Times New Roman" w:hAnsi="Times New Roman" w:eastAsia="方正仿宋_GBK" w:cs="Times New Roman"/>
          <w:sz w:val="32"/>
          <w:szCs w:val="32"/>
          <w:shd w:val="clear" w:color="auto" w:fill="FFFFFF"/>
        </w:rPr>
        <w:t>万元。收支较上年决算数减少8.79万元，下降7.49%，主要原因是人员减少，经费减少。</w:t>
      </w:r>
    </w:p>
    <w:p>
      <w:pPr>
        <w:pStyle w:val="6"/>
        <w:shd w:val="clear" w:color="auto" w:fill="FFFFFF"/>
        <w:ind w:firstLine="643" w:firstLineChars="200"/>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2023年度收入合计108.55万元，较上年决算数减少5.14万元，下降4.52%，主要原因是人员减少，经费减少。其中：财政拨款收入108.55万元，占100.</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108.55</w:t>
      </w:r>
      <w:r>
        <w:rPr>
          <w:rFonts w:hint="default" w:ascii="Times New Roman" w:hAnsi="Times New Roman" w:eastAsia="方正仿宋_GBK" w:cs="Times New Roman"/>
          <w:sz w:val="32"/>
          <w:szCs w:val="32"/>
          <w:shd w:val="clear" w:color="auto" w:fill="FFFFFF"/>
        </w:rPr>
        <w:t>万元，较上年决算数减少8.79万元，下降7.49%，主要原因是人员减少，经费减少。其中：基本支出</w:t>
      </w:r>
      <w:r>
        <w:rPr>
          <w:rFonts w:hint="default" w:ascii="Times New Roman" w:hAnsi="Times New Roman" w:eastAsia="方正仿宋_GBK" w:cs="Times New Roman"/>
          <w:sz w:val="32"/>
          <w:szCs w:val="32"/>
        </w:rPr>
        <w:t>54.87</w:t>
      </w:r>
      <w:r>
        <w:rPr>
          <w:rFonts w:hint="default" w:ascii="Times New Roman" w:hAnsi="Times New Roman" w:eastAsia="方正仿宋_GBK" w:cs="Times New Roman"/>
          <w:sz w:val="32"/>
          <w:szCs w:val="32"/>
          <w:shd w:val="clear" w:color="auto" w:fill="FFFFFF"/>
        </w:rPr>
        <w:t>万元，占50.55%；项目支出</w:t>
      </w:r>
      <w:r>
        <w:rPr>
          <w:rFonts w:hint="default" w:ascii="Times New Roman" w:hAnsi="Times New Roman" w:eastAsia="方正仿宋_GBK" w:cs="Times New Roman"/>
          <w:sz w:val="32"/>
          <w:szCs w:val="32"/>
        </w:rPr>
        <w:t>53.68</w:t>
      </w:r>
      <w:r>
        <w:rPr>
          <w:rFonts w:hint="default" w:ascii="Times New Roman" w:hAnsi="Times New Roman" w:eastAsia="方正仿宋_GBK" w:cs="Times New Roman"/>
          <w:sz w:val="32"/>
          <w:szCs w:val="32"/>
          <w:shd w:val="clear" w:color="auto" w:fill="FFFFFF"/>
        </w:rPr>
        <w:t>万元，占49.45%；经营支出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万元，较上年决算数无增减，主要原因是本年度及上年度均无结转结余。</w:t>
      </w:r>
      <w:r>
        <w:rPr>
          <w:rStyle w:val="10"/>
          <w:rFonts w:hint="default" w:ascii="Times New Roman" w:hAnsi="Times New Roman" w:eastAsia="方正仿宋_GBK" w:cs="Times New Roman"/>
          <w:sz w:val="32"/>
          <w:szCs w:val="32"/>
          <w:shd w:val="clear" w:color="auto" w:fill="FFFFFF"/>
        </w:rPr>
        <w:t xml:space="preserve"> </w:t>
      </w:r>
    </w:p>
    <w:p>
      <w:pPr>
        <w:pStyle w:val="11"/>
        <w:autoSpaceDE w:val="0"/>
        <w:ind w:firstLine="643"/>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2023年度财政拨款收、支总计108.55万元。与2022年相比，财政拨款收、支总计各减少8.79万元，下降7.49%。主要原因是人员减少，经费减少。</w:t>
      </w:r>
    </w:p>
    <w:p>
      <w:pPr>
        <w:pStyle w:val="11"/>
        <w:autoSpaceDE w:val="0"/>
        <w:ind w:firstLine="643"/>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（三）一般公共预算财政拨款收入支出决算情况说明</w:t>
      </w:r>
    </w:p>
    <w:p>
      <w:pPr>
        <w:pStyle w:val="6"/>
        <w:snapToGrid w:val="0"/>
        <w:spacing w:before="0" w:beforeAutospacing="0" w:after="0" w:afterAutospacing="0" w:line="597" w:lineRule="exact"/>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108.55</w:t>
      </w:r>
      <w:r>
        <w:rPr>
          <w:rFonts w:hint="default" w:ascii="Times New Roman" w:hAnsi="Times New Roman" w:eastAsia="方正仿宋_GBK" w:cs="Times New Roman"/>
          <w:sz w:val="32"/>
          <w:szCs w:val="32"/>
          <w:shd w:val="clear" w:color="auto" w:fill="FFFFFF"/>
        </w:rPr>
        <w:t>万元，较上年决算数减少5.14万元，下降4.52%。主要原因是</w:t>
      </w:r>
      <w:r>
        <w:rPr>
          <w:rFonts w:hint="default" w:ascii="Times New Roman" w:hAnsi="Times New Roman" w:eastAsia="方正仿宋_GBK" w:cs="Times New Roman"/>
          <w:kern w:val="2"/>
          <w:sz w:val="32"/>
          <w:szCs w:val="32"/>
        </w:rPr>
        <w:t>机关过紧日子，人员精简，经费减少。</w:t>
      </w:r>
      <w:r>
        <w:rPr>
          <w:rFonts w:hint="default" w:ascii="Times New Roman" w:hAnsi="Times New Roman" w:eastAsia="方正仿宋_GBK" w:cs="Times New Roman"/>
          <w:sz w:val="32"/>
          <w:szCs w:val="32"/>
          <w:shd w:val="clear" w:color="auto" w:fill="FFFFFF"/>
        </w:rPr>
        <w:t>较年初预算数增加53.82万元，增长98.34%。主要原因是</w:t>
      </w:r>
      <w:r>
        <w:rPr>
          <w:rFonts w:hint="default" w:ascii="Times New Roman" w:hAnsi="Times New Roman" w:eastAsia="方正仿宋_GBK" w:cs="Times New Roman"/>
          <w:sz w:val="32"/>
          <w:szCs w:val="32"/>
        </w:rPr>
        <w:t>年中追加了困难群众救助资金。</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108.55</w:t>
      </w:r>
      <w:r>
        <w:rPr>
          <w:rFonts w:hint="default" w:ascii="Times New Roman" w:hAnsi="Times New Roman" w:eastAsia="方正仿宋_GBK" w:cs="Times New Roman"/>
          <w:sz w:val="32"/>
          <w:szCs w:val="32"/>
          <w:shd w:val="clear" w:color="auto" w:fill="FFFFFF"/>
        </w:rPr>
        <w:t>万元，较上年决算数减少8.79万元，下降7.49%。主要原因是人员减少，经费减少。较年初预算数增加53.82万元，增长98.34%。主要原因是年</w:t>
      </w:r>
      <w:r>
        <w:rPr>
          <w:rFonts w:hint="default" w:ascii="Times New Roman" w:hAnsi="Times New Roman" w:eastAsia="方正仿宋_GBK" w:cs="Times New Roman"/>
          <w:sz w:val="32"/>
          <w:szCs w:val="32"/>
        </w:rPr>
        <w:t>中下达了流浪乞讨资金。</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万元，较上年决算数无增减，主要原因是本年度及上年度均无结转结余。</w:t>
      </w:r>
      <w:r>
        <w:rPr>
          <w:rStyle w:val="10"/>
          <w:rFonts w:hint="default" w:ascii="Times New Roman" w:hAnsi="Times New Roman" w:eastAsia="方正仿宋_GBK" w:cs="Times New Roman"/>
          <w:sz w:val="32"/>
          <w:szCs w:val="32"/>
          <w:shd w:val="clear" w:color="auto" w:fill="FFFFFF"/>
        </w:rPr>
        <w:t xml:space="preserve"> </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pPr>
        <w:pStyle w:val="6"/>
        <w:snapToGrid w:val="0"/>
        <w:spacing w:before="0" w:beforeAutospacing="0" w:after="0" w:afterAutospacing="0" w:line="597"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0.01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0.01</w:t>
      </w:r>
      <w:r>
        <w:rPr>
          <w:rFonts w:hint="default" w:ascii="Times New Roman" w:hAnsi="Times New Roman" w:eastAsia="方正仿宋_GBK" w:cs="Times New Roman"/>
          <w:sz w:val="32"/>
          <w:szCs w:val="32"/>
          <w:shd w:val="clear" w:color="auto" w:fill="FFFFFF"/>
        </w:rPr>
        <w:t>%，较年初预算数减少0.11万元，下降91.67%，主要原因是2023年本单位只有一名专业技术人员继续教育方面的支出。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104.11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95.91</w:t>
      </w:r>
      <w:r>
        <w:rPr>
          <w:rFonts w:hint="default" w:ascii="Times New Roman" w:hAnsi="Times New Roman" w:eastAsia="方正仿宋_GBK" w:cs="Times New Roman"/>
          <w:sz w:val="32"/>
          <w:szCs w:val="32"/>
          <w:shd w:val="clear" w:color="auto" w:fill="FFFFFF"/>
        </w:rPr>
        <w:t>%，较年初预算数增加53.94万元，增长107.51%，主要原因是年</w:t>
      </w:r>
      <w:r>
        <w:rPr>
          <w:rFonts w:hint="default" w:ascii="Times New Roman" w:hAnsi="Times New Roman" w:eastAsia="方正仿宋_GBK" w:cs="Times New Roman"/>
          <w:sz w:val="32"/>
          <w:szCs w:val="32"/>
        </w:rPr>
        <w:t>中下达了流浪乞讨资金。</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1.43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1.32</w:t>
      </w:r>
      <w:r>
        <w:rPr>
          <w:rFonts w:hint="default" w:ascii="Times New Roman" w:hAnsi="Times New Roman" w:eastAsia="方正仿宋_GBK" w:cs="Times New Roman"/>
          <w:sz w:val="32"/>
          <w:szCs w:val="32"/>
          <w:shd w:val="clear" w:color="auto" w:fill="FFFFFF"/>
        </w:rPr>
        <w:t>%，较年初预算数减少0.03万元，下降2.05%，主要原因是人员缴纳基数调整，</w:t>
      </w:r>
      <w:r>
        <w:rPr>
          <w:rFonts w:hint="default" w:ascii="Times New Roman" w:hAnsi="Times New Roman" w:eastAsia="方正仿宋_GBK" w:cs="Times New Roman"/>
          <w:sz w:val="32"/>
          <w:szCs w:val="32"/>
        </w:rPr>
        <w:t>卫生健康支出主要用于缴纳职工医疗保险。</w:t>
      </w:r>
    </w:p>
    <w:p>
      <w:pPr>
        <w:widowControl w:val="0"/>
        <w:spacing w:line="597"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住房保障支出3.00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2.76</w:t>
      </w:r>
      <w:r>
        <w:rPr>
          <w:rFonts w:hint="default" w:ascii="Times New Roman" w:hAnsi="Times New Roman" w:eastAsia="方正仿宋_GBK" w:cs="Times New Roman"/>
          <w:sz w:val="32"/>
          <w:szCs w:val="32"/>
          <w:shd w:val="clear" w:color="auto" w:fill="FFFFFF"/>
        </w:rPr>
        <w:t>%，较年初预算数增加0.02万元，增长0.67%，主要原因是</w:t>
      </w:r>
      <w:r>
        <w:rPr>
          <w:rFonts w:hint="default" w:ascii="Times New Roman" w:hAnsi="Times New Roman" w:eastAsia="方正仿宋_GBK" w:cs="Times New Roman"/>
          <w:sz w:val="32"/>
          <w:szCs w:val="32"/>
        </w:rPr>
        <w:t>年初预算未全额保障，住房保障支出主要用于缴纳职工住房公积金。</w:t>
      </w:r>
    </w:p>
    <w:p>
      <w:pPr>
        <w:pStyle w:val="11"/>
        <w:autoSpaceDE w:val="0"/>
        <w:ind w:firstLine="643"/>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（四）一般公共预算财政拨款基本支出决算情况说明</w:t>
      </w:r>
    </w:p>
    <w:p>
      <w:pPr>
        <w:pStyle w:val="6"/>
        <w:snapToGrid w:val="0"/>
        <w:spacing w:before="0" w:beforeAutospacing="0" w:after="0" w:afterAutospacing="0" w:line="597"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54.87</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32.22</w:t>
      </w:r>
      <w:r>
        <w:rPr>
          <w:rFonts w:hint="default" w:ascii="Times New Roman" w:hAnsi="Times New Roman" w:eastAsia="方正仿宋_GBK" w:cs="Times New Roman"/>
          <w:sz w:val="32"/>
          <w:szCs w:val="32"/>
          <w:shd w:val="clear" w:color="auto" w:fill="FFFFFF"/>
        </w:rPr>
        <w:t>万元，较上年决算数减少3.25万元，下降9.16%，主要原因是人员减少。人员经费用途主要包括</w:t>
      </w:r>
      <w:r>
        <w:rPr>
          <w:rFonts w:hint="default" w:ascii="Times New Roman" w:hAnsi="Times New Roman" w:eastAsia="方正仿宋_GBK" w:cs="Times New Roman"/>
          <w:sz w:val="32"/>
          <w:szCs w:val="32"/>
        </w:rPr>
        <w:t>基本工资、津贴补贴、奖金、其他社会保障缴费、伙食补助费、绩效工资、机关事业单位基本养老保险缴费、职业年金缴费、其他工资福利支出、职工住房公积金。</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22.66</w:t>
      </w:r>
      <w:r>
        <w:rPr>
          <w:rFonts w:hint="default" w:ascii="Times New Roman" w:hAnsi="Times New Roman" w:eastAsia="方正仿宋_GBK" w:cs="Times New Roman"/>
          <w:sz w:val="32"/>
          <w:szCs w:val="32"/>
          <w:shd w:val="clear" w:color="auto" w:fill="FFFFFF"/>
        </w:rPr>
        <w:t>万元，较上年决算数增加0.44万元，增长1.98%，</w:t>
      </w:r>
      <w:r>
        <w:rPr>
          <w:rFonts w:hint="default" w:ascii="Times New Roman" w:hAnsi="Times New Roman" w:eastAsia="方正仿宋_GBK" w:cs="Times New Roman"/>
          <w:sz w:val="32"/>
          <w:szCs w:val="32"/>
        </w:rPr>
        <w:t>主要原因是为提高工作效率，本年度购置了办公设备。公用经费用途主要</w:t>
      </w:r>
      <w:r>
        <w:rPr>
          <w:rFonts w:hint="default" w:ascii="Times New Roman" w:hAnsi="Times New Roman" w:eastAsia="方正仿宋_GBK" w:cs="Times New Roman"/>
          <w:sz w:val="32"/>
          <w:szCs w:val="32"/>
          <w:shd w:val="clear" w:color="auto" w:fill="FFFFFF"/>
        </w:rPr>
        <w:t>包括</w:t>
      </w:r>
      <w:r>
        <w:rPr>
          <w:rFonts w:hint="default" w:ascii="Times New Roman" w:hAnsi="Times New Roman" w:eastAsia="方正仿宋_GBK" w:cs="Times New Roman"/>
          <w:sz w:val="32"/>
          <w:szCs w:val="32"/>
        </w:rPr>
        <w:t>办公费、印刷费、水费、电费、邮电费、差旅费、维修(护)费、会议费、培训费、公务接待费、专用材料费、劳务费、工会经费、公务用车运行维护费、其他交通费、其他商品和服务支出。</w:t>
      </w:r>
    </w:p>
    <w:p>
      <w:pPr>
        <w:pStyle w:val="11"/>
        <w:autoSpaceDE w:val="0"/>
        <w:ind w:firstLine="643"/>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（五）政府性基金预算收支决算情况说明</w:t>
      </w:r>
    </w:p>
    <w:p>
      <w:pPr>
        <w:ind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1"/>
        <w:autoSpaceDE w:val="0"/>
        <w:ind w:firstLine="643"/>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（六）国有资本经营预算财政拨款支出决算情况说明</w:t>
      </w:r>
    </w:p>
    <w:p>
      <w:pPr>
        <w:pStyle w:val="6"/>
        <w:snapToGrid w:val="0"/>
        <w:spacing w:before="0" w:beforeAutospacing="0" w:after="0" w:afterAutospacing="0" w:line="597"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本单位2023年度无国有资本经营预算财政拨款支出。</w:t>
      </w:r>
    </w:p>
    <w:p>
      <w:pPr>
        <w:pStyle w:val="6"/>
        <w:shd w:val="clear" w:color="auto" w:fill="FFFFFF"/>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pPr>
        <w:pStyle w:val="11"/>
        <w:autoSpaceDE w:val="0"/>
        <w:ind w:firstLine="643"/>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1.39</w:t>
      </w:r>
      <w:r>
        <w:rPr>
          <w:rFonts w:hint="default" w:ascii="Times New Roman" w:hAnsi="Times New Roman" w:eastAsia="方正仿宋_GBK" w:cs="Times New Roman"/>
          <w:sz w:val="32"/>
          <w:szCs w:val="32"/>
          <w:shd w:val="clear" w:color="auto" w:fill="FFFFFF"/>
        </w:rPr>
        <w:t>万元，较年初预算数减少2.19万元，下降61.17%，主要原因是</w:t>
      </w:r>
      <w:r>
        <w:rPr>
          <w:rFonts w:hint="default" w:ascii="Times New Roman" w:hAnsi="Times New Roman" w:eastAsia="方正仿宋_GBK" w:cs="Times New Roman"/>
          <w:sz w:val="32"/>
          <w:szCs w:val="32"/>
        </w:rPr>
        <w:t>严格贯彻落实中央八项规定精神和厉行节约要</w:t>
      </w:r>
      <w:bookmarkStart w:id="0" w:name="_GoBack"/>
      <w:bookmarkEnd w:id="0"/>
      <w:r>
        <w:rPr>
          <w:rFonts w:hint="default" w:ascii="Times New Roman" w:hAnsi="Times New Roman" w:eastAsia="方正仿宋_GBK" w:cs="Times New Roman"/>
          <w:sz w:val="32"/>
          <w:szCs w:val="32"/>
        </w:rPr>
        <w:t>求。</w:t>
      </w:r>
      <w:r>
        <w:rPr>
          <w:rFonts w:hint="default" w:ascii="Times New Roman" w:hAnsi="Times New Roman" w:eastAsia="方正仿宋_GBK" w:cs="Times New Roman"/>
          <w:sz w:val="32"/>
          <w:szCs w:val="32"/>
          <w:shd w:val="clear" w:color="auto" w:fill="FFFFFF"/>
        </w:rPr>
        <w:t>较上年支出数减少2.14万元，下降60.62%，主要原因是</w:t>
      </w:r>
      <w:r>
        <w:rPr>
          <w:rFonts w:hint="default" w:ascii="Times New Roman" w:hAnsi="Times New Roman" w:eastAsia="方正仿宋_GBK" w:cs="Times New Roman"/>
          <w:sz w:val="32"/>
          <w:szCs w:val="32"/>
        </w:rPr>
        <w:t>严格贯彻落实中央八项规定精神和厉行节约要求。</w:t>
      </w:r>
    </w:p>
    <w:p>
      <w:pPr>
        <w:pStyle w:val="11"/>
        <w:autoSpaceDE w:val="0"/>
        <w:ind w:firstLine="643"/>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（二）“三公”经费分项支出情况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本单位2023年度未发生因公出国（境）支出。</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rPr>
        <w:t>本单位2023年度未发生因公出国（境）支出。</w:t>
      </w:r>
      <w:r>
        <w:rPr>
          <w:rFonts w:hint="default" w:ascii="Times New Roman" w:hAnsi="Times New Roman" w:eastAsia="方正仿宋_GBK" w:cs="Times New Roman"/>
          <w:sz w:val="32"/>
          <w:szCs w:val="32"/>
          <w:shd w:val="clear" w:color="auto" w:fill="FFFFFF"/>
        </w:rPr>
        <w:t>较上年支出数无增减，与上年持平，主要原因是</w:t>
      </w:r>
      <w:r>
        <w:rPr>
          <w:rFonts w:hint="default" w:ascii="Times New Roman" w:hAnsi="Times New Roman" w:eastAsia="方正仿宋_GBK" w:cs="Times New Roman"/>
          <w:sz w:val="32"/>
          <w:szCs w:val="32"/>
        </w:rPr>
        <w:t>本单位2023年度未发生因公出国（境）支出。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本单位2023年度未发生公务车购置支出。</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rPr>
        <w:t>本单位2023年度未发生公务车购置支出。</w:t>
      </w:r>
      <w:r>
        <w:rPr>
          <w:rFonts w:hint="default" w:ascii="Times New Roman" w:hAnsi="Times New Roman" w:eastAsia="方正仿宋_GBK" w:cs="Times New Roman"/>
          <w:sz w:val="32"/>
          <w:szCs w:val="32"/>
          <w:shd w:val="clear" w:color="auto" w:fill="FFFFFF"/>
        </w:rPr>
        <w:t>较上年支出数无增减，与上年持平，主要原因是</w:t>
      </w:r>
      <w:r>
        <w:rPr>
          <w:rFonts w:hint="default" w:ascii="Times New Roman" w:hAnsi="Times New Roman" w:eastAsia="方正仿宋_GBK" w:cs="Times New Roman"/>
          <w:sz w:val="32"/>
          <w:szCs w:val="32"/>
        </w:rPr>
        <w:t>本单位2023年度未发生公务车购置支出。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1.31</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rPr>
        <w:t>民政救助工作开展所需的车辆的燃料费、维修费、过桥过路费、保险费等。</w:t>
      </w:r>
      <w:r>
        <w:rPr>
          <w:rFonts w:hint="default" w:ascii="Times New Roman" w:hAnsi="Times New Roman" w:eastAsia="方正仿宋_GBK" w:cs="Times New Roman"/>
          <w:sz w:val="32"/>
          <w:szCs w:val="32"/>
          <w:shd w:val="clear" w:color="auto" w:fill="FFFFFF"/>
        </w:rPr>
        <w:t>费用支出较年初预算数减少2.19万元，下降62.57%，主要原因是</w:t>
      </w:r>
      <w:r>
        <w:rPr>
          <w:rFonts w:hint="default" w:ascii="Times New Roman" w:hAnsi="Times New Roman" w:eastAsia="方正仿宋_GBK" w:cs="Times New Roman"/>
          <w:sz w:val="32"/>
          <w:szCs w:val="32"/>
        </w:rPr>
        <w:t>严格落实公车使用规定，严禁公车私用，公车运行维护成本大幅下降。</w:t>
      </w:r>
      <w:r>
        <w:rPr>
          <w:rFonts w:hint="default" w:ascii="Times New Roman" w:hAnsi="Times New Roman" w:eastAsia="方正仿宋_GBK" w:cs="Times New Roman"/>
          <w:sz w:val="32"/>
          <w:szCs w:val="32"/>
          <w:shd w:val="clear" w:color="auto" w:fill="FFFFFF"/>
        </w:rPr>
        <w:t>较上年支出数减少2.19万元，下降62.57%，主要原因是</w:t>
      </w:r>
      <w:r>
        <w:rPr>
          <w:rFonts w:hint="default" w:ascii="Times New Roman" w:hAnsi="Times New Roman" w:eastAsia="方正仿宋_GBK" w:cs="Times New Roman"/>
          <w:sz w:val="32"/>
          <w:szCs w:val="32"/>
        </w:rPr>
        <w:t>严格落实公车使用规定，严禁公车私用，公车运行维护成本大幅下降。</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0.08</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rPr>
        <w:t>接待市级相关部门检查指导工作发生的接待支出、市内其他区县民政局来我站参观学习的接待支出。</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rPr>
        <w:t>严格遵守公务接待开支范围和开支标准，严格控制陪餐人数，对应由接待对象承担的费用一律由接待对象自行支付，公务接待费下降。</w:t>
      </w:r>
      <w:r>
        <w:rPr>
          <w:rFonts w:hint="default" w:ascii="Times New Roman" w:hAnsi="Times New Roman" w:eastAsia="方正仿宋_GBK" w:cs="Times New Roman"/>
          <w:sz w:val="32"/>
          <w:szCs w:val="32"/>
          <w:shd w:val="clear" w:color="auto" w:fill="FFFFFF"/>
        </w:rPr>
        <w:t>较上年支出数增加0.05万元，增长166.67%，主要原因是2023年接待市级检查指导2次，其他区县参观学习1次。</w:t>
      </w:r>
    </w:p>
    <w:p>
      <w:pPr>
        <w:pStyle w:val="11"/>
        <w:autoSpaceDE w:val="0"/>
        <w:ind w:firstLine="643"/>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（三）“三公”经费实物量情况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80.00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1.31</w:t>
      </w:r>
      <w:r>
        <w:rPr>
          <w:rFonts w:hint="default" w:ascii="Times New Roman" w:hAnsi="Times New Roman" w:eastAsia="方正仿宋_GBK" w:cs="Times New Roman"/>
          <w:sz w:val="32"/>
          <w:szCs w:val="32"/>
          <w:shd w:val="clear" w:color="auto" w:fill="FFFFFF"/>
        </w:rPr>
        <w:t>万元。</w:t>
      </w:r>
    </w:p>
    <w:p>
      <w:pPr>
        <w:pStyle w:val="6"/>
        <w:shd w:val="clear" w:color="auto" w:fill="FFFFFF"/>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autoSpaceDE w:val="0"/>
        <w:ind w:firstLine="643"/>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（一）财政拨款会议费和培训费情况说明</w:t>
      </w:r>
    </w:p>
    <w:p>
      <w:pPr>
        <w:pStyle w:val="6"/>
        <w:snapToGrid w:val="0"/>
        <w:spacing w:before="0" w:beforeAutospacing="0" w:after="0" w:afterAutospacing="0" w:line="597" w:lineRule="exact"/>
        <w:ind w:firstLine="800" w:firstLineChars="25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万元，较上年决算数无增减，主要原因是本单位本年度未发生会议费支出。本年度培训费支出</w:t>
      </w:r>
      <w:r>
        <w:rPr>
          <w:rFonts w:hint="default" w:ascii="Times New Roman" w:hAnsi="Times New Roman" w:eastAsia="方正仿宋_GBK" w:cs="Times New Roman"/>
          <w:sz w:val="32"/>
          <w:szCs w:val="32"/>
        </w:rPr>
        <w:t>0.01</w:t>
      </w:r>
      <w:r>
        <w:rPr>
          <w:rFonts w:hint="default" w:ascii="Times New Roman" w:hAnsi="Times New Roman" w:eastAsia="方正仿宋_GBK" w:cs="Times New Roman"/>
          <w:sz w:val="32"/>
          <w:szCs w:val="32"/>
          <w:shd w:val="clear" w:color="auto" w:fill="FFFFFF"/>
        </w:rPr>
        <w:t>万元，较上年决算数增加0.01万元，增长100.00%，主要原因是2023年本单位有一名专业技术人员继续教育方面的支出。</w:t>
      </w:r>
    </w:p>
    <w:p>
      <w:pPr>
        <w:pStyle w:val="11"/>
        <w:autoSpaceDE w:val="0"/>
        <w:ind w:firstLine="643"/>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22.66</w:t>
      </w:r>
      <w:r>
        <w:rPr>
          <w:rFonts w:hint="default" w:ascii="Times New Roman" w:hAnsi="Times New Roman" w:eastAsia="方正仿宋_GBK" w:cs="Times New Roman"/>
          <w:sz w:val="32"/>
          <w:szCs w:val="32"/>
          <w:shd w:val="clear" w:color="auto" w:fill="FFFFFF"/>
        </w:rPr>
        <w:t>万元，机关运行经费主要用于</w:t>
      </w:r>
      <w:r>
        <w:rPr>
          <w:rFonts w:hint="default" w:ascii="Times New Roman" w:hAnsi="Times New Roman" w:eastAsia="方正仿宋_GBK" w:cs="Times New Roman"/>
          <w:sz w:val="32"/>
          <w:szCs w:val="32"/>
        </w:rPr>
        <w:t>开支办公费、会议费、公务车运行维护费、信息网络购置更新费、邮电费、水费、电费、差旅费、专用材料费等。</w:t>
      </w:r>
      <w:r>
        <w:rPr>
          <w:rFonts w:hint="default" w:ascii="Times New Roman" w:hAnsi="Times New Roman" w:eastAsia="方正仿宋_GBK" w:cs="Times New Roman"/>
          <w:sz w:val="32"/>
          <w:szCs w:val="32"/>
          <w:shd w:val="clear" w:color="auto" w:fill="FFFFFF"/>
        </w:rPr>
        <w:t>机关运行经费较上年支出数增加0.44万元，增长1.98%，</w:t>
      </w:r>
      <w:r>
        <w:rPr>
          <w:rFonts w:hint="default" w:ascii="Times New Roman" w:hAnsi="Times New Roman" w:eastAsia="方正仿宋_GBK" w:cs="Times New Roman"/>
          <w:sz w:val="32"/>
          <w:szCs w:val="32"/>
        </w:rPr>
        <w:t>主要原因是为提高工作效率，本年度购置了办公设备。</w:t>
      </w:r>
    </w:p>
    <w:p>
      <w:pPr>
        <w:pStyle w:val="11"/>
        <w:autoSpaceDE w:val="0"/>
        <w:ind w:firstLine="643"/>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截至2023年12月31日，本部门共有车辆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autoSpaceDE w:val="0"/>
        <w:ind w:firstLine="643"/>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（四）政府采购支出情况说明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   2023年度本部门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pPr>
        <w:pStyle w:val="6"/>
        <w:numPr>
          <w:ilvl w:val="0"/>
          <w:numId w:val="1"/>
        </w:numPr>
        <w:shd w:val="clear" w:color="auto" w:fill="FFFFFF"/>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预算绩效管理情况说明</w:t>
      </w:r>
    </w:p>
    <w:p>
      <w:pPr>
        <w:pStyle w:val="11"/>
        <w:autoSpaceDE w:val="0"/>
        <w:ind w:firstLine="643"/>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（一）单位自评情况</w:t>
      </w:r>
    </w:p>
    <w:p>
      <w:pPr>
        <w:widowControl w:val="0"/>
        <w:spacing w:line="597"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根据预算绩效管理要求，我站对3个二级项目开展了绩效自评，其中，以填报自评表形式开展自评1项，涉及资金63.28万元。通过这次绩效评价，</w:t>
      </w:r>
      <w:r>
        <w:rPr>
          <w:rFonts w:hint="default" w:ascii="Times New Roman" w:hAnsi="Times New Roman" w:eastAsia="方正仿宋_GBK" w:cs="Times New Roman"/>
          <w:kern w:val="2"/>
          <w:sz w:val="32"/>
          <w:szCs w:val="32"/>
        </w:rPr>
        <w:t>流浪乞讨救助资金、困难群众救助补助资金和民政专项补助资金</w:t>
      </w:r>
      <w:r>
        <w:rPr>
          <w:rFonts w:hint="default" w:ascii="Times New Roman" w:hAnsi="Times New Roman" w:eastAsia="方正仿宋_GBK" w:cs="Times New Roman"/>
          <w:sz w:val="32"/>
          <w:szCs w:val="32"/>
        </w:rPr>
        <w:t>均严格按照民政资金使用管理办法进行使用，各项资金均按标准足额及时补助到位，做到不重不漏不错发，困难群众及基层服务对象满意度均在90.0%以上。</w:t>
      </w:r>
    </w:p>
    <w:tbl>
      <w:tblPr>
        <w:tblStyle w:val="7"/>
        <w:tblW w:w="8345" w:type="dxa"/>
        <w:jc w:val="center"/>
        <w:tblInd w:w="0" w:type="dxa"/>
        <w:tblLayout w:type="fixed"/>
        <w:tblCellMar>
          <w:top w:w="0" w:type="dxa"/>
          <w:left w:w="0" w:type="dxa"/>
          <w:bottom w:w="0" w:type="dxa"/>
          <w:right w:w="0" w:type="dxa"/>
        </w:tblCellMar>
      </w:tblPr>
      <w:tblGrid>
        <w:gridCol w:w="968"/>
        <w:gridCol w:w="427"/>
        <w:gridCol w:w="427"/>
        <w:gridCol w:w="768"/>
        <w:gridCol w:w="925"/>
        <w:gridCol w:w="1121"/>
        <w:gridCol w:w="512"/>
        <w:gridCol w:w="881"/>
        <w:gridCol w:w="597"/>
        <w:gridCol w:w="456"/>
        <w:gridCol w:w="1263"/>
      </w:tblGrid>
      <w:tr>
        <w:tblPrEx>
          <w:tblLayout w:type="fixed"/>
          <w:tblCellMar>
            <w:top w:w="0" w:type="dxa"/>
            <w:left w:w="0" w:type="dxa"/>
            <w:bottom w:w="0" w:type="dxa"/>
            <w:right w:w="0" w:type="dxa"/>
          </w:tblCellMar>
        </w:tblPrEx>
        <w:trPr>
          <w:trHeight w:val="800" w:hRule="atLeast"/>
          <w:jc w:val="center"/>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sz w:val="28"/>
                <w:szCs w:val="28"/>
                <w:lang w:bidi="ar"/>
              </w:rPr>
              <w:t>2023年度二级项目绩效自评表</w:t>
            </w:r>
          </w:p>
        </w:tc>
      </w:tr>
      <w:tr>
        <w:tblPrEx>
          <w:tblLayout w:type="fixed"/>
          <w:tblCellMar>
            <w:top w:w="0" w:type="dxa"/>
            <w:left w:w="0" w:type="dxa"/>
            <w:bottom w:w="0" w:type="dxa"/>
            <w:right w:w="0" w:type="dxa"/>
          </w:tblCellMar>
        </w:tblPrEx>
        <w:trPr>
          <w:trHeight w:val="500" w:hRule="atLeast"/>
          <w:jc w:val="center"/>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1" w:firstLineChars="100"/>
              <w:jc w:val="center"/>
              <w:textAlignment w:val="center"/>
              <w:rPr>
                <w:rFonts w:hint="default" w:ascii="Times New Roman" w:hAnsi="Times New Roman" w:cs="Times New Roman"/>
                <w:b/>
                <w:color w:val="DA3232"/>
                <w:sz w:val="18"/>
                <w:szCs w:val="18"/>
              </w:rPr>
            </w:pPr>
            <w:r>
              <w:rPr>
                <w:rFonts w:hint="default" w:ascii="Times New Roman" w:hAnsi="Times New Roman" w:cs="Times New Roman"/>
                <w:b/>
                <w:color w:val="DA3232"/>
                <w:sz w:val="18"/>
                <w:szCs w:val="18"/>
                <w:lang w:bidi="ar"/>
              </w:rPr>
              <w:t>状态：绩效审核已审</w:t>
            </w:r>
          </w:p>
        </w:tc>
      </w:tr>
      <w:tr>
        <w:tblPrEx>
          <w:tblLayout w:type="fixed"/>
          <w:tblCellMar>
            <w:top w:w="0" w:type="dxa"/>
            <w:left w:w="0" w:type="dxa"/>
            <w:bottom w:w="0" w:type="dxa"/>
            <w:right w:w="0" w:type="dxa"/>
          </w:tblCellMar>
        </w:tblPrEx>
        <w:trPr>
          <w:trHeight w:val="500"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项目名称：</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困难群众救助补助资金</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项目编码：</w:t>
            </w: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50023123T000003072416</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自评总分：</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100.00</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b/>
                <w:color w:val="000000"/>
                <w:sz w:val="18"/>
                <w:szCs w:val="18"/>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500"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项目主管部门：</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302-垫江县民政局</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财政归口处室：</w:t>
            </w: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006-社保科</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部门联系人：</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彭老师</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联系电话：</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74514919</w:t>
            </w:r>
          </w:p>
        </w:tc>
      </w:tr>
      <w:tr>
        <w:tblPrEx>
          <w:tblLayout w:type="fixed"/>
          <w:tblCellMar>
            <w:top w:w="0" w:type="dxa"/>
            <w:left w:w="0" w:type="dxa"/>
            <w:bottom w:w="0" w:type="dxa"/>
            <w:right w:w="0" w:type="dxa"/>
          </w:tblCellMar>
        </w:tblPrEx>
        <w:trPr>
          <w:trHeight w:val="600" w:hRule="atLeast"/>
          <w:jc w:val="center"/>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eastAsia="微软雅黑" w:cs="Times New Roman"/>
                <w:b/>
                <w:color w:val="808080"/>
                <w:sz w:val="18"/>
                <w:szCs w:val="18"/>
              </w:rPr>
            </w:pPr>
            <w:r>
              <w:rPr>
                <w:rFonts w:hint="default" w:ascii="Times New Roman" w:hAnsi="Times New Roman" w:eastAsia="微软雅黑" w:cs="Times New Roman"/>
                <w:b/>
                <w:color w:val="808080"/>
                <w:sz w:val="28"/>
                <w:szCs w:val="28"/>
                <w:lang w:bidi="ar"/>
              </w:rPr>
              <w:t>资金情况</w:t>
            </w:r>
          </w:p>
        </w:tc>
      </w:tr>
      <w:tr>
        <w:tblPrEx>
          <w:tblLayout w:type="fixed"/>
          <w:tblCellMar>
            <w:top w:w="0" w:type="dxa"/>
            <w:left w:w="0" w:type="dxa"/>
            <w:bottom w:w="0" w:type="dxa"/>
            <w:right w:w="0" w:type="dxa"/>
          </w:tblCellMar>
        </w:tblPrEx>
        <w:trPr>
          <w:trHeight w:val="500" w:hRule="atLeast"/>
          <w:jc w:val="center"/>
        </w:trPr>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18"/>
                <w:szCs w:val="18"/>
              </w:rPr>
            </w:pP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年初预算数</w:t>
            </w: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全年（调整）预算数</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全年执行数</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执行率</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执行率权重</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执行率得分</w:t>
            </w:r>
          </w:p>
        </w:tc>
      </w:tr>
      <w:tr>
        <w:tblPrEx>
          <w:tblLayout w:type="fixed"/>
          <w:tblCellMar>
            <w:top w:w="0" w:type="dxa"/>
            <w:left w:w="0" w:type="dxa"/>
            <w:bottom w:w="0" w:type="dxa"/>
            <w:right w:w="0" w:type="dxa"/>
          </w:tblCellMar>
        </w:tblPrEx>
        <w:trPr>
          <w:trHeight w:val="500" w:hRule="atLeast"/>
          <w:jc w:val="center"/>
        </w:trPr>
        <w:tc>
          <w:tcPr>
            <w:tcW w:w="9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年度总金额</w:t>
            </w:r>
          </w:p>
        </w:tc>
        <w:tc>
          <w:tcPr>
            <w:tcW w:w="42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18"/>
                <w:szCs w:val="18"/>
              </w:rPr>
            </w:pP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0.00</w:t>
            </w: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500,025.52</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500,025.52</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sz w:val="18"/>
                <w:szCs w:val="18"/>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sz w:val="18"/>
                <w:szCs w:val="18"/>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500" w:hRule="atLeast"/>
          <w:jc w:val="center"/>
        </w:trPr>
        <w:tc>
          <w:tcPr>
            <w:tcW w:w="9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其中：财政拨款</w:t>
            </w:r>
          </w:p>
        </w:tc>
        <w:tc>
          <w:tcPr>
            <w:tcW w:w="42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18"/>
                <w:szCs w:val="18"/>
              </w:rPr>
            </w:pP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0.00</w:t>
            </w: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500,025.52</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500,025.52</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10.00</w:t>
            </w:r>
          </w:p>
        </w:tc>
      </w:tr>
      <w:tr>
        <w:tblPrEx>
          <w:tblLayout w:type="fixed"/>
          <w:tblCellMar>
            <w:top w:w="0" w:type="dxa"/>
            <w:left w:w="0" w:type="dxa"/>
            <w:bottom w:w="0" w:type="dxa"/>
            <w:right w:w="0" w:type="dxa"/>
          </w:tblCellMar>
        </w:tblPrEx>
        <w:trPr>
          <w:trHeight w:val="500" w:hRule="atLeast"/>
          <w:jc w:val="center"/>
        </w:trPr>
        <w:tc>
          <w:tcPr>
            <w:tcW w:w="9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一般公共预算</w:t>
            </w:r>
          </w:p>
        </w:tc>
        <w:tc>
          <w:tcPr>
            <w:tcW w:w="42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18"/>
                <w:szCs w:val="18"/>
              </w:rPr>
            </w:pP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0.00</w:t>
            </w: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500,025.52</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500,025.52</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sz w:val="18"/>
                <w:szCs w:val="18"/>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600" w:hRule="atLeast"/>
          <w:jc w:val="center"/>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eastAsia="微软雅黑" w:cs="Times New Roman"/>
                <w:b/>
                <w:color w:val="808080"/>
                <w:sz w:val="18"/>
                <w:szCs w:val="18"/>
              </w:rPr>
            </w:pPr>
            <w:r>
              <w:rPr>
                <w:rFonts w:hint="default" w:ascii="Times New Roman" w:hAnsi="Times New Roman" w:eastAsia="微软雅黑" w:cs="Times New Roman"/>
                <w:b/>
                <w:color w:val="808080"/>
                <w:sz w:val="28"/>
                <w:szCs w:val="28"/>
                <w:lang w:bidi="ar"/>
              </w:rPr>
              <w:t>绩效目标</w:t>
            </w:r>
          </w:p>
        </w:tc>
      </w:tr>
      <w:tr>
        <w:tblPrEx>
          <w:tblLayout w:type="fixed"/>
          <w:tblCellMar>
            <w:top w:w="0" w:type="dxa"/>
            <w:left w:w="0" w:type="dxa"/>
            <w:bottom w:w="0" w:type="dxa"/>
            <w:right w:w="0" w:type="dxa"/>
          </w:tblCellMar>
        </w:tblPrEx>
        <w:trPr>
          <w:trHeight w:val="500" w:hRule="atLeast"/>
          <w:jc w:val="center"/>
        </w:trPr>
        <w:tc>
          <w:tcPr>
            <w:tcW w:w="259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年初绩效目标</w:t>
            </w:r>
          </w:p>
        </w:tc>
        <w:tc>
          <w:tcPr>
            <w:tcW w:w="343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全年目标实际完成情况</w:t>
            </w:r>
          </w:p>
        </w:tc>
      </w:tr>
      <w:tr>
        <w:tblPrEx>
          <w:tblLayout w:type="fixed"/>
          <w:tblCellMar>
            <w:top w:w="0" w:type="dxa"/>
            <w:left w:w="0" w:type="dxa"/>
            <w:bottom w:w="0" w:type="dxa"/>
            <w:right w:w="0" w:type="dxa"/>
          </w:tblCellMar>
        </w:tblPrEx>
        <w:trPr>
          <w:trHeight w:val="1600" w:hRule="atLeast"/>
          <w:jc w:val="center"/>
        </w:trPr>
        <w:tc>
          <w:tcPr>
            <w:tcW w:w="25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对生活无着落的流浪乞讨人员提供主动救助、临时安置等救助</w:t>
            </w:r>
          </w:p>
        </w:tc>
        <w:tc>
          <w:tcPr>
            <w:tcW w:w="34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对生活无着落的流浪乞讨人员提供主动救助、临时安置等救助</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对生活无着落的流浪乞讨人员提供主动救助、临时安置等救助</w:t>
            </w:r>
          </w:p>
        </w:tc>
      </w:tr>
      <w:tr>
        <w:tblPrEx>
          <w:tblLayout w:type="fixed"/>
          <w:tblCellMar>
            <w:top w:w="0" w:type="dxa"/>
            <w:left w:w="0" w:type="dxa"/>
            <w:bottom w:w="0" w:type="dxa"/>
            <w:right w:w="0" w:type="dxa"/>
          </w:tblCellMar>
        </w:tblPrEx>
        <w:trPr>
          <w:trHeight w:val="600" w:hRule="atLeast"/>
          <w:jc w:val="center"/>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eastAsia="微软雅黑" w:cs="Times New Roman"/>
                <w:b/>
                <w:color w:val="808080"/>
                <w:sz w:val="18"/>
                <w:szCs w:val="18"/>
              </w:rPr>
            </w:pPr>
            <w:r>
              <w:rPr>
                <w:rFonts w:hint="default" w:ascii="Times New Roman" w:hAnsi="Times New Roman" w:eastAsia="微软雅黑" w:cs="Times New Roman"/>
                <w:b/>
                <w:color w:val="808080"/>
                <w:sz w:val="28"/>
                <w:szCs w:val="28"/>
                <w:lang w:bidi="ar"/>
              </w:rPr>
              <w:t>绩效指标</w:t>
            </w:r>
          </w:p>
        </w:tc>
      </w:tr>
      <w:tr>
        <w:tblPrEx>
          <w:tblLayout w:type="fixed"/>
          <w:tblCellMar>
            <w:top w:w="0" w:type="dxa"/>
            <w:left w:w="0" w:type="dxa"/>
            <w:bottom w:w="0" w:type="dxa"/>
            <w:right w:w="0" w:type="dxa"/>
          </w:tblCellMar>
        </w:tblPrEx>
        <w:trPr>
          <w:trHeight w:val="500"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指标名称</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计量单位</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指标性质</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指标值</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全年完成值</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偏离度（%）</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得分系数（%）</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指标权重</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指标得分</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是否核心指标</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lang w:bidi="ar"/>
              </w:rPr>
              <w:t>说明</w:t>
            </w:r>
          </w:p>
        </w:tc>
      </w:tr>
      <w:tr>
        <w:tblPrEx>
          <w:tblLayout w:type="fixed"/>
          <w:tblCellMar>
            <w:top w:w="0" w:type="dxa"/>
            <w:left w:w="0" w:type="dxa"/>
            <w:bottom w:w="0" w:type="dxa"/>
            <w:right w:w="0" w:type="dxa"/>
          </w:tblCellMar>
        </w:tblPrEx>
        <w:trPr>
          <w:trHeight w:val="500"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流浪乞讨人员救助人次</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人/户</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0</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15</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18"/>
                <w:szCs w:val="18"/>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较好地完成了年初绩效目标</w:t>
            </w:r>
          </w:p>
        </w:tc>
      </w:tr>
      <w:tr>
        <w:tblPrEx>
          <w:tblLayout w:type="fixed"/>
          <w:tblCellMar>
            <w:top w:w="0" w:type="dxa"/>
            <w:left w:w="0" w:type="dxa"/>
            <w:bottom w:w="0" w:type="dxa"/>
            <w:right w:w="0" w:type="dxa"/>
          </w:tblCellMar>
        </w:tblPrEx>
        <w:trPr>
          <w:trHeight w:val="500"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补助对象认定准确率</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95</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95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0</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12.5</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12.5</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18"/>
                <w:szCs w:val="18"/>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较好地完成了年初绩效目标</w:t>
            </w:r>
          </w:p>
        </w:tc>
      </w:tr>
      <w:tr>
        <w:tblPrEx>
          <w:tblLayout w:type="fixed"/>
          <w:tblCellMar>
            <w:top w:w="0" w:type="dxa"/>
            <w:left w:w="0" w:type="dxa"/>
            <w:bottom w:w="0" w:type="dxa"/>
            <w:right w:w="0" w:type="dxa"/>
          </w:tblCellMar>
        </w:tblPrEx>
        <w:trPr>
          <w:trHeight w:val="500"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流浪乞讨人员</w:t>
            </w:r>
            <w:r>
              <w:rPr>
                <w:rFonts w:hint="default" w:ascii="Times New Roman" w:hAnsi="Times New Roman" w:cs="Times New Roman"/>
                <w:color w:val="000000"/>
                <w:sz w:val="18"/>
                <w:szCs w:val="18"/>
                <w:lang w:eastAsia="zh-CN" w:bidi="ar"/>
              </w:rPr>
              <w:t>救</w:t>
            </w:r>
            <w:r>
              <w:rPr>
                <w:rFonts w:hint="default" w:ascii="Times New Roman" w:hAnsi="Times New Roman" w:cs="Times New Roman"/>
                <w:color w:val="000000"/>
                <w:sz w:val="18"/>
                <w:szCs w:val="18"/>
                <w:lang w:bidi="ar"/>
              </w:rPr>
              <w:t>助信息响应时间</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分钟</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0</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12.5</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12.5</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18"/>
                <w:szCs w:val="18"/>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较好地完成了年初绩较好地完成了年初绩效目标效目标</w:t>
            </w:r>
          </w:p>
        </w:tc>
      </w:tr>
      <w:tr>
        <w:tblPrEx>
          <w:tblLayout w:type="fixed"/>
          <w:tblCellMar>
            <w:top w:w="0" w:type="dxa"/>
            <w:left w:w="0" w:type="dxa"/>
            <w:bottom w:w="0" w:type="dxa"/>
            <w:right w:w="0" w:type="dxa"/>
          </w:tblCellMar>
        </w:tblPrEx>
        <w:trPr>
          <w:trHeight w:val="500"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困难群众生活水平提升情况</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定性</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有效改善</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0</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30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18"/>
                <w:szCs w:val="18"/>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较好地完成了年初绩效目标</w:t>
            </w:r>
          </w:p>
        </w:tc>
      </w:tr>
      <w:tr>
        <w:tblPrEx>
          <w:tblLayout w:type="fixed"/>
          <w:tblCellMar>
            <w:top w:w="0" w:type="dxa"/>
            <w:left w:w="0" w:type="dxa"/>
            <w:bottom w:w="0" w:type="dxa"/>
            <w:right w:w="0" w:type="dxa"/>
          </w:tblCellMar>
        </w:tblPrEx>
        <w:trPr>
          <w:trHeight w:val="500"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救助对象满意度</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90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90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0</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18"/>
                <w:szCs w:val="18"/>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较好地完成了年初绩效目标</w:t>
            </w:r>
          </w:p>
        </w:tc>
      </w:tr>
      <w:tr>
        <w:tblPrEx>
          <w:tblLayout w:type="fixed"/>
          <w:tblCellMar>
            <w:top w:w="0" w:type="dxa"/>
            <w:left w:w="0" w:type="dxa"/>
            <w:bottom w:w="0" w:type="dxa"/>
            <w:right w:w="0" w:type="dxa"/>
          </w:tblCellMar>
        </w:tblPrEx>
        <w:trPr>
          <w:trHeight w:val="500" w:hRule="atLeast"/>
          <w:jc w:val="center"/>
        </w:trPr>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救助标准</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元/年</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700000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700000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0</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18"/>
                <w:szCs w:val="18"/>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较好地完成了年初绩效目标</w:t>
            </w:r>
          </w:p>
        </w:tc>
      </w:tr>
    </w:tbl>
    <w:p>
      <w:pPr>
        <w:pStyle w:val="14"/>
        <w:autoSpaceDE w:val="0"/>
        <w:ind w:firstLine="960" w:firstLineChars="300"/>
        <w:rPr>
          <w:rFonts w:hint="default" w:ascii="Times New Roman" w:hAnsi="Times New Roman" w:eastAsia="方正仿宋_GBK" w:cs="Times New Roman"/>
          <w:sz w:val="32"/>
          <w:szCs w:val="32"/>
          <w:shd w:val="clear" w:color="auto" w:fill="FFFFFF"/>
          <w:lang w:bidi="ar"/>
        </w:rPr>
      </w:pPr>
    </w:p>
    <w:p>
      <w:pPr>
        <w:pStyle w:val="11"/>
        <w:autoSpaceDE w:val="0"/>
        <w:ind w:firstLine="643"/>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（二）单位绩效评价情况</w:t>
      </w:r>
    </w:p>
    <w:p>
      <w:pPr>
        <w:pStyle w:val="11"/>
        <w:autoSpaceDE w:val="0"/>
        <w:ind w:firstLine="640"/>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rPr>
        <w:t>我单位未组织开展绩效评价。</w:t>
      </w:r>
    </w:p>
    <w:p>
      <w:pPr>
        <w:pStyle w:val="11"/>
        <w:autoSpaceDE w:val="0"/>
        <w:ind w:firstLine="643"/>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（三）财政绩效评价情况</w:t>
      </w:r>
    </w:p>
    <w:p>
      <w:pPr>
        <w:pStyle w:val="11"/>
        <w:autoSpaceDE w:val="0"/>
        <w:spacing w:line="597" w:lineRule="exact"/>
        <w:ind w:firstLine="64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pPr>
        <w:pStyle w:val="6"/>
        <w:shd w:val="clear" w:color="auto" w:fill="FFFFFF"/>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lang w:bidi="ar"/>
        </w:rPr>
        <w:t> </w:t>
      </w:r>
      <w:r>
        <w:rPr>
          <w:rFonts w:hint="default" w:ascii="Times New Roman" w:hAnsi="Times New Roman" w:eastAsia="楷体" w:cs="Times New Roman"/>
          <w:b/>
          <w:bCs/>
          <w:sz w:val="32"/>
          <w:szCs w:val="32"/>
          <w:shd w:val="clear" w:color="auto" w:fill="FFFFFF"/>
          <w:lang w:bidi="ar"/>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七、决算公开联系方式及信息反馈渠道</w:t>
      </w:r>
    </w:p>
    <w:p>
      <w:pPr>
        <w:pStyle w:val="11"/>
        <w:autoSpaceDE w:val="0"/>
        <w:ind w:firstLine="0" w:firstLineChars="0"/>
        <w:rPr>
          <w:rStyle w:val="10"/>
          <w:rFonts w:hint="default" w:ascii="Times New Roman" w:hAnsi="Times New Roman" w:eastAsia="方正仿宋_GBK" w:cs="Times New Roman"/>
          <w:sz w:val="32"/>
          <w:szCs w:val="32"/>
          <w:shd w:val="clear" w:color="auto" w:fill="FFFF00"/>
        </w:rPr>
      </w:pPr>
      <w:r>
        <w:rPr>
          <w:rFonts w:hint="default" w:ascii="Times New Roman" w:hAnsi="Times New Roman" w:eastAsia="方正仿宋_GBK" w:cs="Times New Roman"/>
          <w:sz w:val="32"/>
          <w:szCs w:val="32"/>
          <w:shd w:val="clear" w:color="auto" w:fill="FFFFFF"/>
        </w:rPr>
        <w:t>本单位决算公开信息反馈和联系方式：彭老师，023-74514919。</w:t>
      </w:r>
    </w:p>
    <w:p>
      <w:pPr>
        <w:pStyle w:val="11"/>
        <w:autoSpaceDE w:val="0"/>
        <w:ind w:firstLine="0" w:firstLineChars="0"/>
        <w:rPr>
          <w:rStyle w:val="10"/>
          <w:rFonts w:hint="default" w:ascii="Times New Roman" w:hAnsi="Times New Roman" w:eastAsia="方正仿宋_GBK" w:cs="Times New Roman"/>
          <w:sz w:val="32"/>
          <w:szCs w:val="32"/>
          <w:shd w:val="clear" w:color="auto" w:fill="FFFF00"/>
        </w:rPr>
      </w:pPr>
    </w:p>
    <w:p>
      <w:pPr>
        <w:pStyle w:val="11"/>
        <w:autoSpaceDE w:val="0"/>
        <w:ind w:firstLine="0" w:firstLineChars="0"/>
        <w:rPr>
          <w:rStyle w:val="10"/>
          <w:rFonts w:hint="default" w:ascii="Times New Roman" w:hAnsi="Times New Roman" w:eastAsia="方正仿宋_GBK" w:cs="Times New Roman"/>
          <w:sz w:val="32"/>
          <w:szCs w:val="32"/>
          <w:shd w:val="clear" w:color="auto" w:fill="FFFF00"/>
        </w:rPr>
      </w:pPr>
    </w:p>
    <w:p>
      <w:pPr>
        <w:pStyle w:val="11"/>
        <w:autoSpaceDE w:val="0"/>
        <w:ind w:firstLine="0" w:firstLineChars="0"/>
        <w:rPr>
          <w:rStyle w:val="10"/>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ascii="Times New Roman" w:hAnsi="Times New Roman" w:cs="Times New Roman"/>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tblPrEx>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收入支出决算总表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Times New Roman" w:hAnsi="Times New Roman" w:cs="Times New Roman"/>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公开01表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Times New Roman" w:hAnsi="Times New Roman" w:cs="Times New Roman"/>
                <w:color w:val="000000"/>
              </w:rPr>
            </w:pPr>
            <w:r>
              <w:rPr>
                <w:rFonts w:hint="default" w:ascii="Times New Roman" w:hAnsi="Times New Roman" w:cs="Times New Roman"/>
              </w:rPr>
              <w:t>公开单位：垫江县救助管理站</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Times New Roman" w:hAnsi="Times New Roman" w:cs="Times New Roman"/>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支出</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108.55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0.01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104.11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cs="Times New Roman"/>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1.43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cs="Times New Roman"/>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cs="Times New Roman"/>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cs="Times New Roman"/>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3.00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108.55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108.55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108.55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108.55 </w:t>
            </w:r>
          </w:p>
        </w:tc>
      </w:tr>
    </w:tbl>
    <w:p>
      <w:pPr>
        <w:rPr>
          <w:rFonts w:hint="default" w:ascii="Times New Roman" w:hAnsi="Times New Roman" w:cs="Times New Roman"/>
          <w:sz w:val="21"/>
          <w:szCs w:val="21"/>
          <w:lang w:bidi="ar"/>
        </w:rPr>
      </w:pPr>
      <w:r>
        <w:rPr>
          <w:rFonts w:hint="default" w:ascii="Times New Roman" w:hAnsi="Times New Roman" w:cs="Times New Roman"/>
          <w:sz w:val="21"/>
          <w:szCs w:val="21"/>
          <w:lang w:bidi="ar"/>
        </w:rPr>
        <w:t>备注：1.本表反映单位本年度的总收支和年末结转结余情况。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rPr>
          <w:rFonts w:hint="default" w:ascii="Times New Roman" w:hAnsi="Times New Roman" w:cs="Times New Roman"/>
          <w:sz w:val="21"/>
          <w:szCs w:val="21"/>
          <w:lang w:bidi="ar"/>
        </w:rPr>
      </w:pPr>
      <w:r>
        <w:rPr>
          <w:rFonts w:hint="default" w:ascii="Times New Roman" w:hAnsi="Times New Roman" w:cs="Times New Roman"/>
          <w:sz w:val="21"/>
          <w:szCs w:val="21"/>
          <w:lang w:bidi="ar"/>
        </w:rPr>
        <w:br w:type="page"/>
      </w:r>
    </w:p>
    <w:p>
      <w:pPr>
        <w:rPr>
          <w:rFonts w:hint="default" w:ascii="Times New Roman" w:hAnsi="Times New Roman" w:cs="Times New Roman"/>
          <w:sz w:val="21"/>
          <w:szCs w:val="21"/>
          <w:lang w:bidi="ar"/>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收入决算表</w:t>
            </w:r>
          </w:p>
        </w:tc>
      </w:tr>
      <w:tr>
        <w:tblPrEx>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r>
              <w:rPr>
                <w:rFonts w:hint="default" w:ascii="Times New Roman" w:hAnsi="Times New Roman" w:cs="Times New Roman"/>
              </w:rPr>
              <w:t>公开单位：垫江县救助管理站</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公开02表</w:t>
            </w:r>
          </w:p>
        </w:tc>
      </w:tr>
      <w:tr>
        <w:tblPrEx>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其他收入</w:t>
            </w:r>
          </w:p>
        </w:tc>
      </w:tr>
      <w:tr>
        <w:tblPrEx>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108.55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108.55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104.11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104.11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民政管理事务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46.97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46.97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46.97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46.97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3.43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3.43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1.14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1.14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临时救助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51.68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51.68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2082002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流浪乞讨人员救助支出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51.68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51.68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其他生活救助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2082501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其他城市生活救助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1.43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1.43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1.43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1.43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1.43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1.43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bl>
    <w:p>
      <w:pPr>
        <w:ind w:left="630" w:hanging="630" w:hangingChars="300"/>
        <w:rPr>
          <w:rFonts w:hint="default" w:ascii="Times New Roman" w:hAnsi="Times New Roman" w:cs="Times New Roman"/>
          <w:sz w:val="21"/>
          <w:szCs w:val="21"/>
          <w:lang w:bidi="ar"/>
        </w:rPr>
      </w:pPr>
      <w:r>
        <w:rPr>
          <w:rFonts w:hint="default" w:ascii="Times New Roman" w:hAnsi="Times New Roman" w:cs="Times New Roman"/>
          <w:sz w:val="21"/>
          <w:szCs w:val="21"/>
          <w:lang w:bidi="ar"/>
        </w:rPr>
        <w:t>备注：1.本表反映单位本年度取得的各项收入情况。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br w:type="textWrapping"/>
      </w:r>
    </w:p>
    <w:p>
      <w:pPr>
        <w:rPr>
          <w:rFonts w:hint="default" w:ascii="Times New Roman" w:hAnsi="Times New Roman" w:cs="Times New Roman"/>
          <w:sz w:val="21"/>
          <w:szCs w:val="21"/>
          <w:lang w:bidi="ar"/>
        </w:rPr>
      </w:pPr>
      <w:r>
        <w:rPr>
          <w:rFonts w:hint="default" w:ascii="Times New Roman" w:hAnsi="Times New Roman" w:cs="Times New Roman"/>
          <w:sz w:val="21"/>
          <w:szCs w:val="21"/>
          <w:lang w:bidi="ar"/>
        </w:rPr>
        <w:br w:type="page"/>
      </w:r>
    </w:p>
    <w:p>
      <w:pPr>
        <w:ind w:left="630" w:hanging="630" w:hangingChars="300"/>
        <w:rPr>
          <w:rFonts w:hint="default" w:ascii="Times New Roman" w:hAnsi="Times New Roman" w:cs="Times New Roman"/>
          <w:sz w:val="21"/>
          <w:szCs w:val="21"/>
          <w:lang w:bidi="ar"/>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支出决算表</w:t>
            </w:r>
          </w:p>
        </w:tc>
      </w:tr>
      <w:tr>
        <w:tblPrEx>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 xml:space="preserve">垫江县救助管理站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公开03表</w:t>
            </w:r>
          </w:p>
        </w:tc>
      </w:tr>
      <w:tr>
        <w:tblPrEx>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对附属单位补助支出</w:t>
            </w:r>
          </w:p>
        </w:tc>
      </w:tr>
      <w:tr>
        <w:tblPrEx>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108.55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54.87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53.68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104.11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50.43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53.68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民政管理事务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46.97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46.97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46.97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46.97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临时救助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51.68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51.68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2082002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流浪乞讨人员救助支出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51.68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51.68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其他生活救助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2082501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其他城市生活救助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备注：1.本表反映单位本年度各项支出情况。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rPr>
          <w:rFonts w:hint="default" w:ascii="Times New Roman" w:hAnsi="Times New Roman" w:cs="Times New Roman"/>
          <w:sz w:val="21"/>
          <w:szCs w:val="21"/>
          <w:lang w:bidi="ar"/>
        </w:rPr>
      </w:pPr>
      <w:r>
        <w:rPr>
          <w:rFonts w:hint="default" w:ascii="Times New Roman" w:hAnsi="Times New Roman" w:cs="Times New Roman"/>
          <w:sz w:val="21"/>
          <w:szCs w:val="21"/>
          <w:lang w:bidi="ar"/>
        </w:rPr>
        <w:br w:type="page"/>
      </w:r>
    </w:p>
    <w:p>
      <w:pPr>
        <w:rPr>
          <w:rFonts w:hint="default" w:ascii="Times New Roman" w:hAnsi="Times New Roman" w:cs="Times New Roman"/>
          <w:sz w:val="21"/>
          <w:szCs w:val="21"/>
          <w:lang w:bidi="ar"/>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财政拨款收入支出决算总表</w:t>
            </w:r>
          </w:p>
        </w:tc>
      </w:tr>
      <w:tr>
        <w:tblPrEx>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垫江县救助管理站</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公开04表</w:t>
            </w:r>
          </w:p>
        </w:tc>
      </w:tr>
      <w:tr>
        <w:tblPrEx>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支     出</w:t>
            </w:r>
          </w:p>
        </w:tc>
      </w:tr>
      <w:tr>
        <w:tblPrEx>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r>
      <w:tr>
        <w:tblPrEx>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国有资本经营预算财政拨款</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108.55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0.01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0.01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104.11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104.11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1.43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1.43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108.55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108.55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108.55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108.55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108.55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108.55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一般公共预算财政拨款支出决算表</w:t>
            </w:r>
          </w:p>
        </w:tc>
      </w:tr>
      <w:tr>
        <w:tblPrEx>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垫江县救助管理站</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公开05表</w:t>
            </w:r>
          </w:p>
        </w:tc>
      </w:tr>
      <w:tr>
        <w:tblPrEx>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w:t>
            </w:r>
          </w:p>
        </w:tc>
      </w:tr>
      <w:tr>
        <w:tblPrEx>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r>
      <w:tr>
        <w:tblPrEx>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108.55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54.87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53.68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0.01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0.01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0.01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0.01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0.01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0.01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104.11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50.43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53.68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0.04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0.04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0.04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0.04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民政管理事务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46.97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46.97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46.97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46.97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3.43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3.43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2.29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2.29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1.14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1.14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临时救助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51.68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51.68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2082002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流浪乞讨人员救助支出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51.68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51.68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其他生活救助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2082501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其他城市生活救助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1.43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1.43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1.43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1.43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1.43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1.43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3.00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3.00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3.00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3.00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备注：1.本表反映单位本年度一般公共预算财政拨款支出情况。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一般公共预算财政拨款基本支出决算表</w:t>
            </w:r>
          </w:p>
        </w:tc>
      </w:tr>
      <w:tr>
        <w:tblPrEx>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垫江县救助管理站</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公开06表</w:t>
            </w:r>
          </w:p>
        </w:tc>
      </w:tr>
      <w:tr>
        <w:tblPrEx>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公用经费</w:t>
            </w:r>
          </w:p>
        </w:tc>
      </w:tr>
      <w:tr>
        <w:tblPrEx>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金额</w:t>
            </w:r>
          </w:p>
        </w:tc>
      </w:tr>
      <w:tr>
        <w:tblPrEx>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32.18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22.66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8.00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5.95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5.83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0.10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9.81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0.05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2.29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0.23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1.14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0.62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1.43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0.04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3.00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0.32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0.32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0.04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0.01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0.08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0.04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9.60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0.24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1.31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0.75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1.22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r>
      <w:tr>
        <w:tblPrEx>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32.22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22.66 </w:t>
            </w:r>
          </w:p>
        </w:tc>
      </w:tr>
    </w:tbl>
    <w:p>
      <w:pPr>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备注：1.本表反映单位本年度一般公共预算财政拨款基本支出明细情况。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垫江县救助管理站</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公开07表</w:t>
            </w:r>
          </w:p>
        </w:tc>
      </w:tr>
      <w:tr>
        <w:tblPrEx>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年末结转和结余</w:t>
            </w:r>
          </w:p>
        </w:tc>
      </w:tr>
      <w:tr>
        <w:tblPrEx>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1"/>
          <w:szCs w:val="21"/>
          <w:lang w:bidi="ar"/>
        </w:rPr>
        <w:t>备注：本表反映单位本年度政府性基金预算财政拨款收入支出及结转和结余情况。本单位无政府性基金收支，故本表无数据。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垫江县救助管理站</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公开08表</w:t>
            </w:r>
          </w:p>
        </w:tc>
      </w:tr>
      <w:tr>
        <w:tblPrEx>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w:t>
            </w:r>
          </w:p>
        </w:tc>
      </w:tr>
      <w:tr>
        <w:tblPrEx>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r>
    </w:tbl>
    <w:p>
      <w:pPr>
        <w:rPr>
          <w:rFonts w:hint="default" w:ascii="Times New Roman" w:hAnsi="Times New Roman" w:cs="Times New Roman"/>
          <w:sz w:val="21"/>
          <w:szCs w:val="21"/>
          <w:lang w:bidi="ar"/>
        </w:rPr>
      </w:pPr>
      <w:r>
        <w:rPr>
          <w:rFonts w:hint="default" w:ascii="Times New Roman" w:hAnsi="Times New Roman" w:cs="Times New Roman"/>
          <w:sz w:val="21"/>
          <w:szCs w:val="21"/>
          <w:lang w:bidi="ar"/>
        </w:rPr>
        <w:t>备注：本表反映单位本年度国有资本经营预算财政拨款支出情况。本单位无国有资本经营收支，故本表无数据。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机构运行信息表</w:t>
            </w:r>
          </w:p>
        </w:tc>
      </w:tr>
      <w:tr>
        <w:tblPrEx>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Times New Roman" w:hAnsi="Times New Roman" w:cs="Times New Roman"/>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公开09表</w:t>
            </w:r>
          </w:p>
        </w:tc>
      </w:tr>
      <w:tr>
        <w:tblPrEx>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Times New Roman" w:hAnsi="Times New Roman" w:cs="Times New Roman"/>
                <w:color w:val="000000"/>
                <w:sz w:val="22"/>
                <w:szCs w:val="22"/>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垫江县救助管理站</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Times New Roman" w:hAnsi="Times New Roman" w:cs="Times New Roman"/>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22.66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1.39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1.39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22.66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1.31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1.31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1.31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1.31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0.08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0.08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0.08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0.01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cs="Times New Roman"/>
                <w:color w:val="000000"/>
                <w:sz w:val="20"/>
                <w:szCs w:val="20"/>
              </w:rPr>
            </w:pPr>
          </w:p>
        </w:tc>
      </w:tr>
    </w:tbl>
    <w:p>
      <w:pPr>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rPr>
          <w:rFonts w:hint="default" w:ascii="Times New Roman" w:hAnsi="Times New Roman" w:cs="Times New Roman"/>
          <w:color w:val="000000"/>
          <w:sz w:val="21"/>
          <w:szCs w:val="21"/>
          <w:lang w:bidi="ar"/>
        </w:rPr>
      </w:pPr>
    </w:p>
    <w:p>
      <w:pPr>
        <w:rPr>
          <w:rFonts w:hint="default" w:ascii="Times New Roman" w:hAnsi="Times New Roman" w:cs="Times New Roman"/>
          <w:color w:val="000000"/>
          <w:sz w:val="21"/>
          <w:szCs w:val="21"/>
          <w:lang w:bidi="ar"/>
        </w:rPr>
      </w:pPr>
    </w:p>
    <w:p>
      <w:pPr>
        <w:rPr>
          <w:rFonts w:hint="default" w:ascii="Times New Roman" w:hAnsi="Times New Roman" w:cs="Times New Roman"/>
          <w:color w:val="000000"/>
          <w:sz w:val="21"/>
          <w:szCs w:val="21"/>
          <w:lang w:bidi="ar"/>
        </w:rPr>
      </w:pPr>
    </w:p>
    <w:p>
      <w:pPr>
        <w:rPr>
          <w:rFonts w:hint="default" w:ascii="Times New Roman" w:hAnsi="Times New Roman" w:cs="Times New Roman"/>
          <w:color w:val="000000"/>
          <w:sz w:val="21"/>
          <w:szCs w:val="21"/>
          <w:lang w:bidi="ar"/>
        </w:rPr>
      </w:pPr>
    </w:p>
    <w:p>
      <w:pPr>
        <w:rPr>
          <w:rFonts w:hint="default" w:ascii="Times New Roman" w:hAnsi="Times New Roman" w:cs="Times New Roman"/>
          <w:color w:val="000000"/>
          <w:sz w:val="21"/>
          <w:szCs w:val="21"/>
          <w:lang w:bidi="ar"/>
        </w:rPr>
      </w:pPr>
    </w:p>
    <w:p>
      <w:pPr>
        <w:rPr>
          <w:rFonts w:hint="default" w:ascii="Times New Roman" w:hAnsi="Times New Roman" w:cs="Times New Roman"/>
          <w:color w:val="000000"/>
          <w:sz w:val="21"/>
          <w:szCs w:val="21"/>
          <w:lang w:bidi="ar"/>
        </w:rPr>
      </w:pPr>
    </w:p>
    <w:p>
      <w:pPr>
        <w:rPr>
          <w:rFonts w:hint="default" w:ascii="Times New Roman" w:hAnsi="Times New Roman" w:cs="Times New Roman"/>
          <w:color w:val="000000"/>
          <w:sz w:val="21"/>
          <w:szCs w:val="21"/>
          <w:lang w:bidi="ar"/>
        </w:rPr>
      </w:pPr>
    </w:p>
    <w:p>
      <w:pPr>
        <w:rPr>
          <w:rFonts w:hint="default" w:ascii="Times New Roman" w:hAnsi="Times New Roman" w:cs="Times New Roman"/>
          <w:color w:val="000000"/>
          <w:sz w:val="21"/>
          <w:szCs w:val="21"/>
          <w:lang w:bidi="ar"/>
        </w:rPr>
      </w:pPr>
    </w:p>
    <w:p>
      <w:pPr>
        <w:rPr>
          <w:rFonts w:hint="default" w:ascii="Times New Roman" w:hAnsi="Times New Roman" w:cs="Times New Roman"/>
          <w:color w:val="000000"/>
          <w:sz w:val="21"/>
          <w:szCs w:val="21"/>
          <w:lang w:bidi="ar"/>
        </w:rPr>
      </w:pPr>
    </w:p>
    <w:p>
      <w:pPr>
        <w:pStyle w:val="11"/>
        <w:autoSpaceDE w:val="0"/>
        <w:ind w:firstLine="0" w:firstLineChars="0"/>
        <w:rPr>
          <w:rFonts w:hint="default" w:ascii="Times New Roman" w:hAnsi="Times New Roman" w:cs="Times New Roman"/>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YzdmZTkxNTQ5NWUyYmY3NTJmYmMyOGUwNWZlOWEifQ=="/>
  </w:docVars>
  <w:rsids>
    <w:rsidRoot w:val="00B03CCD"/>
    <w:rsid w:val="002E68EB"/>
    <w:rsid w:val="00531C3B"/>
    <w:rsid w:val="00550128"/>
    <w:rsid w:val="00550ABE"/>
    <w:rsid w:val="007B419D"/>
    <w:rsid w:val="008D6FD0"/>
    <w:rsid w:val="009A389F"/>
    <w:rsid w:val="009B67B8"/>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27609"/>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ED7CC1"/>
    <w:rsid w:val="2FF06E00"/>
    <w:rsid w:val="30586FEC"/>
    <w:rsid w:val="315F0B22"/>
    <w:rsid w:val="31D84415"/>
    <w:rsid w:val="32285F6F"/>
    <w:rsid w:val="32770556"/>
    <w:rsid w:val="329C0913"/>
    <w:rsid w:val="32AA0460"/>
    <w:rsid w:val="3337290D"/>
    <w:rsid w:val="33A87E0D"/>
    <w:rsid w:val="33E31118"/>
    <w:rsid w:val="33EF7674"/>
    <w:rsid w:val="342D7BC6"/>
    <w:rsid w:val="352930DB"/>
    <w:rsid w:val="35573069"/>
    <w:rsid w:val="355F6038"/>
    <w:rsid w:val="358C217E"/>
    <w:rsid w:val="35BD28AF"/>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550BF9"/>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7B5F17"/>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847782"/>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9084</Words>
  <Characters>11100</Characters>
  <Lines>101</Lines>
  <Paragraphs>28</Paragraphs>
  <TotalTime>9</TotalTime>
  <ScaleCrop>false</ScaleCrop>
  <LinksUpToDate>false</LinksUpToDate>
  <CharactersWithSpaces>12236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2025-07-02T06:27:53Z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