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adjustRightInd w:val="0"/>
        <w:snapToGrid w:val="0"/>
        <w:spacing w:before="0" w:beforeAutospacing="0" w:after="0" w:afterAutospacing="0" w:line="594" w:lineRule="exact"/>
        <w:ind w:firstLine="880" w:firstLineChars="200"/>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垫江县殡葬事业服务中心</w:t>
      </w:r>
    </w:p>
    <w:p>
      <w:pPr>
        <w:pStyle w:val="6"/>
        <w:adjustRightInd w:val="0"/>
        <w:snapToGrid w:val="0"/>
        <w:spacing w:before="0" w:beforeAutospacing="0" w:after="0" w:afterAutospacing="0" w:line="594" w:lineRule="exact"/>
        <w:ind w:firstLine="880" w:firstLineChars="200"/>
        <w:jc w:val="center"/>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hint="default" w:ascii="Times New Roman" w:hAnsi="Times New Roman" w:eastAsia="方正小标宋_GBK" w:cs="Times New Roman"/>
          <w:sz w:val="44"/>
          <w:szCs w:val="44"/>
          <w:shd w:val="clear" w:color="auto" w:fill="FFFFFF"/>
        </w:rPr>
        <w:t>年度决算公开说明</w:t>
      </w:r>
    </w:p>
    <w:p>
      <w:pPr>
        <w:pStyle w:val="6"/>
        <w:adjustRightInd w:val="0"/>
        <w:snapToGrid w:val="0"/>
        <w:spacing w:before="0" w:beforeAutospacing="0" w:after="0" w:afterAutospacing="0" w:line="594" w:lineRule="exact"/>
        <w:ind w:firstLine="643" w:firstLineChars="200"/>
        <w:rPr>
          <w:rStyle w:val="10"/>
          <w:rFonts w:hint="default" w:ascii="Times New Roman" w:hAnsi="Times New Roman" w:eastAsia="黑体" w:cs="Times New Roman"/>
          <w:sz w:val="32"/>
          <w:szCs w:val="32"/>
          <w:shd w:val="clear" w:color="auto" w:fill="FFFFFF"/>
        </w:rPr>
      </w:pPr>
    </w:p>
    <w:p>
      <w:pPr>
        <w:pStyle w:val="6"/>
        <w:keepNext w:val="0"/>
        <w:keepLines w:val="0"/>
        <w:pageBreakBefore w:val="0"/>
        <w:kinsoku/>
        <w:wordWrap/>
        <w:overflowPunct/>
        <w:topLinePunct w:val="0"/>
        <w:autoSpaceDN/>
        <w:bidi w:val="0"/>
        <w:adjustRightInd w:val="0"/>
        <w:snapToGrid w:val="0"/>
        <w:spacing w:before="0" w:beforeAutospacing="0" w:after="0" w:afterAutospacing="0" w:line="240" w:lineRule="auto"/>
        <w:ind w:firstLine="643" w:firstLineChars="200"/>
        <w:textAlignment w:val="auto"/>
        <w:rPr>
          <w:rFonts w:hint="default" w:ascii="Times New Roman" w:hAnsi="Times New Roman" w:eastAsia="黑体" w:cs="Times New Roman"/>
          <w:sz w:val="32"/>
          <w:szCs w:val="32"/>
        </w:rPr>
      </w:pPr>
      <w:r>
        <w:rPr>
          <w:rStyle w:val="10"/>
          <w:rFonts w:hint="default" w:ascii="Times New Roman" w:hAnsi="Times New Roman" w:eastAsia="黑体" w:cs="Times New Roman"/>
          <w:sz w:val="32"/>
          <w:szCs w:val="32"/>
          <w:shd w:val="clear" w:color="auto" w:fill="FFFFFF"/>
        </w:rPr>
        <w:t>一、单位基本情况</w:t>
      </w:r>
    </w:p>
    <w:p>
      <w:pPr>
        <w:pStyle w:val="6"/>
        <w:keepNext w:val="0"/>
        <w:keepLines w:val="0"/>
        <w:pageBreakBefore w:val="0"/>
        <w:kinsoku/>
        <w:wordWrap/>
        <w:overflowPunct/>
        <w:topLinePunct w:val="0"/>
        <w:autoSpaceDN/>
        <w:bidi w:val="0"/>
        <w:adjustRightInd w:val="0"/>
        <w:snapToGrid w:val="0"/>
        <w:spacing w:before="0" w:beforeAutospacing="0" w:after="0" w:afterAutospacing="0" w:line="240" w:lineRule="auto"/>
        <w:ind w:firstLine="643"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（一）职能职责</w:t>
      </w:r>
    </w:p>
    <w:p>
      <w:pPr>
        <w:pStyle w:val="6"/>
        <w:keepNext w:val="0"/>
        <w:keepLines w:val="0"/>
        <w:pageBreakBefore w:val="0"/>
        <w:kinsoku/>
        <w:wordWrap/>
        <w:overflowPunct/>
        <w:topLinePunct w:val="0"/>
        <w:autoSpaceDN/>
        <w:bidi w:val="0"/>
        <w:adjustRightInd w:val="0"/>
        <w:snapToGrid w:val="0"/>
        <w:spacing w:before="0" w:beforeAutospacing="0" w:after="0" w:afterAutospacing="0" w:line="24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负责本县行政区域内的殡葬管理；负责全县公益性、经营性公墓规划、建设和管理；负责全县殡仪服务管理；委托承担殡葬法律法规监察和执法。</w:t>
      </w:r>
    </w:p>
    <w:p>
      <w:pPr>
        <w:pStyle w:val="6"/>
        <w:keepNext w:val="0"/>
        <w:keepLines w:val="0"/>
        <w:pageBreakBefore w:val="0"/>
        <w:kinsoku/>
        <w:wordWrap/>
        <w:overflowPunct/>
        <w:topLinePunct w:val="0"/>
        <w:autoSpaceDN/>
        <w:bidi w:val="0"/>
        <w:adjustRightInd w:val="0"/>
        <w:snapToGrid w:val="0"/>
        <w:spacing w:before="0" w:beforeAutospacing="0" w:after="0" w:afterAutospacing="0" w:line="240" w:lineRule="auto"/>
        <w:ind w:firstLine="643" w:firstLineChars="200"/>
        <w:textAlignment w:val="auto"/>
        <w:rPr>
          <w:rFonts w:hint="default" w:ascii="Times New Roman" w:hAnsi="Times New Roman" w:eastAsia="楷体" w:cs="Times New Roman"/>
          <w:sz w:val="32"/>
          <w:szCs w:val="32"/>
        </w:rPr>
      </w:pPr>
      <w:r>
        <w:rPr>
          <w:rStyle w:val="10"/>
          <w:rFonts w:hint="default" w:ascii="Times New Roman" w:hAnsi="Times New Roman" w:eastAsia="楷体" w:cs="Times New Roman"/>
          <w:sz w:val="32"/>
          <w:szCs w:val="32"/>
          <w:shd w:val="clear" w:color="auto" w:fill="FFFFFF"/>
        </w:rPr>
        <w:t>（二）机构设置</w:t>
      </w:r>
    </w:p>
    <w:p>
      <w:pPr>
        <w:pStyle w:val="6"/>
        <w:keepNext w:val="0"/>
        <w:keepLines w:val="0"/>
        <w:pageBreakBefore w:val="0"/>
        <w:kinsoku/>
        <w:wordWrap/>
        <w:overflowPunct/>
        <w:topLinePunct w:val="0"/>
        <w:autoSpaceDN/>
        <w:bidi w:val="0"/>
        <w:adjustRightInd w:val="0"/>
        <w:snapToGrid w:val="0"/>
        <w:spacing w:before="0" w:beforeAutospacing="0" w:after="0" w:afterAutospacing="0" w:line="240" w:lineRule="auto"/>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垫江县殡葬事业服务中心为县政府工作部门，机构规格：事业副科级。我中心2024年为民政局下属二级单位，无下属机构。</w:t>
      </w:r>
    </w:p>
    <w:p>
      <w:pPr>
        <w:pStyle w:val="6"/>
        <w:keepNext w:val="0"/>
        <w:keepLines w:val="0"/>
        <w:pageBreakBefore w:val="0"/>
        <w:kinsoku/>
        <w:wordWrap/>
        <w:overflowPunct/>
        <w:topLinePunct w:val="0"/>
        <w:autoSpaceDN/>
        <w:bidi w:val="0"/>
        <w:adjustRightInd w:val="0"/>
        <w:snapToGrid w:val="0"/>
        <w:spacing w:before="0" w:beforeAutospacing="0" w:after="0" w:afterAutospacing="0" w:line="240" w:lineRule="auto"/>
        <w:ind w:firstLine="643" w:firstLineChars="200"/>
        <w:textAlignment w:val="auto"/>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二、单位决算收支情况说明</w:t>
      </w:r>
    </w:p>
    <w:p>
      <w:pPr>
        <w:pStyle w:val="11"/>
        <w:keepNext w:val="0"/>
        <w:keepLines w:val="0"/>
        <w:pageBreakBefore w:val="0"/>
        <w:kinsoku/>
        <w:wordWrap/>
        <w:overflowPunct/>
        <w:topLinePunct w:val="0"/>
        <w:autoSpaceDE w:val="0"/>
        <w:autoSpaceDN/>
        <w:bidi w:val="0"/>
        <w:adjustRightInd w:val="0"/>
        <w:snapToGrid w:val="0"/>
        <w:spacing w:line="240" w:lineRule="auto"/>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（一）收入支出决算总体情况说明。</w:t>
      </w:r>
    </w:p>
    <w:p>
      <w:pPr>
        <w:pStyle w:val="6"/>
        <w:keepNext w:val="0"/>
        <w:keepLines w:val="0"/>
        <w:pageBreakBefore w:val="0"/>
        <w:kinsoku/>
        <w:wordWrap/>
        <w:overflowPunct/>
        <w:topLinePunct w:val="0"/>
        <w:autoSpaceDN/>
        <w:bidi w:val="0"/>
        <w:adjustRightInd w:val="0"/>
        <w:snapToGrid w:val="0"/>
        <w:spacing w:before="0" w:beforeAutospacing="0" w:after="0" w:afterAutospacing="0" w:line="240" w:lineRule="auto"/>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rPr>
        <w:t>2024年度收入总计127.15万元，支出总计</w:t>
      </w:r>
      <w:r>
        <w:rPr>
          <w:rFonts w:hint="default" w:ascii="Times New Roman" w:hAnsi="Times New Roman" w:eastAsia="方正仿宋_GBK" w:cs="Times New Roman"/>
          <w:sz w:val="32"/>
          <w:szCs w:val="32"/>
        </w:rPr>
        <w:t>127.15</w:t>
      </w:r>
      <w:r>
        <w:rPr>
          <w:rFonts w:hint="default" w:ascii="Times New Roman" w:hAnsi="Times New Roman" w:eastAsia="方正仿宋_GBK" w:cs="Times New Roman"/>
          <w:sz w:val="32"/>
          <w:szCs w:val="32"/>
          <w:shd w:val="clear" w:color="auto" w:fill="FFFFFF"/>
        </w:rPr>
        <w:t>万元。收、支与2023年度相比，减少7.97万元，下降5.9%，主要原因是有人员调出本单位。</w:t>
      </w:r>
    </w:p>
    <w:p>
      <w:pPr>
        <w:pStyle w:val="6"/>
        <w:keepNext w:val="0"/>
        <w:keepLines w:val="0"/>
        <w:pageBreakBefore w:val="0"/>
        <w:kinsoku/>
        <w:wordWrap/>
        <w:overflowPunct/>
        <w:topLinePunct w:val="0"/>
        <w:autoSpaceDN/>
        <w:bidi w:val="0"/>
        <w:adjustRightInd w:val="0"/>
        <w:snapToGrid w:val="0"/>
        <w:spacing w:before="0" w:beforeAutospacing="0" w:after="0" w:afterAutospacing="0" w:line="240" w:lineRule="auto"/>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rPr>
        <w:t>2024年度收入合计127.15万元，与2023年度相比，减少7.97万元，下降5.9%，主要原因人员调出，收入减少。其中：财政拨款收入</w:t>
      </w:r>
      <w:r>
        <w:rPr>
          <w:rFonts w:hint="default" w:ascii="Times New Roman" w:hAnsi="Times New Roman" w:eastAsia="方正仿宋_GBK" w:cs="Times New Roman"/>
          <w:sz w:val="32"/>
          <w:szCs w:val="32"/>
          <w:shd w:val="clear" w:color="auto" w:fill="FFFFFF"/>
        </w:rPr>
        <w:t>127.15万元，占100.0%；事业收入0.00万元，占0.0%；经营收入0.00万元，占0.0%；其他收入0.00万元，占0.0%。此外，使用非财政拨款结余和专用结余0.00万元，年初结转和结余0.00万元。</w:t>
      </w:r>
    </w:p>
    <w:p>
      <w:pPr>
        <w:pStyle w:val="6"/>
        <w:keepNext w:val="0"/>
        <w:keepLines w:val="0"/>
        <w:pageBreakBefore w:val="0"/>
        <w:kinsoku/>
        <w:wordWrap/>
        <w:overflowPunct/>
        <w:topLinePunct w:val="0"/>
        <w:autoSpaceDN/>
        <w:bidi w:val="0"/>
        <w:adjustRightInd w:val="0"/>
        <w:snapToGrid w:val="0"/>
        <w:spacing w:before="0" w:beforeAutospacing="0" w:after="0" w:afterAutospacing="0" w:line="240" w:lineRule="auto"/>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rPr>
        <w:t>2024年度支出合计</w:t>
      </w:r>
      <w:r>
        <w:rPr>
          <w:rFonts w:hint="default" w:ascii="Times New Roman" w:hAnsi="Times New Roman" w:eastAsia="方正仿宋_GBK" w:cs="Times New Roman"/>
          <w:sz w:val="32"/>
          <w:szCs w:val="32"/>
        </w:rPr>
        <w:t>127.15</w:t>
      </w:r>
      <w:r>
        <w:rPr>
          <w:rFonts w:hint="default" w:ascii="Times New Roman" w:hAnsi="Times New Roman" w:eastAsia="方正仿宋_GBK" w:cs="Times New Roman"/>
          <w:sz w:val="32"/>
          <w:szCs w:val="32"/>
          <w:shd w:val="clear" w:color="auto" w:fill="FFFFFF"/>
        </w:rPr>
        <w:t>万元，与2023年度相比，减少7.97万元，下降5.9%，主要原因是节约意识提高，职工在日常工作中更加注重节约水电、纸张等资源，减少了不必要的办公开支。其中：基本支出</w:t>
      </w:r>
      <w:r>
        <w:rPr>
          <w:rFonts w:hint="default" w:ascii="Times New Roman" w:hAnsi="Times New Roman" w:eastAsia="方正仿宋_GBK" w:cs="Times New Roman"/>
          <w:sz w:val="32"/>
          <w:szCs w:val="32"/>
          <w:shd w:val="clear" w:color="auto" w:fill="FFFFFF"/>
        </w:rPr>
        <w:t>127.15万元，占100.0%；项目支出0.00万元，占0.0%；经营支出0.00万元，占0.0%。此外，结余分配0.00万元。</w:t>
      </w:r>
    </w:p>
    <w:p>
      <w:pPr>
        <w:pStyle w:val="6"/>
        <w:keepNext w:val="0"/>
        <w:keepLines w:val="0"/>
        <w:pageBreakBefore w:val="0"/>
        <w:kinsoku/>
        <w:wordWrap/>
        <w:overflowPunct/>
        <w:topLinePunct w:val="0"/>
        <w:autoSpaceDN/>
        <w:bidi w:val="0"/>
        <w:adjustRightInd w:val="0"/>
        <w:snapToGrid w:val="0"/>
        <w:spacing w:before="0" w:beforeAutospacing="0" w:after="0" w:afterAutospacing="0" w:line="240" w:lineRule="auto"/>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rPr>
        <w:t>2024年度年末结转和结余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万元，与2023年度相比，无增减，主要原因是本年度及上年度均无结转结余。</w:t>
      </w:r>
    </w:p>
    <w:p>
      <w:pPr>
        <w:pStyle w:val="11"/>
        <w:keepNext w:val="0"/>
        <w:keepLines w:val="0"/>
        <w:pageBreakBefore w:val="0"/>
        <w:kinsoku/>
        <w:wordWrap/>
        <w:overflowPunct/>
        <w:topLinePunct w:val="0"/>
        <w:autoSpaceDE w:val="0"/>
        <w:autoSpaceDN/>
        <w:bidi w:val="0"/>
        <w:adjustRightInd w:val="0"/>
        <w:snapToGrid w:val="0"/>
        <w:spacing w:line="240" w:lineRule="auto"/>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（二）财政拨款收入支出决算总体情况说明</w:t>
      </w:r>
    </w:p>
    <w:p>
      <w:pPr>
        <w:pStyle w:val="6"/>
        <w:keepNext w:val="0"/>
        <w:keepLines w:val="0"/>
        <w:pageBreakBefore w:val="0"/>
        <w:kinsoku/>
        <w:wordWrap/>
        <w:overflowPunct/>
        <w:topLinePunct w:val="0"/>
        <w:autoSpaceDN/>
        <w:bidi w:val="0"/>
        <w:adjustRightInd w:val="0"/>
        <w:snapToGrid w:val="0"/>
        <w:spacing w:before="0" w:beforeAutospacing="0" w:after="0" w:afterAutospacing="0" w:line="24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2024年度财政拨款收、支总计127.15万元。与2023年相比，财政拨款收、支总计各减少7.97万元，下降5.9%。主要原因是有人员调出本单位。</w:t>
      </w:r>
    </w:p>
    <w:p>
      <w:pPr>
        <w:pStyle w:val="11"/>
        <w:keepNext w:val="0"/>
        <w:keepLines w:val="0"/>
        <w:pageBreakBefore w:val="0"/>
        <w:kinsoku/>
        <w:wordWrap/>
        <w:overflowPunct/>
        <w:topLinePunct w:val="0"/>
        <w:autoSpaceDE w:val="0"/>
        <w:autoSpaceDN/>
        <w:bidi w:val="0"/>
        <w:adjustRightInd w:val="0"/>
        <w:snapToGrid w:val="0"/>
        <w:spacing w:line="240" w:lineRule="auto"/>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（三）一般公共预算财政拨款收入支出决算情况说明</w:t>
      </w:r>
    </w:p>
    <w:p>
      <w:pPr>
        <w:pStyle w:val="6"/>
        <w:keepNext w:val="0"/>
        <w:keepLines w:val="0"/>
        <w:pageBreakBefore w:val="0"/>
        <w:kinsoku/>
        <w:wordWrap/>
        <w:overflowPunct/>
        <w:topLinePunct w:val="0"/>
        <w:autoSpaceDN/>
        <w:bidi w:val="0"/>
        <w:adjustRightInd w:val="0"/>
        <w:snapToGrid w:val="0"/>
        <w:spacing w:before="0" w:beforeAutospacing="0" w:after="0" w:afterAutospacing="0" w:line="240" w:lineRule="auto"/>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w:t>
      </w:r>
      <w:r>
        <w:rPr>
          <w:rFonts w:hint="default" w:ascii="Times New Roman" w:hAnsi="Times New Roman" w:eastAsia="方正仿宋_GBK" w:cs="Times New Roman"/>
          <w:sz w:val="32"/>
          <w:szCs w:val="32"/>
        </w:rPr>
        <w:t>127.15</w:t>
      </w:r>
      <w:r>
        <w:rPr>
          <w:rFonts w:hint="default" w:ascii="Times New Roman" w:hAnsi="Times New Roman" w:eastAsia="方正仿宋_GBK" w:cs="Times New Roman"/>
          <w:sz w:val="32"/>
          <w:szCs w:val="32"/>
          <w:shd w:val="clear" w:color="auto" w:fill="FFFFFF"/>
        </w:rPr>
        <w:t>万元，与2023年度相比，减少7.97万元，下降5.9%。主要原因是人员调出，收入减少。较年初预算数增加14.52万元，增长12.9%。主要原因是政策性补缴2022-2023年社保费用。此外，年初财政拨款结转和结余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kinsoku/>
        <w:wordWrap/>
        <w:overflowPunct/>
        <w:topLinePunct w:val="0"/>
        <w:autoSpaceDN/>
        <w:bidi w:val="0"/>
        <w:adjustRightInd w:val="0"/>
        <w:snapToGrid w:val="0"/>
        <w:spacing w:before="0" w:beforeAutospacing="0" w:after="0" w:afterAutospacing="0" w:line="240" w:lineRule="auto"/>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w:t>
      </w:r>
      <w:r>
        <w:rPr>
          <w:rFonts w:hint="default" w:ascii="Times New Roman" w:hAnsi="Times New Roman" w:eastAsia="方正仿宋_GBK" w:cs="Times New Roman"/>
          <w:sz w:val="32"/>
          <w:szCs w:val="32"/>
        </w:rPr>
        <w:t>127.15</w:t>
      </w:r>
      <w:r>
        <w:rPr>
          <w:rFonts w:hint="default" w:ascii="Times New Roman" w:hAnsi="Times New Roman" w:eastAsia="方正仿宋_GBK" w:cs="Times New Roman"/>
          <w:sz w:val="32"/>
          <w:szCs w:val="32"/>
          <w:shd w:val="clear" w:color="auto" w:fill="FFFFFF"/>
        </w:rPr>
        <w:t>万元，与2023年度相比，减少7.97万元，下降5.9%。主要原因是节约意识提高，职工在日常工作中更加注重节约水电、纸张等资源，减少了不必要的办公开支。较年初预算数增加14.52万元，增长12.9%。主要原因是政策性补缴2022-2023年社保费用。</w:t>
      </w:r>
    </w:p>
    <w:p>
      <w:pPr>
        <w:pStyle w:val="6"/>
        <w:keepNext w:val="0"/>
        <w:keepLines w:val="0"/>
        <w:pageBreakBefore w:val="0"/>
        <w:kinsoku/>
        <w:wordWrap/>
        <w:overflowPunct/>
        <w:topLinePunct w:val="0"/>
        <w:autoSpaceDN/>
        <w:bidi w:val="0"/>
        <w:adjustRightInd w:val="0"/>
        <w:snapToGrid w:val="0"/>
        <w:spacing w:before="0" w:beforeAutospacing="0" w:after="0" w:afterAutospacing="0" w:line="240" w:lineRule="auto"/>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万元，与2023年度相比，无增减，主要原因是本年度及上年度均无结转结余。</w:t>
      </w:r>
      <w:r>
        <w:rPr>
          <w:rStyle w:val="10"/>
          <w:rFonts w:hint="default" w:ascii="Times New Roman" w:hAnsi="Times New Roman" w:eastAsia="方正仿宋_GBK" w:cs="Times New Roman"/>
          <w:sz w:val="32"/>
          <w:szCs w:val="32"/>
          <w:shd w:val="clear" w:color="auto" w:fill="FFFFFF"/>
        </w:rPr>
        <w:t xml:space="preserve"> </w:t>
      </w:r>
    </w:p>
    <w:p>
      <w:pPr>
        <w:pStyle w:val="6"/>
        <w:keepNext w:val="0"/>
        <w:keepLines w:val="0"/>
        <w:pageBreakBefore w:val="0"/>
        <w:kinsoku/>
        <w:wordWrap/>
        <w:overflowPunct/>
        <w:topLinePunct w:val="0"/>
        <w:autoSpaceDN/>
        <w:bidi w:val="0"/>
        <w:adjustRightInd w:val="0"/>
        <w:snapToGrid w:val="0"/>
        <w:spacing w:before="0" w:beforeAutospacing="0" w:after="0" w:afterAutospacing="0" w:line="240" w:lineRule="auto"/>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 xml:space="preserve"> 4.比较情况。</w:t>
      </w:r>
      <w:r>
        <w:rPr>
          <w:rFonts w:hint="default" w:ascii="Times New Roman" w:hAnsi="Times New Roman" w:eastAsia="方正仿宋_GBK" w:cs="Times New Roman"/>
          <w:sz w:val="32"/>
          <w:szCs w:val="32"/>
          <w:shd w:val="clear" w:color="auto" w:fill="FFFFFF"/>
        </w:rPr>
        <w:t>本单位2024年度一般公共预算财政拨款支出主要用于以下几个方面：</w:t>
      </w:r>
    </w:p>
    <w:p>
      <w:pPr>
        <w:pStyle w:val="6"/>
        <w:keepNext w:val="0"/>
        <w:keepLines w:val="0"/>
        <w:pageBreakBefore w:val="0"/>
        <w:kinsoku/>
        <w:wordWrap/>
        <w:overflowPunct/>
        <w:topLinePunct w:val="0"/>
        <w:autoSpaceDN/>
        <w:bidi w:val="0"/>
        <w:adjustRightInd w:val="0"/>
        <w:snapToGrid w:val="0"/>
        <w:spacing w:before="0" w:beforeAutospacing="0" w:after="0" w:afterAutospacing="0" w:line="240" w:lineRule="auto"/>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（1）教育支出</w:t>
      </w:r>
      <w:r>
        <w:rPr>
          <w:rFonts w:hint="default" w:ascii="Times New Roman" w:hAnsi="Times New Roman" w:eastAsia="方正仿宋_GBK" w:cs="Times New Roman"/>
          <w:sz w:val="32"/>
          <w:szCs w:val="32"/>
          <w:shd w:val="clear" w:color="auto" w:fill="FFFFFF"/>
        </w:rPr>
        <w:t>0.00万元，占0.0%，较年初预算数减少0.32万元，下降100.0%，</w:t>
      </w:r>
      <w:r>
        <w:rPr>
          <w:rFonts w:hint="default" w:ascii="Times New Roman" w:hAnsi="Times New Roman" w:eastAsia="方正仿宋_GBK" w:cs="Times New Roman"/>
          <w:sz w:val="32"/>
          <w:szCs w:val="32"/>
          <w:shd w:val="clear" w:color="auto" w:fill="FFFFFF"/>
        </w:rPr>
        <w:t>主要原因是本年培训活动减少，对培训费做了指标调剂。</w:t>
      </w:r>
    </w:p>
    <w:p>
      <w:pPr>
        <w:pStyle w:val="6"/>
        <w:keepNext w:val="0"/>
        <w:keepLines w:val="0"/>
        <w:pageBreakBefore w:val="0"/>
        <w:kinsoku/>
        <w:wordWrap/>
        <w:overflowPunct/>
        <w:topLinePunct w:val="0"/>
        <w:autoSpaceDN/>
        <w:bidi w:val="0"/>
        <w:adjustRightInd w:val="0"/>
        <w:snapToGrid w:val="0"/>
        <w:spacing w:before="0" w:beforeAutospacing="0" w:after="0" w:afterAutospacing="0" w:line="240" w:lineRule="auto"/>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（2）社会保障与就业支出</w:t>
      </w:r>
      <w:r>
        <w:rPr>
          <w:rFonts w:hint="default" w:ascii="Times New Roman" w:hAnsi="Times New Roman" w:eastAsia="方正仿宋_GBK" w:cs="Times New Roman"/>
          <w:sz w:val="32"/>
          <w:szCs w:val="32"/>
          <w:shd w:val="clear" w:color="auto" w:fill="FFFFFF"/>
        </w:rPr>
        <w:t>114.00万元，占89.7%，较年初预算数增加10.84万元，增长10.5%，</w:t>
      </w:r>
      <w:r>
        <w:rPr>
          <w:rFonts w:hint="default" w:ascii="Times New Roman" w:hAnsi="Times New Roman" w:eastAsia="方正仿宋_GBK" w:cs="Times New Roman"/>
          <w:sz w:val="32"/>
          <w:szCs w:val="32"/>
          <w:shd w:val="clear" w:color="auto" w:fill="FFFFFF"/>
        </w:rPr>
        <w:t>主要原因是政策性补缴2022-2023年社保费用。社会保障与就业支出主要用于职工的工资福利支出。</w:t>
      </w:r>
    </w:p>
    <w:p>
      <w:pPr>
        <w:keepNext w:val="0"/>
        <w:keepLines w:val="0"/>
        <w:pageBreakBefore w:val="0"/>
        <w:kinsoku/>
        <w:wordWrap/>
        <w:overflowPunct/>
        <w:topLinePunct w:val="0"/>
        <w:autoSpaceDN/>
        <w:bidi w:val="0"/>
        <w:adjustRightInd w:val="0"/>
        <w:snapToGrid w:val="0"/>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（3）卫生健康支出</w:t>
      </w:r>
      <w:r>
        <w:rPr>
          <w:rFonts w:hint="default" w:ascii="Times New Roman" w:hAnsi="Times New Roman" w:eastAsia="方正仿宋_GBK" w:cs="Times New Roman"/>
          <w:sz w:val="32"/>
          <w:szCs w:val="32"/>
          <w:shd w:val="clear" w:color="auto" w:fill="FFFFFF"/>
        </w:rPr>
        <w:t>5.25万元，占4.1%，较年初预算数增加1.09万元，增长26.2%，</w:t>
      </w:r>
      <w:r>
        <w:rPr>
          <w:rFonts w:hint="default" w:ascii="Times New Roman" w:hAnsi="Times New Roman" w:eastAsia="方正仿宋_GBK" w:cs="Times New Roman"/>
          <w:sz w:val="32"/>
          <w:szCs w:val="32"/>
          <w:shd w:val="clear" w:color="auto" w:fill="FFFFFF"/>
        </w:rPr>
        <w:t>主要原因是职工薪级晋升，工资增加，缴费基数增加。</w:t>
      </w:r>
      <w:r>
        <w:rPr>
          <w:rFonts w:hint="default" w:ascii="Times New Roman" w:hAnsi="Times New Roman" w:eastAsia="方正仿宋_GBK" w:cs="Times New Roman"/>
          <w:sz w:val="32"/>
          <w:szCs w:val="32"/>
          <w:lang w:bidi="ar"/>
        </w:rPr>
        <w:t>卫生健康支出主要用于缴纳职工医疗保险。</w:t>
      </w:r>
    </w:p>
    <w:p>
      <w:pPr>
        <w:pStyle w:val="6"/>
        <w:keepNext w:val="0"/>
        <w:keepLines w:val="0"/>
        <w:pageBreakBefore w:val="0"/>
        <w:kinsoku/>
        <w:wordWrap/>
        <w:overflowPunct/>
        <w:topLinePunct w:val="0"/>
        <w:autoSpaceDN/>
        <w:bidi w:val="0"/>
        <w:adjustRightInd w:val="0"/>
        <w:snapToGrid w:val="0"/>
        <w:spacing w:before="0" w:beforeAutospacing="0" w:after="0" w:afterAutospacing="0" w:line="240" w:lineRule="auto"/>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（4）</w:t>
      </w:r>
      <w:r>
        <w:rPr>
          <w:rFonts w:hint="default" w:ascii="Times New Roman" w:hAnsi="Times New Roman" w:eastAsia="方正仿宋_GBK" w:cs="Times New Roman"/>
          <w:sz w:val="32"/>
          <w:szCs w:val="32"/>
        </w:rPr>
        <w:t>住房保障支出</w:t>
      </w:r>
      <w:r>
        <w:rPr>
          <w:rFonts w:hint="default" w:ascii="Times New Roman" w:hAnsi="Times New Roman" w:eastAsia="方正仿宋_GBK" w:cs="Times New Roman"/>
          <w:sz w:val="32"/>
          <w:szCs w:val="32"/>
        </w:rPr>
        <w:t>7.89万元，占6.2%，较年初预算数增加2.90万元，增长58.1%，</w:t>
      </w:r>
      <w:r>
        <w:rPr>
          <w:rFonts w:hint="default" w:ascii="Times New Roman" w:hAnsi="Times New Roman" w:eastAsia="方正仿宋_GBK" w:cs="Times New Roman"/>
          <w:sz w:val="32"/>
          <w:szCs w:val="32"/>
          <w:shd w:val="clear" w:color="auto" w:fill="FFFFFF"/>
        </w:rPr>
        <w:t>主要原因是职工薪级晋升，工资增加，缴费基数增加。住房保障支出主要用于缴纳职工住房公积金。</w:t>
      </w:r>
    </w:p>
    <w:p>
      <w:pPr>
        <w:pStyle w:val="11"/>
        <w:keepNext w:val="0"/>
        <w:keepLines w:val="0"/>
        <w:pageBreakBefore w:val="0"/>
        <w:kinsoku/>
        <w:wordWrap/>
        <w:overflowPunct/>
        <w:topLinePunct w:val="0"/>
        <w:autoSpaceDE w:val="0"/>
        <w:autoSpaceDN/>
        <w:bidi w:val="0"/>
        <w:adjustRightInd w:val="0"/>
        <w:snapToGrid w:val="0"/>
        <w:spacing w:line="240" w:lineRule="auto"/>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（四）一般公共预算财政拨款基本支出决算情况说明</w:t>
      </w:r>
    </w:p>
    <w:p>
      <w:pPr>
        <w:pStyle w:val="6"/>
        <w:keepNext w:val="0"/>
        <w:keepLines w:val="0"/>
        <w:pageBreakBefore w:val="0"/>
        <w:kinsoku/>
        <w:wordWrap/>
        <w:overflowPunct/>
        <w:topLinePunct w:val="0"/>
        <w:autoSpaceDN/>
        <w:bidi w:val="0"/>
        <w:adjustRightInd w:val="0"/>
        <w:snapToGrid w:val="0"/>
        <w:spacing w:before="0" w:beforeAutospacing="0" w:after="0" w:afterAutospacing="0" w:line="24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2024年度一般公共财政拨款基本支出</w:t>
      </w:r>
      <w:r>
        <w:rPr>
          <w:rFonts w:hint="default" w:ascii="Times New Roman" w:hAnsi="Times New Roman" w:eastAsia="方正仿宋_GBK" w:cs="Times New Roman"/>
          <w:sz w:val="32"/>
          <w:szCs w:val="32"/>
        </w:rPr>
        <w:t>127.15</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118.41</w:t>
      </w:r>
      <w:r>
        <w:rPr>
          <w:rFonts w:hint="default" w:ascii="Times New Roman" w:hAnsi="Times New Roman" w:eastAsia="方正仿宋_GBK" w:cs="Times New Roman"/>
          <w:sz w:val="32"/>
          <w:szCs w:val="32"/>
          <w:shd w:val="clear" w:color="auto" w:fill="FFFFFF"/>
        </w:rPr>
        <w:t>万元，与2023年度相比，增加0.11万元，增长0.1%，主要原因是职工薪级晋升，工资增加。人员经费用途主要包括</w:t>
      </w:r>
      <w:r>
        <w:rPr>
          <w:rFonts w:hint="default" w:ascii="Times New Roman" w:hAnsi="Times New Roman" w:eastAsia="方正仿宋_GBK" w:cs="Times New Roman"/>
          <w:kern w:val="2"/>
          <w:sz w:val="32"/>
          <w:szCs w:val="32"/>
        </w:rPr>
        <w:t>基本工资、津贴补贴、奖金、其他社会保障缴费、伙食补助费、绩效工资、机关事业单位基本养老保险缴费、职业年金缴费、其他工资福利支出、职工住房公积金、离退休费等</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8.74</w:t>
      </w:r>
      <w:r>
        <w:rPr>
          <w:rFonts w:hint="default" w:ascii="Times New Roman" w:hAnsi="Times New Roman" w:eastAsia="方正仿宋_GBK" w:cs="Times New Roman"/>
          <w:sz w:val="32"/>
          <w:szCs w:val="32"/>
          <w:shd w:val="clear" w:color="auto" w:fill="FFFFFF"/>
        </w:rPr>
        <w:t>万元，与2023年度相比，减少8.08万元，下降48.0%，主要原因一是节约意识提高，职工在日常工作中更加注重节约水电、纸张等资源，减少了不必要的办公开支；二是成本控制加强，对办公用品采购、设备维护等方面进行严格管理；三是严格控制一般性支出，对会议费、差旅费、培训费等进行限额管理。公用经费用途主要包括办公费、印刷费、水费、电费、邮电费、差旅费、维修(护)费、会议费、培训费、公务接待费、专用材料费、劳务费、工会经费、公务用车运行维护费、其他交通费、其他商品和服务支出。</w:t>
      </w:r>
    </w:p>
    <w:p>
      <w:pPr>
        <w:pStyle w:val="11"/>
        <w:keepNext w:val="0"/>
        <w:keepLines w:val="0"/>
        <w:pageBreakBefore w:val="0"/>
        <w:numPr>
          <w:ilvl w:val="0"/>
          <w:numId w:val="1"/>
        </w:numPr>
        <w:kinsoku/>
        <w:wordWrap/>
        <w:overflowPunct/>
        <w:topLinePunct w:val="0"/>
        <w:autoSpaceDE w:val="0"/>
        <w:autoSpaceDN/>
        <w:bidi w:val="0"/>
        <w:adjustRightInd w:val="0"/>
        <w:snapToGrid w:val="0"/>
        <w:spacing w:line="240" w:lineRule="auto"/>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政府性基金预算收支决算情况说明</w:t>
      </w:r>
    </w:p>
    <w:p>
      <w:pPr>
        <w:pStyle w:val="11"/>
        <w:keepNext w:val="0"/>
        <w:keepLines w:val="0"/>
        <w:pageBreakBefore w:val="0"/>
        <w:kinsoku/>
        <w:wordWrap/>
        <w:overflowPunct/>
        <w:topLinePunct w:val="0"/>
        <w:autoSpaceDE w:val="0"/>
        <w:autoSpaceDN/>
        <w:bidi w:val="0"/>
        <w:adjustRightInd w:val="0"/>
        <w:snapToGrid w:val="0"/>
        <w:spacing w:line="240" w:lineRule="auto"/>
        <w:ind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sz w:val="32"/>
          <w:szCs w:val="32"/>
          <w:shd w:val="clear" w:color="auto" w:fill="FFFFFF"/>
        </w:rPr>
        <w:t>2024年度政府性基金预算财政拨款年初结转结余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万元，年末结转结余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万元。本年收入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本年度无政府性基金预算财政拨款收入。</w:t>
      </w:r>
      <w:r>
        <w:rPr>
          <w:rFonts w:hint="default" w:ascii="Times New Roman" w:hAnsi="Times New Roman" w:eastAsia="方正仿宋_GBK" w:cs="Times New Roman"/>
          <w:sz w:val="32"/>
          <w:szCs w:val="32"/>
          <w:shd w:val="clear" w:color="auto" w:fill="FFFFFF"/>
        </w:rPr>
        <w:t>本年支出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本年度无政府性基金预算财政拨款支出。本单位2024年度无政府性基金预算财政拨款收支。</w:t>
      </w:r>
    </w:p>
    <w:p>
      <w:pPr>
        <w:pStyle w:val="11"/>
        <w:keepNext w:val="0"/>
        <w:keepLines w:val="0"/>
        <w:pageBreakBefore w:val="0"/>
        <w:kinsoku/>
        <w:wordWrap/>
        <w:overflowPunct/>
        <w:topLinePunct w:val="0"/>
        <w:autoSpaceDE w:val="0"/>
        <w:autoSpaceDN/>
        <w:bidi w:val="0"/>
        <w:adjustRightInd w:val="0"/>
        <w:snapToGrid w:val="0"/>
        <w:spacing w:line="240" w:lineRule="auto"/>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（六）国有资本经营预算财政拨款支出决算情况说明</w:t>
      </w:r>
    </w:p>
    <w:p>
      <w:pPr>
        <w:pStyle w:val="6"/>
        <w:keepNext w:val="0"/>
        <w:keepLines w:val="0"/>
        <w:pageBreakBefore w:val="0"/>
        <w:kinsoku/>
        <w:wordWrap/>
        <w:overflowPunct/>
        <w:topLinePunct w:val="0"/>
        <w:autoSpaceDN/>
        <w:bidi w:val="0"/>
        <w:adjustRightInd w:val="0"/>
        <w:snapToGrid w:val="0"/>
        <w:spacing w:before="0" w:beforeAutospacing="0" w:after="0" w:afterAutospacing="0" w:line="24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2024年度国有资本经营预算财政拨本年支出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万元，基本支出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万元，项目支出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万元。本单位202</w:t>
      </w:r>
      <w:r>
        <w:rPr>
          <w:rFonts w:hint="default" w:ascii="Times New Roman" w:hAnsi="Times New Roman" w:eastAsia="方正仿宋_GBK" w:cs="Times New Roman"/>
          <w:sz w:val="32"/>
          <w:szCs w:val="32"/>
          <w:shd w:val="clear" w:color="auto" w:fill="FFFFFF"/>
        </w:rPr>
        <w:t>4</w:t>
      </w:r>
      <w:r>
        <w:rPr>
          <w:rFonts w:hint="default" w:ascii="Times New Roman" w:hAnsi="Times New Roman" w:eastAsia="方正仿宋_GBK" w:cs="Times New Roman"/>
          <w:sz w:val="32"/>
          <w:szCs w:val="32"/>
          <w:shd w:val="clear" w:color="auto" w:fill="FFFFFF"/>
        </w:rPr>
        <w:t>年度无国有资本经营预算财政拨款支出。</w:t>
      </w:r>
    </w:p>
    <w:p>
      <w:pPr>
        <w:pStyle w:val="6"/>
        <w:keepNext w:val="0"/>
        <w:keepLines w:val="0"/>
        <w:pageBreakBefore w:val="0"/>
        <w:kinsoku/>
        <w:wordWrap/>
        <w:overflowPunct/>
        <w:topLinePunct w:val="0"/>
        <w:autoSpaceDN/>
        <w:bidi w:val="0"/>
        <w:adjustRightInd w:val="0"/>
        <w:snapToGrid w:val="0"/>
        <w:spacing w:before="0" w:beforeAutospacing="0" w:after="0" w:afterAutospacing="0" w:line="240" w:lineRule="auto"/>
        <w:ind w:firstLine="643" w:firstLineChars="200"/>
        <w:textAlignment w:val="auto"/>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三、财政拨款“三公”经费情况说明</w:t>
      </w:r>
    </w:p>
    <w:p>
      <w:pPr>
        <w:pStyle w:val="11"/>
        <w:keepNext w:val="0"/>
        <w:keepLines w:val="0"/>
        <w:pageBreakBefore w:val="0"/>
        <w:kinsoku/>
        <w:wordWrap/>
        <w:overflowPunct/>
        <w:topLinePunct w:val="0"/>
        <w:autoSpaceDE w:val="0"/>
        <w:autoSpaceDN/>
        <w:bidi w:val="0"/>
        <w:adjustRightInd w:val="0"/>
        <w:snapToGrid w:val="0"/>
        <w:spacing w:line="240" w:lineRule="auto"/>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 xml:space="preserve"> （一）“三公”经费支出总体情况说明</w:t>
      </w:r>
    </w:p>
    <w:p>
      <w:pPr>
        <w:pStyle w:val="6"/>
        <w:keepNext w:val="0"/>
        <w:keepLines w:val="0"/>
        <w:pageBreakBefore w:val="0"/>
        <w:kinsoku/>
        <w:wordWrap/>
        <w:overflowPunct/>
        <w:topLinePunct w:val="0"/>
        <w:autoSpaceDN/>
        <w:bidi w:val="0"/>
        <w:adjustRightInd w:val="0"/>
        <w:snapToGrid w:val="0"/>
        <w:spacing w:before="0" w:beforeAutospacing="0" w:after="0" w:afterAutospacing="0" w:line="24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rPr>
        <w:t>4</w:t>
      </w:r>
      <w:r>
        <w:rPr>
          <w:rFonts w:hint="default" w:ascii="Times New Roman" w:hAnsi="Times New Roman" w:eastAsia="方正仿宋_GBK" w:cs="Times New Roman"/>
          <w:sz w:val="32"/>
          <w:szCs w:val="32"/>
          <w:shd w:val="clear" w:color="auto" w:fill="FFFFFF"/>
        </w:rPr>
        <w:t>年度“三公”经费支出共计0.00万元，较年初预算数无增减，主要原因是我单位202</w:t>
      </w:r>
      <w:r>
        <w:rPr>
          <w:rFonts w:hint="default" w:ascii="Times New Roman" w:hAnsi="Times New Roman" w:eastAsia="方正仿宋_GBK" w:cs="Times New Roman"/>
          <w:sz w:val="32"/>
          <w:szCs w:val="32"/>
          <w:shd w:val="clear" w:color="auto" w:fill="FFFFFF"/>
        </w:rPr>
        <w:t>4</w:t>
      </w:r>
      <w:r>
        <w:rPr>
          <w:rFonts w:hint="default" w:ascii="Times New Roman" w:hAnsi="Times New Roman" w:eastAsia="方正仿宋_GBK" w:cs="Times New Roman"/>
          <w:sz w:val="32"/>
          <w:szCs w:val="32"/>
          <w:shd w:val="clear" w:color="auto" w:fill="FFFFFF"/>
        </w:rPr>
        <w:t>年未发生“三公”经费支出。较上年支出数无增减，主要原因是我单位本年及上年均未发生“三公”经费支出。</w:t>
      </w:r>
    </w:p>
    <w:p>
      <w:pPr>
        <w:pStyle w:val="11"/>
        <w:keepNext w:val="0"/>
        <w:keepLines w:val="0"/>
        <w:pageBreakBefore w:val="0"/>
        <w:kinsoku/>
        <w:wordWrap/>
        <w:overflowPunct/>
        <w:topLinePunct w:val="0"/>
        <w:autoSpaceDE w:val="0"/>
        <w:autoSpaceDN/>
        <w:bidi w:val="0"/>
        <w:adjustRightInd w:val="0"/>
        <w:snapToGrid w:val="0"/>
        <w:spacing w:line="240" w:lineRule="auto"/>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（二）“三公”经费分项支出情况</w:t>
      </w:r>
    </w:p>
    <w:p>
      <w:pPr>
        <w:pStyle w:val="6"/>
        <w:keepNext w:val="0"/>
        <w:keepLines w:val="0"/>
        <w:pageBreakBefore w:val="0"/>
        <w:kinsoku/>
        <w:wordWrap/>
        <w:overflowPunct/>
        <w:topLinePunct w:val="0"/>
        <w:autoSpaceDN/>
        <w:bidi w:val="0"/>
        <w:adjustRightInd w:val="0"/>
        <w:snapToGrid w:val="0"/>
        <w:spacing w:before="0" w:beforeAutospacing="0" w:after="0" w:afterAutospacing="0" w:line="24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单位因公出国（境）费用0.00万元。费用支出较年初预算数无增减，主要原因是年初预算未安排因公出国（境）费用，也未发生因公出国（境）费用。较上年支出数无增减，主要原因是上年和本年均未发生因公出国（境）费用。</w:t>
      </w:r>
    </w:p>
    <w:p>
      <w:pPr>
        <w:keepNext w:val="0"/>
        <w:keepLines w:val="0"/>
        <w:pageBreakBefore w:val="0"/>
        <w:kinsoku/>
        <w:wordWrap/>
        <w:overflowPunct/>
        <w:topLinePunct w:val="0"/>
        <w:autoSpaceDN/>
        <w:bidi w:val="0"/>
        <w:adjustRightInd w:val="0"/>
        <w:snapToGrid w:val="0"/>
        <w:spacing w:line="240" w:lineRule="auto"/>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公务车购置费0.00万元。费用支出较年初预算数无增减，主要原因是年初预算未安排且本年未发生公务车购置费用。较上年支出数无增减，主要原因是上年和本年均未发生公务车购置费用。</w:t>
      </w:r>
    </w:p>
    <w:p>
      <w:pPr>
        <w:keepNext w:val="0"/>
        <w:keepLines w:val="0"/>
        <w:pageBreakBefore w:val="0"/>
        <w:kinsoku/>
        <w:wordWrap/>
        <w:overflowPunct/>
        <w:topLinePunct w:val="0"/>
        <w:autoSpaceDN/>
        <w:bidi w:val="0"/>
        <w:adjustRightInd w:val="0"/>
        <w:snapToGrid w:val="0"/>
        <w:spacing w:line="240" w:lineRule="auto"/>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公务车运行维护费0.00万元。费用支出较年初预算数无增减，主要原因是年初预算未安排且本年未发生公务车运行维护费用。较上年支出数无增减，主要原因是上年和本年均未发生公务车运行维护费用。</w:t>
      </w:r>
    </w:p>
    <w:p>
      <w:pPr>
        <w:pStyle w:val="6"/>
        <w:keepNext w:val="0"/>
        <w:keepLines w:val="0"/>
        <w:pageBreakBefore w:val="0"/>
        <w:kinsoku/>
        <w:wordWrap/>
        <w:overflowPunct/>
        <w:topLinePunct w:val="0"/>
        <w:autoSpaceDN/>
        <w:bidi w:val="0"/>
        <w:adjustRightInd w:val="0"/>
        <w:snapToGrid w:val="0"/>
        <w:spacing w:before="0" w:beforeAutospacing="0" w:after="0" w:afterAutospacing="0" w:line="24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w:t>
      </w:r>
      <w:r>
        <w:rPr>
          <w:rFonts w:hint="default" w:ascii="Times New Roman" w:hAnsi="Times New Roman" w:eastAsia="方正仿宋_GBK" w:cs="Times New Roman"/>
          <w:sz w:val="32"/>
          <w:szCs w:val="32"/>
        </w:rPr>
        <w:t>主要原因是年初预算未安排且本年未发生公务接待费用</w:t>
      </w:r>
      <w:r>
        <w:rPr>
          <w:rFonts w:hint="default" w:ascii="Times New Roman" w:hAnsi="Times New Roman" w:eastAsia="方正仿宋_GBK" w:cs="Times New Roman"/>
          <w:sz w:val="32"/>
          <w:szCs w:val="32"/>
          <w:shd w:val="clear" w:color="auto" w:fill="FFFFFF"/>
        </w:rPr>
        <w:t>。较上年支出数无增减，</w:t>
      </w:r>
      <w:r>
        <w:rPr>
          <w:rFonts w:hint="default" w:ascii="Times New Roman" w:hAnsi="Times New Roman" w:eastAsia="方正仿宋_GBK" w:cs="Times New Roman"/>
          <w:sz w:val="32"/>
          <w:szCs w:val="32"/>
        </w:rPr>
        <w:t>主要原因是上年和本年均未发生公务接待费用。</w:t>
      </w:r>
    </w:p>
    <w:p>
      <w:pPr>
        <w:pStyle w:val="11"/>
        <w:keepNext w:val="0"/>
        <w:keepLines w:val="0"/>
        <w:pageBreakBefore w:val="0"/>
        <w:kinsoku/>
        <w:wordWrap/>
        <w:overflowPunct/>
        <w:topLinePunct w:val="0"/>
        <w:autoSpaceDE w:val="0"/>
        <w:autoSpaceDN/>
        <w:bidi w:val="0"/>
        <w:adjustRightInd w:val="0"/>
        <w:snapToGrid w:val="0"/>
        <w:spacing w:line="240" w:lineRule="auto"/>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（三）“三公”经费实物量情况</w:t>
      </w:r>
    </w:p>
    <w:p>
      <w:pPr>
        <w:pStyle w:val="6"/>
        <w:keepNext w:val="0"/>
        <w:keepLines w:val="0"/>
        <w:pageBreakBefore w:val="0"/>
        <w:kinsoku/>
        <w:wordWrap/>
        <w:overflowPunct/>
        <w:topLinePunct w:val="0"/>
        <w:autoSpaceDN/>
        <w:bidi w:val="0"/>
        <w:adjustRightInd w:val="0"/>
        <w:snapToGrid w:val="0"/>
        <w:spacing w:before="0" w:beforeAutospacing="0" w:after="0" w:afterAutospacing="0" w:line="24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人。2024年本单位人均接待费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numPr>
          <w:ilvl w:val="0"/>
          <w:numId w:val="2"/>
        </w:numPr>
        <w:kinsoku/>
        <w:wordWrap/>
        <w:overflowPunct/>
        <w:topLinePunct w:val="0"/>
        <w:autoSpaceDN/>
        <w:bidi w:val="0"/>
        <w:adjustRightInd w:val="0"/>
        <w:snapToGrid w:val="0"/>
        <w:spacing w:before="0" w:beforeAutospacing="0" w:after="0" w:afterAutospacing="0" w:line="240" w:lineRule="auto"/>
        <w:ind w:firstLine="643" w:firstLineChars="200"/>
        <w:textAlignment w:val="auto"/>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其他需要说明的事项</w:t>
      </w:r>
    </w:p>
    <w:p>
      <w:pPr>
        <w:pStyle w:val="6"/>
        <w:keepNext w:val="0"/>
        <w:keepLines w:val="0"/>
        <w:pageBreakBefore w:val="0"/>
        <w:kinsoku/>
        <w:wordWrap/>
        <w:overflowPunct/>
        <w:topLinePunct w:val="0"/>
        <w:autoSpaceDN/>
        <w:bidi w:val="0"/>
        <w:adjustRightInd w:val="0"/>
        <w:snapToGrid w:val="0"/>
        <w:spacing w:before="0" w:beforeAutospacing="0" w:after="0" w:afterAutospacing="0" w:line="240" w:lineRule="auto"/>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（一）财政拨款会议费和培训费情况说明</w:t>
      </w:r>
    </w:p>
    <w:p>
      <w:pPr>
        <w:pStyle w:val="6"/>
        <w:keepNext w:val="0"/>
        <w:keepLines w:val="0"/>
        <w:pageBreakBefore w:val="0"/>
        <w:kinsoku/>
        <w:wordWrap/>
        <w:overflowPunct/>
        <w:topLinePunct w:val="0"/>
        <w:autoSpaceDN/>
        <w:bidi w:val="0"/>
        <w:adjustRightInd w:val="0"/>
        <w:snapToGrid w:val="0"/>
        <w:spacing w:before="0" w:beforeAutospacing="0" w:after="0" w:afterAutospacing="0" w:line="24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万元，与2023年度相比，无增减，主要原因是本年度未发生会议费支出。本年度培训费支出</w:t>
      </w:r>
      <w:r>
        <w:rPr>
          <w:rFonts w:hint="default" w:ascii="Times New Roman" w:hAnsi="Times New Roman" w:eastAsia="方正仿宋_GBK" w:cs="Times New Roman"/>
          <w:sz w:val="32"/>
          <w:szCs w:val="32"/>
        </w:rPr>
        <w:t>0.24</w:t>
      </w:r>
      <w:r>
        <w:rPr>
          <w:rFonts w:hint="default" w:ascii="Times New Roman" w:hAnsi="Times New Roman" w:eastAsia="方正仿宋_GBK" w:cs="Times New Roman"/>
          <w:sz w:val="32"/>
          <w:szCs w:val="32"/>
          <w:shd w:val="clear" w:color="auto" w:fill="FFFFFF"/>
        </w:rPr>
        <w:t>万元，与2023年度相比，增加0.24万元，增长100.0%，主要原因是事业人员继续教育培训费支出。</w:t>
      </w:r>
    </w:p>
    <w:p>
      <w:pPr>
        <w:pStyle w:val="11"/>
        <w:keepNext w:val="0"/>
        <w:keepLines w:val="0"/>
        <w:pageBreakBefore w:val="0"/>
        <w:kinsoku/>
        <w:wordWrap/>
        <w:overflowPunct/>
        <w:topLinePunct w:val="0"/>
        <w:autoSpaceDE w:val="0"/>
        <w:autoSpaceDN/>
        <w:bidi w:val="0"/>
        <w:adjustRightInd w:val="0"/>
        <w:snapToGrid w:val="0"/>
        <w:spacing w:line="240" w:lineRule="auto"/>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（二）机关运行经费情况说明</w:t>
      </w:r>
    </w:p>
    <w:p>
      <w:pPr>
        <w:pStyle w:val="11"/>
        <w:keepNext w:val="0"/>
        <w:keepLines w:val="0"/>
        <w:pageBreakBefore w:val="0"/>
        <w:kinsoku/>
        <w:wordWrap/>
        <w:overflowPunct/>
        <w:topLinePunct w:val="0"/>
        <w:autoSpaceDE w:val="0"/>
        <w:autoSpaceDN/>
        <w:bidi w:val="0"/>
        <w:adjustRightInd w:val="0"/>
        <w:snapToGrid w:val="0"/>
        <w:spacing w:line="240" w:lineRule="auto"/>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2024年度本单位机关运行经费支出0.00万元，机关运行经费较上年支出数无增减，主要原因是按照部门决算列报口径，我单位不在机关运行经费统计范围之内。</w:t>
      </w:r>
    </w:p>
    <w:p>
      <w:pPr>
        <w:pStyle w:val="11"/>
        <w:keepNext w:val="0"/>
        <w:keepLines w:val="0"/>
        <w:pageBreakBefore w:val="0"/>
        <w:numPr>
          <w:ilvl w:val="0"/>
          <w:numId w:val="3"/>
        </w:numPr>
        <w:kinsoku/>
        <w:wordWrap/>
        <w:overflowPunct/>
        <w:topLinePunct w:val="0"/>
        <w:autoSpaceDE w:val="0"/>
        <w:autoSpaceDN/>
        <w:bidi w:val="0"/>
        <w:adjustRightInd w:val="0"/>
        <w:snapToGrid w:val="0"/>
        <w:spacing w:line="240" w:lineRule="auto"/>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国有资产占用情况说明</w:t>
      </w:r>
    </w:p>
    <w:p>
      <w:pPr>
        <w:pStyle w:val="11"/>
        <w:keepNext w:val="0"/>
        <w:keepLines w:val="0"/>
        <w:pageBreakBefore w:val="0"/>
        <w:kinsoku/>
        <w:wordWrap/>
        <w:overflowPunct/>
        <w:topLinePunct w:val="0"/>
        <w:autoSpaceDE w:val="0"/>
        <w:autoSpaceDN/>
        <w:bidi w:val="0"/>
        <w:adjustRightInd w:val="0"/>
        <w:snapToGrid w:val="0"/>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w:t>
      </w:r>
      <w:r>
        <w:rPr>
          <w:rFonts w:hint="default" w:ascii="Times New Roman" w:hAnsi="Times New Roman" w:eastAsia="方正仿宋_GBK" w:cs="Times New Roman"/>
          <w:sz w:val="32"/>
          <w:szCs w:val="32"/>
          <w:shd w:val="clear" w:color="auto" w:fill="FFFFFF"/>
        </w:rPr>
        <w:t>2024年</w:t>
      </w:r>
      <w:r>
        <w:rPr>
          <w:rFonts w:hint="default" w:ascii="Times New Roman" w:hAnsi="Times New Roman" w:eastAsia="方正仿宋_GBK" w:cs="Times New Roman"/>
          <w:sz w:val="32"/>
          <w:szCs w:val="32"/>
          <w:shd w:val="clear" w:color="auto" w:fill="FFFFFF"/>
        </w:rPr>
        <w:t>12月31日，本单位共有车辆</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pPr>
        <w:pStyle w:val="11"/>
        <w:keepNext w:val="0"/>
        <w:keepLines w:val="0"/>
        <w:pageBreakBefore w:val="0"/>
        <w:kinsoku/>
        <w:wordWrap/>
        <w:overflowPunct/>
        <w:topLinePunct w:val="0"/>
        <w:autoSpaceDE w:val="0"/>
        <w:autoSpaceDN/>
        <w:bidi w:val="0"/>
        <w:adjustRightInd w:val="0"/>
        <w:snapToGrid w:val="0"/>
        <w:spacing w:line="240" w:lineRule="auto"/>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（四）政府采购支出情况说明</w:t>
      </w:r>
    </w:p>
    <w:p>
      <w:pPr>
        <w:pStyle w:val="6"/>
        <w:keepNext w:val="0"/>
        <w:keepLines w:val="0"/>
        <w:pageBreakBefore w:val="0"/>
        <w:kinsoku/>
        <w:wordWrap/>
        <w:overflowPunct/>
        <w:topLinePunct w:val="0"/>
        <w:autoSpaceDN/>
        <w:bidi w:val="0"/>
        <w:adjustRightInd w:val="0"/>
        <w:snapToGrid w:val="0"/>
        <w:spacing w:before="0" w:beforeAutospacing="0" w:after="0" w:afterAutospacing="0" w:line="240" w:lineRule="auto"/>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2024年度本单位政府采购支出总额</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0.00万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 xml:space="preserve"> %。2024年度我单位未发生政府采购事项，无相关经费支出。</w:t>
      </w:r>
    </w:p>
    <w:p>
      <w:pPr>
        <w:pStyle w:val="6"/>
        <w:keepNext w:val="0"/>
        <w:keepLines w:val="0"/>
        <w:pageBreakBefore w:val="0"/>
        <w:kinsoku/>
        <w:wordWrap/>
        <w:overflowPunct/>
        <w:topLinePunct w:val="0"/>
        <w:autoSpaceDN/>
        <w:bidi w:val="0"/>
        <w:adjustRightInd w:val="0"/>
        <w:snapToGrid w:val="0"/>
        <w:spacing w:before="0" w:beforeAutospacing="0" w:after="0" w:afterAutospacing="0" w:line="240" w:lineRule="auto"/>
        <w:ind w:firstLine="643" w:firstLineChars="200"/>
        <w:textAlignment w:val="auto"/>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五、2024年度预算绩效管理情况说明</w:t>
      </w:r>
    </w:p>
    <w:p>
      <w:pPr>
        <w:pStyle w:val="11"/>
        <w:keepNext w:val="0"/>
        <w:keepLines w:val="0"/>
        <w:pageBreakBefore w:val="0"/>
        <w:kinsoku/>
        <w:wordWrap/>
        <w:overflowPunct/>
        <w:topLinePunct w:val="0"/>
        <w:autoSpaceDE w:val="0"/>
        <w:autoSpaceDN/>
        <w:bidi w:val="0"/>
        <w:adjustRightInd w:val="0"/>
        <w:snapToGrid w:val="0"/>
        <w:spacing w:line="240" w:lineRule="auto"/>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（一）单位自评情况</w:t>
      </w:r>
    </w:p>
    <w:p>
      <w:pPr>
        <w:pStyle w:val="12"/>
        <w:keepNext w:val="0"/>
        <w:keepLines w:val="0"/>
        <w:pageBreakBefore w:val="0"/>
        <w:kinsoku/>
        <w:wordWrap/>
        <w:overflowPunct/>
        <w:topLinePunct w:val="0"/>
        <w:autoSpaceDE w:val="0"/>
        <w:autoSpaceDN/>
        <w:bidi w:val="0"/>
        <w:adjustRightInd w:val="0"/>
        <w:snapToGrid w:val="0"/>
        <w:spacing w:before="0" w:beforeAutospacing="0" w:after="0" w:afterAutospacing="0" w:line="240" w:lineRule="auto"/>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根据预算绩效管理要求，我单位202</w:t>
      </w:r>
      <w:r>
        <w:rPr>
          <w:rFonts w:hint="default" w:ascii="Times New Roman" w:hAnsi="Times New Roman" w:eastAsia="方正仿宋_GBK" w:cs="Times New Roman"/>
          <w:sz w:val="32"/>
          <w:szCs w:val="32"/>
          <w:shd w:val="clear" w:color="auto" w:fill="FFFFFF"/>
        </w:rPr>
        <w:t>4</w:t>
      </w:r>
      <w:r>
        <w:rPr>
          <w:rFonts w:hint="default" w:ascii="Times New Roman" w:hAnsi="Times New Roman" w:eastAsia="方正仿宋_GBK" w:cs="Times New Roman"/>
          <w:sz w:val="32"/>
          <w:szCs w:val="32"/>
          <w:shd w:val="clear" w:color="auto" w:fill="FFFFFF"/>
        </w:rPr>
        <w:t>年未开展项目自评，涉及项目支出资金0万元。</w:t>
      </w:r>
    </w:p>
    <w:p>
      <w:pPr>
        <w:pStyle w:val="11"/>
        <w:keepNext w:val="0"/>
        <w:keepLines w:val="0"/>
        <w:pageBreakBefore w:val="0"/>
        <w:kinsoku/>
        <w:wordWrap/>
        <w:overflowPunct/>
        <w:topLinePunct w:val="0"/>
        <w:autoSpaceDE w:val="0"/>
        <w:autoSpaceDN/>
        <w:bidi w:val="0"/>
        <w:adjustRightInd w:val="0"/>
        <w:snapToGrid w:val="0"/>
        <w:spacing w:line="240" w:lineRule="auto"/>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（二）单位绩效评价情况</w:t>
      </w:r>
    </w:p>
    <w:p>
      <w:pPr>
        <w:pStyle w:val="11"/>
        <w:keepNext w:val="0"/>
        <w:keepLines w:val="0"/>
        <w:pageBreakBefore w:val="0"/>
        <w:kinsoku/>
        <w:wordWrap/>
        <w:overflowPunct/>
        <w:topLinePunct w:val="0"/>
        <w:autoSpaceDE w:val="0"/>
        <w:autoSpaceDN/>
        <w:bidi w:val="0"/>
        <w:adjustRightInd w:val="0"/>
        <w:snapToGrid w:val="0"/>
        <w:spacing w:line="240" w:lineRule="auto"/>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我单位未组织开展绩效评价。</w:t>
      </w:r>
    </w:p>
    <w:p>
      <w:pPr>
        <w:pStyle w:val="11"/>
        <w:keepNext w:val="0"/>
        <w:keepLines w:val="0"/>
        <w:pageBreakBefore w:val="0"/>
        <w:kinsoku/>
        <w:wordWrap/>
        <w:overflowPunct/>
        <w:topLinePunct w:val="0"/>
        <w:autoSpaceDE w:val="0"/>
        <w:autoSpaceDN/>
        <w:bidi w:val="0"/>
        <w:adjustRightInd w:val="0"/>
        <w:snapToGrid w:val="0"/>
        <w:spacing w:line="240" w:lineRule="auto"/>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（三）财政绩效评价情况</w:t>
      </w:r>
    </w:p>
    <w:p>
      <w:pPr>
        <w:pStyle w:val="11"/>
        <w:keepNext w:val="0"/>
        <w:keepLines w:val="0"/>
        <w:pageBreakBefore w:val="0"/>
        <w:kinsoku/>
        <w:wordWrap/>
        <w:overflowPunct/>
        <w:topLinePunct w:val="0"/>
        <w:autoSpaceDE w:val="0"/>
        <w:autoSpaceDN/>
        <w:bidi w:val="0"/>
        <w:adjustRightInd w:val="0"/>
        <w:snapToGrid w:val="0"/>
        <w:spacing w:line="240" w:lineRule="auto"/>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县财政局未委托第三方对我单位开展绩效评价。</w:t>
      </w:r>
    </w:p>
    <w:p>
      <w:pPr>
        <w:pStyle w:val="6"/>
        <w:keepNext w:val="0"/>
        <w:keepLines w:val="0"/>
        <w:pageBreakBefore w:val="0"/>
        <w:kinsoku/>
        <w:wordWrap/>
        <w:overflowPunct/>
        <w:topLinePunct w:val="0"/>
        <w:autoSpaceDN/>
        <w:bidi w:val="0"/>
        <w:adjustRightInd w:val="0"/>
        <w:snapToGrid w:val="0"/>
        <w:spacing w:before="0" w:beforeAutospacing="0" w:after="0" w:afterAutospacing="0" w:line="240" w:lineRule="auto"/>
        <w:ind w:firstLine="643" w:firstLineChars="200"/>
        <w:textAlignment w:val="auto"/>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  六、专业名词解释</w:t>
      </w:r>
    </w:p>
    <w:p>
      <w:pPr>
        <w:pStyle w:val="6"/>
        <w:keepNext w:val="0"/>
        <w:keepLines w:val="0"/>
        <w:pageBreakBefore w:val="0"/>
        <w:kinsoku/>
        <w:wordWrap/>
        <w:overflowPunct/>
        <w:topLinePunct w:val="0"/>
        <w:autoSpaceDN/>
        <w:bidi w:val="0"/>
        <w:adjustRightInd w:val="0"/>
        <w:snapToGrid w:val="0"/>
        <w:spacing w:before="0" w:beforeAutospacing="0" w:after="0" w:afterAutospacing="0" w:line="240" w:lineRule="auto"/>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shd w:val="clear" w:color="auto" w:fill="FFFFFF"/>
        </w:rPr>
        <w:t> </w:t>
      </w:r>
      <w:r>
        <w:rPr>
          <w:rFonts w:hint="default" w:ascii="Times New Roman" w:hAnsi="Times New Roman" w:eastAsia="楷体" w:cs="Times New Roman"/>
          <w:b/>
          <w:bCs/>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pPr>
        <w:pStyle w:val="6"/>
        <w:keepNext w:val="0"/>
        <w:keepLines w:val="0"/>
        <w:pageBreakBefore w:val="0"/>
        <w:kinsoku/>
        <w:wordWrap/>
        <w:overflowPunct/>
        <w:topLinePunct w:val="0"/>
        <w:autoSpaceDN/>
        <w:bidi w:val="0"/>
        <w:adjustRightInd w:val="0"/>
        <w:snapToGrid w:val="0"/>
        <w:spacing w:before="0" w:beforeAutospacing="0" w:after="0" w:afterAutospacing="0" w:line="240" w:lineRule="auto"/>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（二）事业收入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pPr>
        <w:pStyle w:val="6"/>
        <w:keepNext w:val="0"/>
        <w:keepLines w:val="0"/>
        <w:pageBreakBefore w:val="0"/>
        <w:kinsoku/>
        <w:wordWrap/>
        <w:overflowPunct/>
        <w:topLinePunct w:val="0"/>
        <w:autoSpaceDN/>
        <w:bidi w:val="0"/>
        <w:adjustRightInd w:val="0"/>
        <w:snapToGrid w:val="0"/>
        <w:spacing w:before="0" w:beforeAutospacing="0" w:after="0" w:afterAutospacing="0" w:line="240" w:lineRule="auto"/>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（三）经营收入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pPr>
        <w:pStyle w:val="6"/>
        <w:keepNext w:val="0"/>
        <w:keepLines w:val="0"/>
        <w:pageBreakBefore w:val="0"/>
        <w:kinsoku/>
        <w:wordWrap/>
        <w:overflowPunct/>
        <w:topLinePunct w:val="0"/>
        <w:autoSpaceDN/>
        <w:bidi w:val="0"/>
        <w:adjustRightInd w:val="0"/>
        <w:snapToGrid w:val="0"/>
        <w:spacing w:before="0" w:beforeAutospacing="0" w:after="0" w:afterAutospacing="0" w:line="240" w:lineRule="auto"/>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（四）其他收入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keepNext w:val="0"/>
        <w:keepLines w:val="0"/>
        <w:pageBreakBefore w:val="0"/>
        <w:kinsoku/>
        <w:wordWrap/>
        <w:overflowPunct/>
        <w:topLinePunct w:val="0"/>
        <w:autoSpaceDN/>
        <w:bidi w:val="0"/>
        <w:adjustRightInd w:val="0"/>
        <w:snapToGrid w:val="0"/>
        <w:spacing w:before="0" w:beforeAutospacing="0" w:after="0" w:afterAutospacing="0" w:line="240" w:lineRule="auto"/>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（五）使用非财政拨款结余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keepNext w:val="0"/>
        <w:keepLines w:val="0"/>
        <w:pageBreakBefore w:val="0"/>
        <w:kinsoku/>
        <w:wordWrap/>
        <w:overflowPunct/>
        <w:topLinePunct w:val="0"/>
        <w:autoSpaceDN/>
        <w:bidi w:val="0"/>
        <w:adjustRightInd w:val="0"/>
        <w:snapToGrid w:val="0"/>
        <w:spacing w:before="0" w:beforeAutospacing="0" w:after="0" w:afterAutospacing="0" w:line="240" w:lineRule="auto"/>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（六）年初结转和结余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pPr>
        <w:pStyle w:val="6"/>
        <w:keepNext w:val="0"/>
        <w:keepLines w:val="0"/>
        <w:pageBreakBefore w:val="0"/>
        <w:kinsoku/>
        <w:wordWrap/>
        <w:overflowPunct/>
        <w:topLinePunct w:val="0"/>
        <w:autoSpaceDN/>
        <w:bidi w:val="0"/>
        <w:adjustRightInd w:val="0"/>
        <w:snapToGrid w:val="0"/>
        <w:spacing w:before="0" w:beforeAutospacing="0" w:after="0" w:afterAutospacing="0" w:line="240" w:lineRule="auto"/>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（七）结余分配</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pPr>
        <w:pStyle w:val="6"/>
        <w:keepNext w:val="0"/>
        <w:keepLines w:val="0"/>
        <w:pageBreakBefore w:val="0"/>
        <w:kinsoku/>
        <w:wordWrap/>
        <w:overflowPunct/>
        <w:topLinePunct w:val="0"/>
        <w:autoSpaceDN/>
        <w:bidi w:val="0"/>
        <w:adjustRightInd w:val="0"/>
        <w:snapToGrid w:val="0"/>
        <w:spacing w:before="0" w:beforeAutospacing="0" w:after="0" w:afterAutospacing="0" w:line="240" w:lineRule="auto"/>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（八）年末结转和结余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pPr>
        <w:pStyle w:val="6"/>
        <w:keepNext w:val="0"/>
        <w:keepLines w:val="0"/>
        <w:pageBreakBefore w:val="0"/>
        <w:kinsoku/>
        <w:wordWrap/>
        <w:overflowPunct/>
        <w:topLinePunct w:val="0"/>
        <w:autoSpaceDN/>
        <w:bidi w:val="0"/>
        <w:adjustRightInd w:val="0"/>
        <w:snapToGrid w:val="0"/>
        <w:spacing w:before="0" w:beforeAutospacing="0" w:after="0" w:afterAutospacing="0" w:line="240" w:lineRule="auto"/>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（九）基本支出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keepNext w:val="0"/>
        <w:keepLines w:val="0"/>
        <w:pageBreakBefore w:val="0"/>
        <w:kinsoku/>
        <w:wordWrap/>
        <w:overflowPunct/>
        <w:topLinePunct w:val="0"/>
        <w:autoSpaceDN/>
        <w:bidi w:val="0"/>
        <w:adjustRightInd w:val="0"/>
        <w:snapToGrid w:val="0"/>
        <w:spacing w:before="0" w:beforeAutospacing="0" w:after="0" w:afterAutospacing="0" w:line="240" w:lineRule="auto"/>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（十）项目支出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pPr>
        <w:pStyle w:val="6"/>
        <w:keepNext w:val="0"/>
        <w:keepLines w:val="0"/>
        <w:pageBreakBefore w:val="0"/>
        <w:kinsoku/>
        <w:wordWrap/>
        <w:overflowPunct/>
        <w:topLinePunct w:val="0"/>
        <w:autoSpaceDN/>
        <w:bidi w:val="0"/>
        <w:adjustRightInd w:val="0"/>
        <w:snapToGrid w:val="0"/>
        <w:spacing w:before="0" w:beforeAutospacing="0" w:after="0" w:afterAutospacing="0" w:line="240" w:lineRule="auto"/>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（十一）经营支出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pPr>
        <w:pStyle w:val="6"/>
        <w:keepNext w:val="0"/>
        <w:keepLines w:val="0"/>
        <w:pageBreakBefore w:val="0"/>
        <w:kinsoku/>
        <w:wordWrap/>
        <w:overflowPunct/>
        <w:topLinePunct w:val="0"/>
        <w:autoSpaceDN/>
        <w:bidi w:val="0"/>
        <w:adjustRightInd w:val="0"/>
        <w:snapToGrid w:val="0"/>
        <w:spacing w:before="0" w:beforeAutospacing="0" w:after="0" w:afterAutospacing="0" w:line="240" w:lineRule="auto"/>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（十二）“三公”经费</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keepNext w:val="0"/>
        <w:keepLines w:val="0"/>
        <w:pageBreakBefore w:val="0"/>
        <w:kinsoku/>
        <w:wordWrap/>
        <w:overflowPunct/>
        <w:topLinePunct w:val="0"/>
        <w:autoSpaceDN/>
        <w:bidi w:val="0"/>
        <w:adjustRightInd w:val="0"/>
        <w:snapToGrid w:val="0"/>
        <w:spacing w:before="0" w:beforeAutospacing="0" w:after="0" w:afterAutospacing="0" w:line="240" w:lineRule="auto"/>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（十三）机关运行经费</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keepNext w:val="0"/>
        <w:keepLines w:val="0"/>
        <w:pageBreakBefore w:val="0"/>
        <w:kinsoku/>
        <w:wordWrap/>
        <w:overflowPunct/>
        <w:topLinePunct w:val="0"/>
        <w:autoSpaceDN/>
        <w:bidi w:val="0"/>
        <w:adjustRightInd w:val="0"/>
        <w:snapToGrid w:val="0"/>
        <w:spacing w:before="0" w:beforeAutospacing="0" w:after="0" w:afterAutospacing="0" w:line="240" w:lineRule="auto"/>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（十四）工资福利支出（支出经济分类科目类级）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pPr>
        <w:pStyle w:val="6"/>
        <w:keepNext w:val="0"/>
        <w:keepLines w:val="0"/>
        <w:pageBreakBefore w:val="0"/>
        <w:kinsoku/>
        <w:wordWrap/>
        <w:overflowPunct/>
        <w:topLinePunct w:val="0"/>
        <w:autoSpaceDN/>
        <w:bidi w:val="0"/>
        <w:adjustRightInd w:val="0"/>
        <w:snapToGrid w:val="0"/>
        <w:spacing w:before="0" w:beforeAutospacing="0" w:after="0" w:afterAutospacing="0" w:line="240" w:lineRule="auto"/>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（十五）商品和服务支出（支出经济分类科目类级）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pPr>
        <w:pStyle w:val="6"/>
        <w:keepNext w:val="0"/>
        <w:keepLines w:val="0"/>
        <w:pageBreakBefore w:val="0"/>
        <w:kinsoku/>
        <w:wordWrap/>
        <w:overflowPunct/>
        <w:topLinePunct w:val="0"/>
        <w:autoSpaceDN/>
        <w:bidi w:val="0"/>
        <w:adjustRightInd w:val="0"/>
        <w:snapToGrid w:val="0"/>
        <w:spacing w:before="0" w:beforeAutospacing="0" w:after="0" w:afterAutospacing="0" w:line="240" w:lineRule="auto"/>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（十六）对个人和家庭的补助（支出经济分类科目类级）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反映用于对个人和家庭的补助支出。</w:t>
      </w:r>
    </w:p>
    <w:p>
      <w:pPr>
        <w:pStyle w:val="6"/>
        <w:keepNext w:val="0"/>
        <w:keepLines w:val="0"/>
        <w:pageBreakBefore w:val="0"/>
        <w:kinsoku/>
        <w:wordWrap/>
        <w:overflowPunct/>
        <w:topLinePunct w:val="0"/>
        <w:autoSpaceDN/>
        <w:bidi w:val="0"/>
        <w:adjustRightInd w:val="0"/>
        <w:snapToGrid w:val="0"/>
        <w:spacing w:before="0" w:beforeAutospacing="0" w:after="0" w:afterAutospacing="0" w:line="240" w:lineRule="auto"/>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（十七）其他资本性支出（支出经济分类科目类级）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keepNext w:val="0"/>
        <w:keepLines w:val="0"/>
        <w:pageBreakBefore w:val="0"/>
        <w:kinsoku/>
        <w:wordWrap/>
        <w:overflowPunct/>
        <w:topLinePunct w:val="0"/>
        <w:autoSpaceDN/>
        <w:bidi w:val="0"/>
        <w:adjustRightInd w:val="0"/>
        <w:snapToGrid w:val="0"/>
        <w:spacing w:before="0" w:beforeAutospacing="0" w:after="0" w:afterAutospacing="0" w:line="240" w:lineRule="auto"/>
        <w:ind w:firstLine="643" w:firstLineChars="200"/>
        <w:textAlignment w:val="auto"/>
        <w:rPr>
          <w:rStyle w:val="10"/>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七、决算公开联系方式及信息反馈渠道</w:t>
      </w:r>
    </w:p>
    <w:p>
      <w:pPr>
        <w:pStyle w:val="11"/>
        <w:keepNext w:val="0"/>
        <w:keepLines w:val="0"/>
        <w:pageBreakBefore w:val="0"/>
        <w:kinsoku/>
        <w:wordWrap/>
        <w:overflowPunct/>
        <w:topLinePunct w:val="0"/>
        <w:autoSpaceDE w:val="0"/>
        <w:autoSpaceDN/>
        <w:bidi w:val="0"/>
        <w:adjustRightInd w:val="0"/>
        <w:snapToGrid w:val="0"/>
        <w:spacing w:line="240" w:lineRule="auto"/>
        <w:ind w:firstLine="640" w:firstLineChars="200"/>
        <w:textAlignment w:val="auto"/>
        <w:rPr>
          <w:rStyle w:val="10"/>
          <w:rFonts w:hint="default" w:ascii="Times New Roman" w:hAnsi="Times New Roman" w:eastAsia="方正仿宋_GBK" w:cs="Times New Roman"/>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default" w:ascii="Times New Roman" w:hAnsi="Times New Roman" w:eastAsia="方正仿宋_GBK" w:cs="Times New Roman"/>
          <w:sz w:val="32"/>
          <w:szCs w:val="32"/>
          <w:shd w:val="clear" w:color="auto" w:fill="FFFFFF"/>
        </w:rPr>
        <w:t>本单位决算公开信息反馈和联系方式：</w:t>
      </w:r>
      <w:r>
        <w:rPr>
          <w:rFonts w:hint="default" w:ascii="Times New Roman" w:hAnsi="Times New Roman" w:eastAsia="方正仿宋_GBK" w:cs="Times New Roman"/>
          <w:sz w:val="32"/>
          <w:szCs w:val="32"/>
          <w:shd w:val="clear" w:color="auto" w:fill="FFFFFF"/>
        </w:rPr>
        <w:t>罗老师，023-74668513。</w:t>
      </w:r>
    </w:p>
    <w:tbl>
      <w:tblPr>
        <w:tblStyle w:val="7"/>
        <w:tblpPr w:leftFromText="180" w:rightFromText="180" w:vertAnchor="text" w:horzAnchor="page" w:tblpX="1058" w:tblpY="22"/>
        <w:tblOverlap w:val="never"/>
        <w:tblW w:w="14791" w:type="dxa"/>
        <w:tblInd w:w="0" w:type="dxa"/>
        <w:tblLayout w:type="fixed"/>
        <w:tblCellMar>
          <w:top w:w="0" w:type="dxa"/>
          <w:left w:w="0" w:type="dxa"/>
          <w:bottom w:w="0" w:type="dxa"/>
          <w:right w:w="0" w:type="dxa"/>
        </w:tblCellMar>
      </w:tblPr>
      <w:tblGrid>
        <w:gridCol w:w="4309"/>
        <w:gridCol w:w="3571"/>
        <w:gridCol w:w="4059"/>
        <w:gridCol w:w="2852"/>
      </w:tblGrid>
      <w:tr>
        <w:tblPrEx>
          <w:tblCellMar>
            <w:top w:w="0" w:type="dxa"/>
            <w:left w:w="0" w:type="dxa"/>
            <w:bottom w:w="0" w:type="dxa"/>
            <w:right w:w="0" w:type="dxa"/>
          </w:tblCellMar>
        </w:tblPrEx>
        <w:trPr>
          <w:trHeight w:val="232" w:hRule="atLeast"/>
        </w:trPr>
        <w:tc>
          <w:tcPr>
            <w:tcW w:w="14791"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tblPrEx>
          <w:tblCellMar>
            <w:top w:w="0" w:type="dxa"/>
            <w:left w:w="0" w:type="dxa"/>
            <w:bottom w:w="0" w:type="dxa"/>
            <w:right w:w="0" w:type="dxa"/>
          </w:tblCellMar>
        </w:tblPrEx>
        <w:trPr>
          <w:trHeight w:val="232" w:hRule="atLeast"/>
        </w:trPr>
        <w:tc>
          <w:tcPr>
            <w:tcW w:w="430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20"/>
                <w:szCs w:val="20"/>
              </w:rPr>
            </w:pPr>
          </w:p>
        </w:tc>
        <w:tc>
          <w:tcPr>
            <w:tcW w:w="3571"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Times New Roman" w:hAnsi="Times New Roman" w:cs="Times New Roman"/>
                <w:color w:val="000000"/>
                <w:sz w:val="20"/>
                <w:szCs w:val="20"/>
              </w:rPr>
            </w:pP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20"/>
                <w:szCs w:val="20"/>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01</w:t>
            </w:r>
            <w:r>
              <w:rPr>
                <w:rFonts w:hint="default" w:ascii="Times New Roman" w:hAnsi="Times New Roman" w:cs="Times New Roman"/>
                <w:color w:val="000000"/>
                <w:sz w:val="20"/>
                <w:szCs w:val="20"/>
              </w:rPr>
              <w:t>表</w:t>
            </w:r>
          </w:p>
        </w:tc>
      </w:tr>
      <w:tr>
        <w:tblPrEx>
          <w:tblCellMar>
            <w:top w:w="0" w:type="dxa"/>
            <w:left w:w="0" w:type="dxa"/>
            <w:bottom w:w="0" w:type="dxa"/>
            <w:right w:w="0" w:type="dxa"/>
          </w:tblCellMar>
        </w:tblPrEx>
        <w:trPr>
          <w:trHeight w:val="232" w:hRule="atLeast"/>
        </w:trPr>
        <w:tc>
          <w:tcPr>
            <w:tcW w:w="7880" w:type="dxa"/>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000000"/>
                <w:sz w:val="22"/>
                <w:szCs w:val="22"/>
              </w:rPr>
            </w:pPr>
            <w:r>
              <w:rPr>
                <w:rFonts w:hint="default" w:ascii="Times New Roman" w:hAnsi="Times New Roman" w:cs="Times New Roman"/>
                <w:sz w:val="20"/>
                <w:szCs w:val="20"/>
              </w:rPr>
              <w:t>单位：</w:t>
            </w:r>
            <w:r>
              <w:rPr>
                <w:rFonts w:hint="default" w:ascii="Times New Roman" w:hAnsi="Times New Roman" w:cs="Times New Roman"/>
                <w:sz w:val="20"/>
              </w:rPr>
              <w:t>垫江县殡葬事业服务中心</w:t>
            </w: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22"/>
                <w:szCs w:val="22"/>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243" w:hRule="atLeast"/>
        </w:trPr>
        <w:tc>
          <w:tcPr>
            <w:tcW w:w="78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691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127.15</w:t>
            </w:r>
            <w:r>
              <w:rPr>
                <w:rFonts w:hint="default" w:ascii="Times New Roman" w:hAnsi="Times New Roman" w:cs="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3571"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114.00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5.25</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90"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7.89</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ascii="Times New Roman" w:hAnsi="Times New Roman" w:cs="Times New Roman"/>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127.15</w:t>
            </w:r>
            <w:r>
              <w:rPr>
                <w:rFonts w:hint="default" w:ascii="Times New Roman" w:hAnsi="Times New Roman" w:cs="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127.15</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使用非财政拨款结余和专用结余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285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5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127.15</w:t>
            </w:r>
            <w:r>
              <w:rPr>
                <w:rFonts w:hint="default" w:ascii="Times New Roman" w:hAnsi="Times New Roman" w:cs="Times New Roman"/>
                <w:color w:val="000000"/>
                <w:sz w:val="20"/>
              </w:rPr>
              <w:t xml:space="preserve"> </w:t>
            </w:r>
          </w:p>
        </w:tc>
        <w:tc>
          <w:tcPr>
            <w:tcW w:w="4059"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127.15</w:t>
            </w:r>
            <w:r>
              <w:rPr>
                <w:rFonts w:hint="default" w:ascii="Times New Roman" w:hAnsi="Times New Roman" w:cs="Times New Roman"/>
                <w:color w:val="000000"/>
                <w:sz w:val="20"/>
              </w:rPr>
              <w:t xml:space="preserve"> </w:t>
            </w:r>
          </w:p>
        </w:tc>
      </w:tr>
    </w:tbl>
    <w:p>
      <w:pPr>
        <w:rPr>
          <w:rFonts w:hint="default" w:ascii="Times New Roman" w:hAnsi="Times New Roman" w:cs="Times New Roman"/>
          <w:sz w:val="21"/>
          <w:szCs w:val="21"/>
        </w:rPr>
      </w:pPr>
    </w:p>
    <w:p>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7"/>
        <w:tblW w:w="15559" w:type="dxa"/>
        <w:tblInd w:w="0" w:type="dxa"/>
        <w:tblLayout w:type="fixed"/>
        <w:tblCellMar>
          <w:top w:w="0" w:type="dxa"/>
          <w:left w:w="0" w:type="dxa"/>
          <w:bottom w:w="0" w:type="dxa"/>
          <w:right w:w="0" w:type="dxa"/>
        </w:tblCellMar>
      </w:tblPr>
      <w:tblGrid>
        <w:gridCol w:w="1434"/>
        <w:gridCol w:w="2928"/>
        <w:gridCol w:w="1587"/>
        <w:gridCol w:w="1453"/>
        <w:gridCol w:w="1260"/>
        <w:gridCol w:w="1441"/>
        <w:gridCol w:w="1466"/>
        <w:gridCol w:w="1298"/>
        <w:gridCol w:w="1354"/>
        <w:gridCol w:w="1338"/>
      </w:tblGrid>
      <w:tr>
        <w:tblPrEx>
          <w:tblCellMar>
            <w:top w:w="0" w:type="dxa"/>
            <w:left w:w="0" w:type="dxa"/>
            <w:bottom w:w="0" w:type="dxa"/>
            <w:right w:w="0" w:type="dxa"/>
          </w:tblCellMar>
        </w:tblPrEx>
        <w:trPr>
          <w:trHeight w:val="641" w:hRule="atLeast"/>
        </w:trPr>
        <w:tc>
          <w:tcPr>
            <w:tcW w:w="15559"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tblPrEx>
          <w:tblCellMar>
            <w:top w:w="0" w:type="dxa"/>
            <w:left w:w="0" w:type="dxa"/>
            <w:bottom w:w="0" w:type="dxa"/>
            <w:right w:w="0" w:type="dxa"/>
          </w:tblCellMar>
        </w:tblPrEx>
        <w:trPr>
          <w:trHeight w:val="328" w:hRule="atLeast"/>
        </w:trPr>
        <w:tc>
          <w:tcPr>
            <w:tcW w:w="5949"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sz w:val="20"/>
              </w:rPr>
              <w:t>垫江县殡葬事业服务中心</w:t>
            </w:r>
          </w:p>
        </w:tc>
        <w:tc>
          <w:tcPr>
            <w:tcW w:w="1453"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260"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44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466"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298"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354"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33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02</w:t>
            </w:r>
            <w:r>
              <w:rPr>
                <w:rFonts w:hint="default" w:ascii="Times New Roman" w:hAnsi="Times New Roman" w:cs="Times New Roman"/>
                <w:color w:val="000000"/>
                <w:sz w:val="20"/>
                <w:szCs w:val="20"/>
              </w:rPr>
              <w:t>表</w:t>
            </w:r>
          </w:p>
        </w:tc>
      </w:tr>
      <w:tr>
        <w:tblPrEx>
          <w:tblCellMar>
            <w:top w:w="0" w:type="dxa"/>
            <w:left w:w="0" w:type="dxa"/>
            <w:bottom w:w="0" w:type="dxa"/>
            <w:right w:w="0" w:type="dxa"/>
          </w:tblCellMar>
        </w:tblPrEx>
        <w:trPr>
          <w:trHeight w:val="328" w:hRule="atLeast"/>
        </w:trPr>
        <w:tc>
          <w:tcPr>
            <w:tcW w:w="5949"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453"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260"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44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466"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298"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354"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33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431" w:hRule="atLeast"/>
        </w:trPr>
        <w:tc>
          <w:tcPr>
            <w:tcW w:w="4362"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5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14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29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129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135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13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tblPrEx>
          <w:tblCellMar>
            <w:top w:w="0" w:type="dxa"/>
            <w:left w:w="0" w:type="dxa"/>
            <w:bottom w:w="0" w:type="dxa"/>
            <w:right w:w="0" w:type="dxa"/>
          </w:tblCellMar>
        </w:tblPrEx>
        <w:trPr>
          <w:trHeight w:val="334" w:hRule="atLeast"/>
        </w:trPr>
        <w:tc>
          <w:tcPr>
            <w:tcW w:w="1434"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2928"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14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4" w:hRule="atLeast"/>
        </w:trPr>
        <w:tc>
          <w:tcPr>
            <w:tcW w:w="143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292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4" w:hRule="atLeast"/>
        </w:trPr>
        <w:tc>
          <w:tcPr>
            <w:tcW w:w="143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292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4" w:hRule="atLeast"/>
        </w:trPr>
        <w:tc>
          <w:tcPr>
            <w:tcW w:w="143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292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8" w:hRule="atLeast"/>
        </w:trPr>
        <w:tc>
          <w:tcPr>
            <w:tcW w:w="436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5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127.15</w:t>
            </w:r>
            <w:r>
              <w:rPr>
                <w:rFonts w:hint="default" w:ascii="Times New Roman" w:hAnsi="Times New Roman" w:cs="Times New Roman"/>
                <w:b/>
                <w:color w:val="000000"/>
                <w:sz w:val="20"/>
              </w:rPr>
              <w:t xml:space="preserve"> </w:t>
            </w:r>
          </w:p>
        </w:tc>
        <w:tc>
          <w:tcPr>
            <w:tcW w:w="14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127.15</w:t>
            </w:r>
            <w:r>
              <w:rPr>
                <w:rFonts w:hint="default" w:ascii="Times New Roman" w:hAnsi="Times New Roman" w:cs="Times New Roman"/>
                <w:b/>
                <w:color w:val="000000"/>
                <w:sz w:val="20"/>
              </w:rPr>
              <w:t xml:space="preserve"> </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4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4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2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3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3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114.00</w:t>
            </w:r>
            <w:r>
              <w:rPr>
                <w:rFonts w:hint="default" w:ascii="Times New Roman" w:hAnsi="Times New Roman" w:cs="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114.00</w:t>
            </w:r>
            <w:r>
              <w:rPr>
                <w:rFonts w:hint="default" w:ascii="Times New Roman" w:hAnsi="Times New Roman" w:cs="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25.66</w:t>
            </w:r>
            <w:r>
              <w:rPr>
                <w:rFonts w:hint="default" w:ascii="Times New Roman" w:hAnsi="Times New Roman" w:cs="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25.66</w:t>
            </w:r>
            <w:r>
              <w:rPr>
                <w:rFonts w:hint="default" w:ascii="Times New Roman" w:hAnsi="Times New Roman" w:cs="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15.22</w:t>
            </w:r>
            <w:r>
              <w:rPr>
                <w:rFonts w:hint="default" w:ascii="Times New Roman" w:hAnsi="Times New Roman" w:cs="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15.22</w:t>
            </w:r>
            <w:r>
              <w:rPr>
                <w:rFonts w:hint="default" w:ascii="Times New Roman" w:hAnsi="Times New Roman" w:cs="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7.64</w:t>
            </w:r>
            <w:r>
              <w:rPr>
                <w:rFonts w:hint="default" w:ascii="Times New Roman" w:hAnsi="Times New Roman" w:cs="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7.64</w:t>
            </w:r>
            <w:r>
              <w:rPr>
                <w:rFonts w:hint="default" w:ascii="Times New Roman" w:hAnsi="Times New Roman" w:cs="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2.80</w:t>
            </w:r>
            <w:r>
              <w:rPr>
                <w:rFonts w:hint="default" w:ascii="Times New Roman" w:hAnsi="Times New Roman" w:cs="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2.80</w:t>
            </w:r>
            <w:r>
              <w:rPr>
                <w:rFonts w:hint="default" w:ascii="Times New Roman" w:hAnsi="Times New Roman" w:cs="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20810</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社会福利</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88.34</w:t>
            </w:r>
            <w:r>
              <w:rPr>
                <w:rFonts w:hint="default" w:ascii="Times New Roman" w:hAnsi="Times New Roman" w:cs="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88.34</w:t>
            </w:r>
            <w:r>
              <w:rPr>
                <w:rFonts w:hint="default" w:ascii="Times New Roman" w:hAnsi="Times New Roman" w:cs="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2081004</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殡葬</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88.34</w:t>
            </w:r>
            <w:r>
              <w:rPr>
                <w:rFonts w:hint="default" w:ascii="Times New Roman" w:hAnsi="Times New Roman" w:cs="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88.34</w:t>
            </w:r>
            <w:r>
              <w:rPr>
                <w:rFonts w:hint="default" w:ascii="Times New Roman" w:hAnsi="Times New Roman" w:cs="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5.25</w:t>
            </w:r>
            <w:r>
              <w:rPr>
                <w:rFonts w:hint="default" w:ascii="Times New Roman" w:hAnsi="Times New Roman" w:cs="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5.25</w:t>
            </w:r>
            <w:r>
              <w:rPr>
                <w:rFonts w:hint="default" w:ascii="Times New Roman" w:hAnsi="Times New Roman" w:cs="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5.25</w:t>
            </w:r>
            <w:r>
              <w:rPr>
                <w:rFonts w:hint="default" w:ascii="Times New Roman" w:hAnsi="Times New Roman" w:cs="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5.25</w:t>
            </w:r>
            <w:r>
              <w:rPr>
                <w:rFonts w:hint="default" w:ascii="Times New Roman" w:hAnsi="Times New Roman" w:cs="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5.25</w:t>
            </w:r>
            <w:r>
              <w:rPr>
                <w:rFonts w:hint="default" w:ascii="Times New Roman" w:hAnsi="Times New Roman" w:cs="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5.25</w:t>
            </w:r>
            <w:r>
              <w:rPr>
                <w:rFonts w:hint="default" w:ascii="Times New Roman" w:hAnsi="Times New Roman" w:cs="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7.89</w:t>
            </w:r>
            <w:r>
              <w:rPr>
                <w:rFonts w:hint="default" w:ascii="Times New Roman" w:hAnsi="Times New Roman" w:cs="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7.89</w:t>
            </w:r>
            <w:r>
              <w:rPr>
                <w:rFonts w:hint="default" w:ascii="Times New Roman" w:hAnsi="Times New Roman" w:cs="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7.89</w:t>
            </w:r>
            <w:r>
              <w:rPr>
                <w:rFonts w:hint="default" w:ascii="Times New Roman" w:hAnsi="Times New Roman" w:cs="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7.89</w:t>
            </w:r>
            <w:r>
              <w:rPr>
                <w:rFonts w:hint="default" w:ascii="Times New Roman" w:hAnsi="Times New Roman" w:cs="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7.89</w:t>
            </w:r>
            <w:r>
              <w:rPr>
                <w:rFonts w:hint="default" w:ascii="Times New Roman" w:hAnsi="Times New Roman" w:cs="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7.89</w:t>
            </w:r>
            <w:r>
              <w:rPr>
                <w:rFonts w:hint="default" w:ascii="Times New Roman" w:hAnsi="Times New Roman" w:cs="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pPr>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7"/>
        <w:tblW w:w="15378" w:type="dxa"/>
        <w:tblInd w:w="0" w:type="dxa"/>
        <w:tblLayout w:type="fixed"/>
        <w:tblCellMar>
          <w:top w:w="0" w:type="dxa"/>
          <w:left w:w="0" w:type="dxa"/>
          <w:bottom w:w="0" w:type="dxa"/>
          <w:right w:w="0" w:type="dxa"/>
        </w:tblCellMar>
      </w:tblPr>
      <w:tblGrid>
        <w:gridCol w:w="1296"/>
        <w:gridCol w:w="3617"/>
        <w:gridCol w:w="1845"/>
        <w:gridCol w:w="1768"/>
        <w:gridCol w:w="1627"/>
        <w:gridCol w:w="1562"/>
        <w:gridCol w:w="1698"/>
        <w:gridCol w:w="1965"/>
      </w:tblGrid>
      <w:tr>
        <w:tblPrEx>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tblPrEx>
          <w:tblCellMar>
            <w:top w:w="0" w:type="dxa"/>
            <w:left w:w="0" w:type="dxa"/>
            <w:bottom w:w="0" w:type="dxa"/>
            <w:right w:w="0" w:type="dxa"/>
          </w:tblCellMar>
        </w:tblPrEx>
        <w:trPr>
          <w:trHeight w:val="342" w:hRule="atLeast"/>
        </w:trPr>
        <w:tc>
          <w:tcPr>
            <w:tcW w:w="6758"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 xml:space="preserve">垫江县殡葬事业服务中心 </w:t>
            </w:r>
          </w:p>
        </w:tc>
        <w:tc>
          <w:tcPr>
            <w:tcW w:w="1768"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627"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562"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698"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965"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03</w:t>
            </w:r>
            <w:r>
              <w:rPr>
                <w:rFonts w:hint="default" w:ascii="Times New Roman" w:hAnsi="Times New Roman" w:cs="Times New Roman"/>
                <w:color w:val="000000"/>
                <w:sz w:val="20"/>
                <w:szCs w:val="20"/>
              </w:rPr>
              <w:t>表</w:t>
            </w:r>
          </w:p>
        </w:tc>
      </w:tr>
      <w:tr>
        <w:tblPrEx>
          <w:tblCellMar>
            <w:top w:w="0" w:type="dxa"/>
            <w:left w:w="0" w:type="dxa"/>
            <w:bottom w:w="0" w:type="dxa"/>
            <w:right w:w="0" w:type="dxa"/>
          </w:tblCellMar>
        </w:tblPrEx>
        <w:trPr>
          <w:trHeight w:val="342" w:hRule="atLeast"/>
        </w:trPr>
        <w:tc>
          <w:tcPr>
            <w:tcW w:w="6758"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768"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627"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562"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698"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965"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362" w:hRule="atLeast"/>
        </w:trPr>
        <w:tc>
          <w:tcPr>
            <w:tcW w:w="491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17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15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169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1296"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617"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8" w:hRule="atLeast"/>
        </w:trPr>
        <w:tc>
          <w:tcPr>
            <w:tcW w:w="129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617"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8" w:hRule="atLeast"/>
        </w:trPr>
        <w:tc>
          <w:tcPr>
            <w:tcW w:w="129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617"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8" w:hRule="atLeast"/>
        </w:trPr>
        <w:tc>
          <w:tcPr>
            <w:tcW w:w="129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617"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62" w:hRule="atLeast"/>
        </w:trPr>
        <w:tc>
          <w:tcPr>
            <w:tcW w:w="491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127.15</w:t>
            </w:r>
            <w:r>
              <w:rPr>
                <w:rFonts w:hint="default" w:ascii="Times New Roman" w:hAnsi="Times New Roman" w:cs="Times New Roman"/>
                <w:b/>
                <w:color w:val="000000"/>
                <w:sz w:val="20"/>
              </w:rPr>
              <w:t xml:space="preserve"> </w:t>
            </w:r>
          </w:p>
        </w:tc>
        <w:tc>
          <w:tcPr>
            <w:tcW w:w="1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127.15</w:t>
            </w:r>
            <w:r>
              <w:rPr>
                <w:rFonts w:hint="default" w:ascii="Times New Roman" w:hAnsi="Times New Roman" w:cs="Times New Roman"/>
                <w:b/>
                <w:color w:val="000000"/>
                <w:sz w:val="20"/>
              </w:rPr>
              <w:t xml:space="preserve"> </w:t>
            </w:r>
          </w:p>
        </w:tc>
        <w:tc>
          <w:tcPr>
            <w:tcW w:w="16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5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6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9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114.00</w:t>
            </w:r>
            <w:r>
              <w:rPr>
                <w:rFonts w:hint="default" w:ascii="Times New Roman" w:hAnsi="Times New Roman" w:cs="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114.00</w:t>
            </w:r>
            <w:r>
              <w:rPr>
                <w:rFonts w:hint="default" w:ascii="Times New Roman" w:hAnsi="Times New Roman" w:cs="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25.66</w:t>
            </w:r>
            <w:r>
              <w:rPr>
                <w:rFonts w:hint="default" w:ascii="Times New Roman" w:hAnsi="Times New Roman" w:cs="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25.66</w:t>
            </w:r>
            <w:r>
              <w:rPr>
                <w:rFonts w:hint="default" w:ascii="Times New Roman" w:hAnsi="Times New Roman" w:cs="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15.22</w:t>
            </w:r>
            <w:r>
              <w:rPr>
                <w:rFonts w:hint="default" w:ascii="Times New Roman" w:hAnsi="Times New Roman" w:cs="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15.22</w:t>
            </w:r>
            <w:r>
              <w:rPr>
                <w:rFonts w:hint="default" w:ascii="Times New Roman" w:hAnsi="Times New Roman" w:cs="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7.64</w:t>
            </w:r>
            <w:r>
              <w:rPr>
                <w:rFonts w:hint="default" w:ascii="Times New Roman" w:hAnsi="Times New Roman" w:cs="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7.64</w:t>
            </w:r>
            <w:r>
              <w:rPr>
                <w:rFonts w:hint="default" w:ascii="Times New Roman" w:hAnsi="Times New Roman" w:cs="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2.80</w:t>
            </w:r>
            <w:r>
              <w:rPr>
                <w:rFonts w:hint="default" w:ascii="Times New Roman" w:hAnsi="Times New Roman" w:cs="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2.80</w:t>
            </w:r>
            <w:r>
              <w:rPr>
                <w:rFonts w:hint="default" w:ascii="Times New Roman" w:hAnsi="Times New Roman" w:cs="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20810</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社会福利</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88.34</w:t>
            </w:r>
            <w:r>
              <w:rPr>
                <w:rFonts w:hint="default" w:ascii="Times New Roman" w:hAnsi="Times New Roman" w:cs="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88.34</w:t>
            </w:r>
            <w:r>
              <w:rPr>
                <w:rFonts w:hint="default" w:ascii="Times New Roman" w:hAnsi="Times New Roman" w:cs="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2081004</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殡葬</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88.34</w:t>
            </w:r>
            <w:r>
              <w:rPr>
                <w:rFonts w:hint="default" w:ascii="Times New Roman" w:hAnsi="Times New Roman" w:cs="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88.34</w:t>
            </w:r>
            <w:r>
              <w:rPr>
                <w:rFonts w:hint="default" w:ascii="Times New Roman" w:hAnsi="Times New Roman" w:cs="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5.25</w:t>
            </w:r>
            <w:r>
              <w:rPr>
                <w:rFonts w:hint="default" w:ascii="Times New Roman" w:hAnsi="Times New Roman" w:cs="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5.25</w:t>
            </w:r>
            <w:r>
              <w:rPr>
                <w:rFonts w:hint="default" w:ascii="Times New Roman" w:hAnsi="Times New Roman" w:cs="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5.25</w:t>
            </w:r>
            <w:r>
              <w:rPr>
                <w:rFonts w:hint="default" w:ascii="Times New Roman" w:hAnsi="Times New Roman" w:cs="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5.25</w:t>
            </w:r>
            <w:r>
              <w:rPr>
                <w:rFonts w:hint="default" w:ascii="Times New Roman" w:hAnsi="Times New Roman" w:cs="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5.25</w:t>
            </w:r>
            <w:r>
              <w:rPr>
                <w:rFonts w:hint="default" w:ascii="Times New Roman" w:hAnsi="Times New Roman" w:cs="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5.25</w:t>
            </w:r>
            <w:r>
              <w:rPr>
                <w:rFonts w:hint="default" w:ascii="Times New Roman" w:hAnsi="Times New Roman" w:cs="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7.89</w:t>
            </w:r>
            <w:r>
              <w:rPr>
                <w:rFonts w:hint="default" w:ascii="Times New Roman" w:hAnsi="Times New Roman" w:cs="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7.89</w:t>
            </w:r>
            <w:r>
              <w:rPr>
                <w:rFonts w:hint="default" w:ascii="Times New Roman" w:hAnsi="Times New Roman" w:cs="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7.89</w:t>
            </w:r>
            <w:r>
              <w:rPr>
                <w:rFonts w:hint="default" w:ascii="Times New Roman" w:hAnsi="Times New Roman" w:cs="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7.89</w:t>
            </w:r>
            <w:r>
              <w:rPr>
                <w:rFonts w:hint="default" w:ascii="Times New Roman" w:hAnsi="Times New Roman" w:cs="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7.89</w:t>
            </w:r>
            <w:r>
              <w:rPr>
                <w:rFonts w:hint="default" w:ascii="Times New Roman" w:hAnsi="Times New Roman" w:cs="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7.89</w:t>
            </w:r>
            <w:r>
              <w:rPr>
                <w:rFonts w:hint="default" w:ascii="Times New Roman" w:hAnsi="Times New Roman" w:cs="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pPr>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rPr>
          <w:rFonts w:hint="default" w:ascii="Times New Roman" w:hAnsi="Times New Roman" w:cs="Times New Roman"/>
          <w:sz w:val="21"/>
          <w:szCs w:val="21"/>
        </w:rPr>
      </w:pPr>
      <w:r>
        <w:rPr>
          <w:rFonts w:hint="default" w:ascii="Times New Roman" w:hAnsi="Times New Roman" w:cs="Times New Roman"/>
          <w:sz w:val="21"/>
          <w:szCs w:val="21"/>
        </w:rPr>
        <w:br w:type="page"/>
      </w:r>
    </w:p>
    <w:p>
      <w:pPr>
        <w:rPr>
          <w:rFonts w:hint="default" w:ascii="Times New Roman" w:hAnsi="Times New Roman" w:cs="Times New Roman"/>
          <w:sz w:val="21"/>
          <w:szCs w:val="21"/>
        </w:rPr>
      </w:pPr>
    </w:p>
    <w:tbl>
      <w:tblPr>
        <w:tblStyle w:val="7"/>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tblPrEx>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垫江县殡葬事业服务中心</w:t>
            </w: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04</w:t>
            </w:r>
            <w:r>
              <w:rPr>
                <w:rFonts w:hint="default" w:ascii="Times New Roman" w:hAnsi="Times New Roman" w:cs="Times New Roman"/>
                <w:color w:val="000000"/>
                <w:sz w:val="20"/>
                <w:szCs w:val="20"/>
              </w:rPr>
              <w:t>表</w:t>
            </w:r>
          </w:p>
        </w:tc>
      </w:tr>
      <w:tr>
        <w:tblPrEx>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tblPrEx>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31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7036"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tblPrEx>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31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127.15</w:t>
            </w:r>
            <w:r>
              <w:rPr>
                <w:rFonts w:hint="default" w:ascii="Times New Roman" w:hAnsi="Times New Roman" w:cs="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114.00</w:t>
            </w: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114.00</w:t>
            </w: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5.25</w:t>
            </w: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5.25</w:t>
            </w: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7.89</w:t>
            </w: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7.89</w:t>
            </w: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127.15</w:t>
            </w:r>
            <w:r>
              <w:rPr>
                <w:rFonts w:hint="default" w:ascii="Times New Roman" w:hAnsi="Times New Roman" w:cs="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127.15</w:t>
            </w: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127.15</w:t>
            </w: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127.15</w:t>
            </w:r>
            <w:r>
              <w:rPr>
                <w:rFonts w:hint="default" w:ascii="Times New Roman" w:hAnsi="Times New Roman" w:cs="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127.15</w:t>
            </w: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127.15</w:t>
            </w: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bl>
    <w:p>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7"/>
        <w:tblW w:w="15378" w:type="dxa"/>
        <w:tblInd w:w="0" w:type="dxa"/>
        <w:tblLayout w:type="fixed"/>
        <w:tblCellMar>
          <w:top w:w="0" w:type="dxa"/>
          <w:left w:w="0" w:type="dxa"/>
          <w:bottom w:w="0" w:type="dxa"/>
          <w:right w:w="0" w:type="dxa"/>
        </w:tblCellMar>
      </w:tblPr>
      <w:tblGrid>
        <w:gridCol w:w="1311"/>
        <w:gridCol w:w="4087"/>
        <w:gridCol w:w="3319"/>
        <w:gridCol w:w="3309"/>
        <w:gridCol w:w="3352"/>
      </w:tblGrid>
      <w:tr>
        <w:tblPrEx>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8717"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垫江县殡葬事业服务中心</w:t>
            </w:r>
          </w:p>
        </w:tc>
        <w:tc>
          <w:tcPr>
            <w:tcW w:w="3309"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33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05</w:t>
            </w:r>
            <w:r>
              <w:rPr>
                <w:rFonts w:hint="default" w:ascii="Times New Roman" w:hAnsi="Times New Roman" w:cs="Times New Roman"/>
                <w:color w:val="000000"/>
                <w:sz w:val="20"/>
                <w:szCs w:val="20"/>
              </w:rPr>
              <w:t>表</w:t>
            </w:r>
          </w:p>
        </w:tc>
      </w:tr>
      <w:tr>
        <w:tblPrEx>
          <w:tblCellMar>
            <w:top w:w="0" w:type="dxa"/>
            <w:left w:w="0" w:type="dxa"/>
            <w:bottom w:w="0" w:type="dxa"/>
            <w:right w:w="0" w:type="dxa"/>
          </w:tblCellMar>
        </w:tblPrEx>
        <w:trPr>
          <w:trHeight w:val="285" w:hRule="atLeast"/>
        </w:trPr>
        <w:tc>
          <w:tcPr>
            <w:tcW w:w="8717"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3309"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33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308" w:hRule="atLeast"/>
        </w:trPr>
        <w:tc>
          <w:tcPr>
            <w:tcW w:w="53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9980"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tblPrEx>
          <w:tblCellMar>
            <w:top w:w="0" w:type="dxa"/>
            <w:left w:w="0" w:type="dxa"/>
            <w:bottom w:w="0" w:type="dxa"/>
            <w:right w:w="0" w:type="dxa"/>
          </w:tblCellMar>
        </w:tblPrEx>
        <w:trPr>
          <w:trHeight w:val="326" w:hRule="atLeast"/>
        </w:trPr>
        <w:tc>
          <w:tcPr>
            <w:tcW w:w="131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408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3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335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tblPrEx>
          <w:tblCellMar>
            <w:top w:w="0" w:type="dxa"/>
            <w:left w:w="0" w:type="dxa"/>
            <w:bottom w:w="0" w:type="dxa"/>
            <w:right w:w="0" w:type="dxa"/>
          </w:tblCellMar>
        </w:tblPrEx>
        <w:trPr>
          <w:trHeight w:val="326" w:hRule="atLeast"/>
        </w:trPr>
        <w:tc>
          <w:tcPr>
            <w:tcW w:w="131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08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5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615" w:hRule="atLeast"/>
        </w:trPr>
        <w:tc>
          <w:tcPr>
            <w:tcW w:w="131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08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5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08" w:hRule="atLeast"/>
        </w:trPr>
        <w:tc>
          <w:tcPr>
            <w:tcW w:w="539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127.15</w:t>
            </w:r>
            <w:r>
              <w:rPr>
                <w:rFonts w:hint="default" w:ascii="Times New Roman" w:hAnsi="Times New Roman" w:cs="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127.15</w:t>
            </w:r>
            <w:r>
              <w:rPr>
                <w:rFonts w:hint="default" w:ascii="Times New Roman" w:hAnsi="Times New Roman" w:cs="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114.00</w:t>
            </w:r>
            <w:r>
              <w:rPr>
                <w:rFonts w:hint="default" w:ascii="Times New Roman" w:hAnsi="Times New Roman" w:cs="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114.00</w:t>
            </w:r>
            <w:r>
              <w:rPr>
                <w:rFonts w:hint="default" w:ascii="Times New Roman" w:hAnsi="Times New Roman" w:cs="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25.66</w:t>
            </w:r>
            <w:r>
              <w:rPr>
                <w:rFonts w:hint="default" w:ascii="Times New Roman" w:hAnsi="Times New Roman" w:cs="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25.66</w:t>
            </w:r>
            <w:r>
              <w:rPr>
                <w:rFonts w:hint="default" w:ascii="Times New Roman" w:hAnsi="Times New Roman" w:cs="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15.22</w:t>
            </w:r>
            <w:r>
              <w:rPr>
                <w:rFonts w:hint="default" w:ascii="Times New Roman" w:hAnsi="Times New Roman" w:cs="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15.22</w:t>
            </w:r>
            <w:r>
              <w:rPr>
                <w:rFonts w:hint="default" w:ascii="Times New Roman" w:hAnsi="Times New Roman" w:cs="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7.64</w:t>
            </w:r>
            <w:r>
              <w:rPr>
                <w:rFonts w:hint="default" w:ascii="Times New Roman" w:hAnsi="Times New Roman" w:cs="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7.64</w:t>
            </w:r>
            <w:r>
              <w:rPr>
                <w:rFonts w:hint="default" w:ascii="Times New Roman" w:hAnsi="Times New Roman" w:cs="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2.80</w:t>
            </w:r>
            <w:r>
              <w:rPr>
                <w:rFonts w:hint="default" w:ascii="Times New Roman" w:hAnsi="Times New Roman" w:cs="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2.80</w:t>
            </w:r>
            <w:r>
              <w:rPr>
                <w:rFonts w:hint="default" w:ascii="Times New Roman" w:hAnsi="Times New Roman" w:cs="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20810</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社会福利</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88.34</w:t>
            </w:r>
            <w:r>
              <w:rPr>
                <w:rFonts w:hint="default" w:ascii="Times New Roman" w:hAnsi="Times New Roman" w:cs="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88.34</w:t>
            </w:r>
            <w:r>
              <w:rPr>
                <w:rFonts w:hint="default" w:ascii="Times New Roman" w:hAnsi="Times New Roman" w:cs="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2081004</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殡葬</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88.34</w:t>
            </w:r>
            <w:r>
              <w:rPr>
                <w:rFonts w:hint="default" w:ascii="Times New Roman" w:hAnsi="Times New Roman" w:cs="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88.34</w:t>
            </w:r>
            <w:r>
              <w:rPr>
                <w:rFonts w:hint="default" w:ascii="Times New Roman" w:hAnsi="Times New Roman" w:cs="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5.25</w:t>
            </w:r>
            <w:r>
              <w:rPr>
                <w:rFonts w:hint="default" w:ascii="Times New Roman" w:hAnsi="Times New Roman" w:cs="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5.25</w:t>
            </w:r>
            <w:r>
              <w:rPr>
                <w:rFonts w:hint="default" w:ascii="Times New Roman" w:hAnsi="Times New Roman" w:cs="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5.25</w:t>
            </w:r>
            <w:r>
              <w:rPr>
                <w:rFonts w:hint="default" w:ascii="Times New Roman" w:hAnsi="Times New Roman" w:cs="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5.25</w:t>
            </w:r>
            <w:r>
              <w:rPr>
                <w:rFonts w:hint="default" w:ascii="Times New Roman" w:hAnsi="Times New Roman" w:cs="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5.25</w:t>
            </w:r>
            <w:r>
              <w:rPr>
                <w:rFonts w:hint="default" w:ascii="Times New Roman" w:hAnsi="Times New Roman" w:cs="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5.25</w:t>
            </w:r>
            <w:r>
              <w:rPr>
                <w:rFonts w:hint="default" w:ascii="Times New Roman" w:hAnsi="Times New Roman" w:cs="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7.89</w:t>
            </w:r>
            <w:r>
              <w:rPr>
                <w:rFonts w:hint="default" w:ascii="Times New Roman" w:hAnsi="Times New Roman" w:cs="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7.89</w:t>
            </w:r>
            <w:r>
              <w:rPr>
                <w:rFonts w:hint="default" w:ascii="Times New Roman" w:hAnsi="Times New Roman" w:cs="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7.89</w:t>
            </w:r>
            <w:r>
              <w:rPr>
                <w:rFonts w:hint="default" w:ascii="Times New Roman" w:hAnsi="Times New Roman" w:cs="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7.89</w:t>
            </w:r>
            <w:r>
              <w:rPr>
                <w:rFonts w:hint="default" w:ascii="Times New Roman" w:hAnsi="Times New Roman" w:cs="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7.89</w:t>
            </w:r>
            <w:r>
              <w:rPr>
                <w:rFonts w:hint="default" w:ascii="Times New Roman" w:hAnsi="Times New Roman" w:cs="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7.89</w:t>
            </w:r>
            <w:r>
              <w:rPr>
                <w:rFonts w:hint="default" w:ascii="Times New Roman" w:hAnsi="Times New Roman" w:cs="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pPr>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ind w:firstLine="630" w:firstLineChars="3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15360" w:type="dxa"/>
        <w:tblInd w:w="0" w:type="dxa"/>
        <w:tblLayout w:type="fixed"/>
        <w:tblCellMar>
          <w:top w:w="0" w:type="dxa"/>
          <w:left w:w="0" w:type="dxa"/>
          <w:bottom w:w="0" w:type="dxa"/>
          <w:right w:w="0" w:type="dxa"/>
        </w:tblCellMar>
      </w:tblPr>
      <w:tblGrid>
        <w:gridCol w:w="805"/>
        <w:gridCol w:w="2820"/>
        <w:gridCol w:w="1545"/>
        <w:gridCol w:w="876"/>
        <w:gridCol w:w="2040"/>
        <w:gridCol w:w="1422"/>
        <w:gridCol w:w="876"/>
        <w:gridCol w:w="3474"/>
        <w:gridCol w:w="1502"/>
      </w:tblGrid>
      <w:tr>
        <w:tblPrEx>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8086" w:type="dxa"/>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垫江县殡葬事业服务中心</w:t>
            </w:r>
          </w:p>
        </w:tc>
        <w:tc>
          <w:tcPr>
            <w:tcW w:w="142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7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47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50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06</w:t>
            </w:r>
            <w:r>
              <w:rPr>
                <w:rFonts w:hint="default" w:ascii="Times New Roman" w:hAnsi="Times New Roman" w:cs="Times New Roman"/>
                <w:color w:val="000000"/>
                <w:sz w:val="20"/>
                <w:szCs w:val="20"/>
              </w:rPr>
              <w:t>表</w:t>
            </w:r>
          </w:p>
        </w:tc>
      </w:tr>
      <w:tr>
        <w:tblPrEx>
          <w:tblCellMar>
            <w:top w:w="0" w:type="dxa"/>
            <w:left w:w="0" w:type="dxa"/>
            <w:bottom w:w="0" w:type="dxa"/>
            <w:right w:w="0" w:type="dxa"/>
          </w:tblCellMar>
        </w:tblPrEx>
        <w:trPr>
          <w:trHeight w:val="520" w:hRule="atLeast"/>
        </w:trPr>
        <w:tc>
          <w:tcPr>
            <w:tcW w:w="8086"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42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7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47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50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90" w:hRule="atLeast"/>
        </w:trPr>
        <w:tc>
          <w:tcPr>
            <w:tcW w:w="51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10190"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tblPrEx>
          <w:tblCellMar>
            <w:top w:w="0" w:type="dxa"/>
            <w:left w:w="0" w:type="dxa"/>
            <w:bottom w:w="0" w:type="dxa"/>
            <w:right w:w="0" w:type="dxa"/>
          </w:tblCellMar>
        </w:tblPrEx>
        <w:trPr>
          <w:trHeight w:val="312" w:hRule="atLeast"/>
        </w:trPr>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282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54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87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20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42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87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347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50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tblPrEx>
          <w:tblCellMar>
            <w:top w:w="0" w:type="dxa"/>
            <w:left w:w="0" w:type="dxa"/>
            <w:bottom w:w="0" w:type="dxa"/>
            <w:right w:w="0" w:type="dxa"/>
          </w:tblCellMar>
        </w:tblPrEx>
        <w:trPr>
          <w:trHeight w:val="312" w:hRule="atLeast"/>
        </w:trPr>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ascii="Times New Roman" w:hAnsi="Times New Roman" w:cs="Times New Roman"/>
                <w:b/>
                <w:color w:val="000000"/>
                <w:sz w:val="18"/>
                <w:szCs w:val="18"/>
              </w:rPr>
            </w:pPr>
          </w:p>
        </w:tc>
        <w:tc>
          <w:tcPr>
            <w:tcW w:w="282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ascii="Times New Roman" w:hAnsi="Times New Roman" w:cs="Times New Roman"/>
                <w:b/>
                <w:color w:val="000000"/>
                <w:sz w:val="18"/>
                <w:szCs w:val="18"/>
              </w:rPr>
            </w:pPr>
          </w:p>
        </w:tc>
        <w:tc>
          <w:tcPr>
            <w:tcW w:w="154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ascii="Times New Roman" w:hAnsi="Times New Roman" w:cs="Times New Roman"/>
                <w:b/>
                <w:color w:val="000000"/>
                <w:sz w:val="18"/>
                <w:szCs w:val="18"/>
              </w:rPr>
            </w:pPr>
          </w:p>
        </w:tc>
        <w:tc>
          <w:tcPr>
            <w:tcW w:w="87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ascii="Times New Roman" w:hAnsi="Times New Roman" w:cs="Times New Roman"/>
                <w:b/>
                <w:color w:val="000000"/>
                <w:sz w:val="18"/>
                <w:szCs w:val="18"/>
              </w:rPr>
            </w:pPr>
          </w:p>
        </w:tc>
        <w:tc>
          <w:tcPr>
            <w:tcW w:w="20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ascii="Times New Roman" w:hAnsi="Times New Roman" w:cs="Times New Roman"/>
                <w:b/>
                <w:color w:val="000000"/>
                <w:sz w:val="18"/>
                <w:szCs w:val="18"/>
              </w:rPr>
            </w:pPr>
          </w:p>
        </w:tc>
        <w:tc>
          <w:tcPr>
            <w:tcW w:w="142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ascii="Times New Roman" w:hAnsi="Times New Roman" w:cs="Times New Roman"/>
                <w:b/>
                <w:color w:val="000000"/>
                <w:sz w:val="18"/>
                <w:szCs w:val="18"/>
              </w:rPr>
            </w:pPr>
          </w:p>
        </w:tc>
        <w:tc>
          <w:tcPr>
            <w:tcW w:w="87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ascii="Times New Roman" w:hAnsi="Times New Roman" w:cs="Times New Roman"/>
                <w:b/>
                <w:color w:val="000000"/>
                <w:sz w:val="18"/>
                <w:szCs w:val="18"/>
              </w:rPr>
            </w:pPr>
          </w:p>
        </w:tc>
        <w:tc>
          <w:tcPr>
            <w:tcW w:w="347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ascii="Times New Roman" w:hAnsi="Times New Roman" w:cs="Times New Roman"/>
                <w:b/>
                <w:color w:val="000000"/>
                <w:sz w:val="18"/>
                <w:szCs w:val="18"/>
              </w:rPr>
            </w:pPr>
          </w:p>
        </w:tc>
        <w:tc>
          <w:tcPr>
            <w:tcW w:w="150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ascii="Times New Roman" w:hAnsi="Times New Roman" w:cs="Times New Roman"/>
                <w:b/>
                <w:color w:val="000000"/>
                <w:sz w:val="18"/>
                <w:szCs w:val="18"/>
              </w:rPr>
            </w:pP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115.61</w:t>
            </w:r>
            <w:r>
              <w:rPr>
                <w:rFonts w:hint="default" w:ascii="Times New Roman" w:hAnsi="Times New Roman" w:cs="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8.74</w:t>
            </w:r>
            <w:r>
              <w:rPr>
                <w:rFonts w:hint="default" w:ascii="Times New Roman" w:hAnsi="Times New Roman" w:cs="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22.83</w:t>
            </w:r>
            <w:r>
              <w:rPr>
                <w:rFonts w:hint="default" w:ascii="Times New Roman" w:hAnsi="Times New Roman" w:cs="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2.29</w:t>
            </w:r>
            <w:r>
              <w:rPr>
                <w:rFonts w:hint="default" w:ascii="Times New Roman" w:hAnsi="Times New Roman" w:cs="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0.95</w:t>
            </w:r>
            <w:r>
              <w:rPr>
                <w:rFonts w:hint="default" w:ascii="Times New Roman" w:hAnsi="Times New Roman" w:cs="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0.60</w:t>
            </w:r>
            <w:r>
              <w:rPr>
                <w:rFonts w:hint="default" w:ascii="Times New Roman" w:hAnsi="Times New Roman" w:cs="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0.03</w:t>
            </w:r>
            <w:r>
              <w:rPr>
                <w:rFonts w:hint="default" w:ascii="Times New Roman" w:hAnsi="Times New Roman" w:cs="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53.90</w:t>
            </w:r>
            <w:r>
              <w:rPr>
                <w:rFonts w:hint="default" w:ascii="Times New Roman" w:hAnsi="Times New Roman" w:cs="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0.12</w:t>
            </w:r>
            <w:r>
              <w:rPr>
                <w:rFonts w:hint="default" w:ascii="Times New Roman" w:hAnsi="Times New Roman" w:cs="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15.22</w:t>
            </w:r>
            <w:r>
              <w:rPr>
                <w:rFonts w:hint="default" w:ascii="Times New Roman" w:hAnsi="Times New Roman" w:cs="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1.04</w:t>
            </w:r>
            <w:r>
              <w:rPr>
                <w:rFonts w:hint="default" w:ascii="Times New Roman" w:hAnsi="Times New Roman" w:cs="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7.64</w:t>
            </w:r>
            <w:r>
              <w:rPr>
                <w:rFonts w:hint="default" w:ascii="Times New Roman" w:hAnsi="Times New Roman" w:cs="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0.70</w:t>
            </w:r>
            <w:r>
              <w:rPr>
                <w:rFonts w:hint="default" w:ascii="Times New Roman" w:hAnsi="Times New Roman" w:cs="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5.25</w:t>
            </w:r>
            <w:r>
              <w:rPr>
                <w:rFonts w:hint="default" w:ascii="Times New Roman" w:hAnsi="Times New Roman" w:cs="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0.16</w:t>
            </w:r>
            <w:r>
              <w:rPr>
                <w:rFonts w:hint="default" w:ascii="Times New Roman" w:hAnsi="Times New Roman" w:cs="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1.96</w:t>
            </w:r>
            <w:r>
              <w:rPr>
                <w:rFonts w:hint="default" w:ascii="Times New Roman" w:hAnsi="Times New Roman" w:cs="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7.89</w:t>
            </w:r>
            <w:r>
              <w:rPr>
                <w:rFonts w:hint="default" w:ascii="Times New Roman" w:hAnsi="Times New Roman" w:cs="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0.96</w:t>
            </w:r>
            <w:r>
              <w:rPr>
                <w:rFonts w:hint="default" w:ascii="Times New Roman" w:hAnsi="Times New Roman" w:cs="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0.81</w:t>
            </w:r>
            <w:r>
              <w:rPr>
                <w:rFonts w:hint="default" w:ascii="Times New Roman" w:hAnsi="Times New Roman" w:cs="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2.80</w:t>
            </w:r>
            <w:r>
              <w:rPr>
                <w:rFonts w:hint="default" w:ascii="Times New Roman" w:hAnsi="Times New Roman" w:cs="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0.24</w:t>
            </w:r>
            <w:r>
              <w:rPr>
                <w:rFonts w:hint="default" w:ascii="Times New Roman" w:hAnsi="Times New Roman" w:cs="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2.60</w:t>
            </w:r>
            <w:r>
              <w:rPr>
                <w:rFonts w:hint="default" w:ascii="Times New Roman" w:hAnsi="Times New Roman" w:cs="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0.20</w:t>
            </w:r>
            <w:r>
              <w:rPr>
                <w:rFonts w:hint="default" w:ascii="Times New Roman" w:hAnsi="Times New Roman" w:cs="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0.50</w:t>
            </w:r>
            <w:r>
              <w:rPr>
                <w:rFonts w:hint="default" w:ascii="Times New Roman" w:hAnsi="Times New Roman" w:cs="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Times New Roman" w:hAnsi="Times New Roman" w:cs="Times New Roman"/>
                <w:color w:val="000000"/>
                <w:sz w:val="18"/>
                <w:szCs w:val="18"/>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Times New Roman" w:hAnsi="Times New Roman" w:cs="Times New Roman"/>
                <w:color w:val="000000"/>
                <w:sz w:val="18"/>
                <w:szCs w:val="18"/>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ascii="Times New Roman" w:hAnsi="Times New Roman" w:cs="Times New Roman"/>
                <w:color w:val="000000"/>
                <w:sz w:val="18"/>
                <w:szCs w:val="18"/>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1.27</w:t>
            </w:r>
            <w:r>
              <w:rPr>
                <w:rFonts w:hint="default" w:ascii="Times New Roman" w:hAnsi="Times New Roman" w:cs="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Times New Roman" w:hAnsi="Times New Roman" w:cs="Times New Roman"/>
                <w:color w:val="000000"/>
                <w:sz w:val="18"/>
                <w:szCs w:val="18"/>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Times New Roman" w:hAnsi="Times New Roman" w:cs="Times New Roman"/>
                <w:color w:val="000000"/>
                <w:sz w:val="18"/>
                <w:szCs w:val="18"/>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ascii="Times New Roman" w:hAnsi="Times New Roman" w:cs="Times New Roman"/>
                <w:color w:val="000000"/>
                <w:sz w:val="18"/>
                <w:szCs w:val="18"/>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Times New Roman" w:hAnsi="Times New Roman" w:cs="Times New Roman"/>
                <w:color w:val="000000"/>
                <w:sz w:val="18"/>
                <w:szCs w:val="18"/>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Times New Roman" w:hAnsi="Times New Roman" w:cs="Times New Roman"/>
                <w:color w:val="000000"/>
                <w:sz w:val="18"/>
                <w:szCs w:val="18"/>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ascii="Times New Roman" w:hAnsi="Times New Roman" w:cs="Times New Roman"/>
                <w:color w:val="000000"/>
                <w:sz w:val="18"/>
                <w:szCs w:val="18"/>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Times New Roman" w:hAnsi="Times New Roman" w:cs="Times New Roman"/>
                <w:color w:val="000000"/>
                <w:sz w:val="18"/>
                <w:szCs w:val="18"/>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Times New Roman" w:hAnsi="Times New Roman" w:cs="Times New Roman"/>
                <w:color w:val="000000"/>
                <w:sz w:val="18"/>
                <w:szCs w:val="18"/>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ascii="Times New Roman" w:hAnsi="Times New Roman" w:cs="Times New Roman"/>
                <w:color w:val="000000"/>
                <w:sz w:val="18"/>
                <w:szCs w:val="18"/>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Times New Roman" w:hAnsi="Times New Roman" w:cs="Times New Roman"/>
                <w:color w:val="000000"/>
                <w:sz w:val="18"/>
                <w:szCs w:val="18"/>
              </w:rPr>
            </w:pP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Times New Roman" w:hAnsi="Times New Roman" w:cs="Times New Roman"/>
                <w:color w:val="000000"/>
                <w:sz w:val="18"/>
                <w:szCs w:val="18"/>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Times New Roman" w:hAnsi="Times New Roman" w:cs="Times New Roman"/>
                <w:color w:val="000000"/>
                <w:sz w:val="18"/>
                <w:szCs w:val="18"/>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Times New Roman" w:hAnsi="Times New Roman" w:cs="Times New Roman"/>
                <w:color w:val="000000"/>
                <w:sz w:val="18"/>
                <w:szCs w:val="18"/>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ascii="Times New Roman" w:hAnsi="Times New Roman" w:cs="Times New Roman"/>
                <w:color w:val="000000"/>
                <w:sz w:val="18"/>
                <w:szCs w:val="18"/>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Times New Roman" w:hAnsi="Times New Roman" w:cs="Times New Roman"/>
                <w:color w:val="000000"/>
                <w:sz w:val="18"/>
                <w:szCs w:val="18"/>
              </w:rPr>
            </w:pP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Times New Roman" w:hAnsi="Times New Roman" w:cs="Times New Roman"/>
                <w:color w:val="000000"/>
                <w:sz w:val="18"/>
                <w:szCs w:val="18"/>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155"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Times New Roman" w:hAnsi="Times New Roman" w:cs="Times New Roman"/>
                <w:color w:val="000000"/>
                <w:sz w:val="18"/>
                <w:szCs w:val="18"/>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Times New Roman" w:hAnsi="Times New Roman" w:cs="Times New Roman"/>
                <w:color w:val="000000"/>
                <w:sz w:val="18"/>
                <w:szCs w:val="18"/>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ascii="Times New Roman" w:hAnsi="Times New Roman" w:cs="Times New Roman"/>
                <w:color w:val="000000"/>
                <w:sz w:val="18"/>
                <w:szCs w:val="18"/>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Times New Roman" w:hAnsi="Times New Roman" w:cs="Times New Roman"/>
                <w:color w:val="000000"/>
                <w:sz w:val="18"/>
                <w:szCs w:val="18"/>
              </w:rPr>
            </w:pP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Times New Roman" w:hAnsi="Times New Roman" w:cs="Times New Roman"/>
                <w:color w:val="000000"/>
                <w:sz w:val="18"/>
                <w:szCs w:val="18"/>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310" w:hRule="atLeast"/>
        </w:trPr>
        <w:tc>
          <w:tcPr>
            <w:tcW w:w="362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15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118.41</w:t>
            </w:r>
            <w:r>
              <w:rPr>
                <w:rFonts w:hint="default" w:ascii="Times New Roman" w:hAnsi="Times New Roman" w:cs="Times New Roman"/>
                <w:color w:val="000000"/>
                <w:sz w:val="18"/>
              </w:rPr>
              <w:t xml:space="preserve"> </w:t>
            </w:r>
          </w:p>
        </w:tc>
        <w:tc>
          <w:tcPr>
            <w:tcW w:w="8688"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15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8.74</w:t>
            </w:r>
            <w:r>
              <w:rPr>
                <w:rFonts w:hint="default" w:ascii="Times New Roman" w:hAnsi="Times New Roman" w:cs="Times New Roman"/>
                <w:color w:val="000000"/>
                <w:sz w:val="18"/>
              </w:rPr>
              <w:t xml:space="preserve"> </w:t>
            </w:r>
          </w:p>
        </w:tc>
      </w:tr>
    </w:tbl>
    <w:p>
      <w:pPr>
        <w:spacing w:line="28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7"/>
        <w:tblW w:w="15378" w:type="dxa"/>
        <w:tblInd w:w="0" w:type="dxa"/>
        <w:tblLayout w:type="fixed"/>
        <w:tblCellMar>
          <w:top w:w="0" w:type="dxa"/>
          <w:left w:w="0" w:type="dxa"/>
          <w:bottom w:w="0" w:type="dxa"/>
          <w:right w:w="0" w:type="dxa"/>
        </w:tblCellMar>
      </w:tblPr>
      <w:tblGrid>
        <w:gridCol w:w="1325"/>
        <w:gridCol w:w="3608"/>
        <w:gridCol w:w="1707"/>
        <w:gridCol w:w="1707"/>
        <w:gridCol w:w="1707"/>
        <w:gridCol w:w="1707"/>
        <w:gridCol w:w="1772"/>
        <w:gridCol w:w="1845"/>
      </w:tblGrid>
      <w:tr>
        <w:tblPrEx>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6640"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垫江县殡葬事业服务中心</w:t>
            </w: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845"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07</w:t>
            </w:r>
            <w:r>
              <w:rPr>
                <w:rFonts w:hint="default" w:ascii="Times New Roman" w:hAnsi="Times New Roman" w:cs="Times New Roman"/>
                <w:color w:val="000000"/>
                <w:sz w:val="20"/>
                <w:szCs w:val="20"/>
              </w:rPr>
              <w:t>表</w:t>
            </w:r>
          </w:p>
        </w:tc>
      </w:tr>
      <w:tr>
        <w:tblPrEx>
          <w:tblCellMar>
            <w:top w:w="0" w:type="dxa"/>
            <w:left w:w="0" w:type="dxa"/>
            <w:bottom w:w="0" w:type="dxa"/>
            <w:right w:w="0" w:type="dxa"/>
          </w:tblCellMar>
        </w:tblPrEx>
        <w:trPr>
          <w:trHeight w:val="329" w:hRule="atLeast"/>
        </w:trPr>
        <w:tc>
          <w:tcPr>
            <w:tcW w:w="6640"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845"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339" w:hRule="atLeast"/>
        </w:trPr>
        <w:tc>
          <w:tcPr>
            <w:tcW w:w="49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70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5186"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tblPrEx>
          <w:tblCellMar>
            <w:top w:w="0" w:type="dxa"/>
            <w:left w:w="0" w:type="dxa"/>
            <w:bottom w:w="0" w:type="dxa"/>
            <w:right w:w="0" w:type="dxa"/>
          </w:tblCellMar>
        </w:tblPrEx>
        <w:trPr>
          <w:trHeight w:val="335" w:hRule="atLeast"/>
        </w:trPr>
        <w:tc>
          <w:tcPr>
            <w:tcW w:w="13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6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77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5" w:hRule="atLeast"/>
        </w:trPr>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6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645" w:hRule="atLeast"/>
        </w:trPr>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6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9" w:hRule="atLeast"/>
        </w:trPr>
        <w:tc>
          <w:tcPr>
            <w:tcW w:w="493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49" w:hRule="atLeast"/>
        </w:trPr>
        <w:tc>
          <w:tcPr>
            <w:tcW w:w="132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p>
        </w:tc>
        <w:tc>
          <w:tcPr>
            <w:tcW w:w="36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pPr>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备注：本表反映单位本年度政府性基金预算财政拨款收入支出及结转和结余情况。本单位无政府性基金收支，故本表无数据。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15378" w:type="dxa"/>
        <w:tblInd w:w="0" w:type="dxa"/>
        <w:tblLayout w:type="fixed"/>
        <w:tblCellMar>
          <w:top w:w="0" w:type="dxa"/>
          <w:left w:w="0" w:type="dxa"/>
          <w:bottom w:w="0" w:type="dxa"/>
          <w:right w:w="0" w:type="dxa"/>
        </w:tblCellMar>
      </w:tblPr>
      <w:tblGrid>
        <w:gridCol w:w="1298"/>
        <w:gridCol w:w="3629"/>
        <w:gridCol w:w="3285"/>
        <w:gridCol w:w="191"/>
        <w:gridCol w:w="3475"/>
        <w:gridCol w:w="86"/>
        <w:gridCol w:w="3414"/>
      </w:tblGrid>
      <w:tr>
        <w:tblPrEx>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8212"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垫江县殡葬事业服务中心</w:t>
            </w: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08</w:t>
            </w:r>
            <w:r>
              <w:rPr>
                <w:rFonts w:hint="default" w:ascii="Times New Roman" w:hAnsi="Times New Roman" w:cs="Times New Roman"/>
                <w:color w:val="000000"/>
                <w:sz w:val="20"/>
                <w:szCs w:val="20"/>
              </w:rPr>
              <w:t>表</w:t>
            </w:r>
          </w:p>
        </w:tc>
      </w:tr>
      <w:tr>
        <w:tblPrEx>
          <w:tblCellMar>
            <w:top w:w="0" w:type="dxa"/>
            <w:left w:w="0" w:type="dxa"/>
            <w:bottom w:w="0" w:type="dxa"/>
            <w:right w:w="0" w:type="dxa"/>
          </w:tblCellMar>
        </w:tblPrEx>
        <w:trPr>
          <w:trHeight w:val="332" w:hRule="atLeast"/>
        </w:trPr>
        <w:tc>
          <w:tcPr>
            <w:tcW w:w="821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422" w:hRule="atLeast"/>
        </w:trPr>
        <w:tc>
          <w:tcPr>
            <w:tcW w:w="492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0451"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tblPrEx>
          <w:tblCellMar>
            <w:top w:w="0" w:type="dxa"/>
            <w:left w:w="0" w:type="dxa"/>
            <w:bottom w:w="0" w:type="dxa"/>
            <w:right w:w="0" w:type="dxa"/>
          </w:tblCellMar>
        </w:tblPrEx>
        <w:trPr>
          <w:trHeight w:val="339" w:hRule="atLeast"/>
        </w:trPr>
        <w:tc>
          <w:tcPr>
            <w:tcW w:w="129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62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4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3500"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tblPrEx>
          <w:tblCellMar>
            <w:top w:w="0" w:type="dxa"/>
            <w:left w:w="0" w:type="dxa"/>
            <w:bottom w:w="0" w:type="dxa"/>
            <w:right w:w="0" w:type="dxa"/>
          </w:tblCellMar>
        </w:tblPrEx>
        <w:trPr>
          <w:trHeight w:val="339" w:hRule="atLeast"/>
        </w:trPr>
        <w:tc>
          <w:tcPr>
            <w:tcW w:w="129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62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500"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9" w:hRule="atLeast"/>
        </w:trPr>
        <w:tc>
          <w:tcPr>
            <w:tcW w:w="129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62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500"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26" w:hRule="atLeast"/>
        </w:trPr>
        <w:tc>
          <w:tcPr>
            <w:tcW w:w="129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62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500"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611" w:hRule="atLeast"/>
        </w:trPr>
        <w:tc>
          <w:tcPr>
            <w:tcW w:w="492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cs="Times New Roman"/>
                <w:b/>
                <w:color w:val="000000"/>
                <w:sz w:val="20"/>
                <w:szCs w:val="20"/>
              </w:rPr>
            </w:pPr>
          </w:p>
        </w:tc>
        <w:tc>
          <w:tcPr>
            <w:tcW w:w="350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488" w:hRule="atLeast"/>
        </w:trPr>
        <w:tc>
          <w:tcPr>
            <w:tcW w:w="129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p>
        </w:tc>
        <w:tc>
          <w:tcPr>
            <w:tcW w:w="36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cs="Times New Roman"/>
                <w:b/>
                <w:color w:val="000000"/>
                <w:sz w:val="20"/>
                <w:szCs w:val="20"/>
              </w:rPr>
            </w:pPr>
          </w:p>
        </w:tc>
        <w:tc>
          <w:tcPr>
            <w:tcW w:w="350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pPr>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备注：本表反映单位本年度国有资本经营预算财政拨款支出情况。本单位无国有资本经营收支，故本表无数据。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14182" w:type="dxa"/>
        <w:tblInd w:w="0" w:type="dxa"/>
        <w:tblLayout w:type="fixed"/>
        <w:tblCellMar>
          <w:top w:w="0" w:type="dxa"/>
          <w:left w:w="170" w:type="dxa"/>
          <w:bottom w:w="0" w:type="dxa"/>
          <w:right w:w="170" w:type="dxa"/>
        </w:tblCellMar>
      </w:tblPr>
      <w:tblGrid>
        <w:gridCol w:w="3188"/>
        <w:gridCol w:w="2425"/>
        <w:gridCol w:w="2383"/>
        <w:gridCol w:w="3684"/>
        <w:gridCol w:w="2502"/>
      </w:tblGrid>
      <w:tr>
        <w:tblPrEx>
          <w:tblCellMar>
            <w:top w:w="0" w:type="dxa"/>
            <w:left w:w="170" w:type="dxa"/>
            <w:bottom w:w="0" w:type="dxa"/>
            <w:right w:w="170" w:type="dxa"/>
          </w:tblCellMar>
        </w:tblPrEx>
        <w:trPr>
          <w:trHeight w:val="343" w:hRule="atLeast"/>
        </w:trPr>
        <w:tc>
          <w:tcPr>
            <w:tcW w:w="14182" w:type="dxa"/>
            <w:gridSpan w:val="5"/>
            <w:shd w:val="clear" w:color="auto" w:fill="auto"/>
            <w:noWrap/>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3188" w:type="dxa"/>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000000"/>
                <w:kern w:val="2"/>
                <w:sz w:val="20"/>
                <w:szCs w:val="20"/>
              </w:rPr>
            </w:pPr>
          </w:p>
        </w:tc>
        <w:tc>
          <w:tcPr>
            <w:tcW w:w="2425" w:type="dxa"/>
            <w:shd w:val="clear" w:color="auto" w:fill="auto"/>
            <w:noWrap/>
            <w:tcMar>
              <w:top w:w="15" w:type="dxa"/>
              <w:left w:w="15" w:type="dxa"/>
              <w:right w:w="15" w:type="dxa"/>
            </w:tcMar>
            <w:vAlign w:val="bottom"/>
          </w:tcPr>
          <w:p>
            <w:pPr>
              <w:spacing w:line="280" w:lineRule="exact"/>
              <w:jc w:val="center"/>
              <w:rPr>
                <w:rFonts w:hint="default" w:ascii="Times New Roman" w:hAnsi="Times New Roman" w:cs="Times New Roman"/>
                <w:color w:val="000000"/>
                <w:kern w:val="2"/>
                <w:sz w:val="20"/>
                <w:szCs w:val="20"/>
              </w:rPr>
            </w:pPr>
          </w:p>
        </w:tc>
        <w:tc>
          <w:tcPr>
            <w:tcW w:w="2383" w:type="dxa"/>
            <w:shd w:val="clear" w:color="auto" w:fill="auto"/>
            <w:noWrap/>
            <w:tcMar>
              <w:top w:w="15" w:type="dxa"/>
              <w:left w:w="15" w:type="dxa"/>
              <w:right w:w="15" w:type="dxa"/>
            </w:tcMar>
            <w:vAlign w:val="bottom"/>
          </w:tcPr>
          <w:p>
            <w:pPr>
              <w:spacing w:line="280" w:lineRule="exact"/>
              <w:jc w:val="right"/>
              <w:rPr>
                <w:rFonts w:hint="default" w:ascii="Times New Roman" w:hAnsi="Times New Roman" w:cs="Times New Roman"/>
                <w:color w:val="000000"/>
                <w:kern w:val="2"/>
                <w:sz w:val="20"/>
                <w:szCs w:val="20"/>
              </w:rPr>
            </w:pPr>
          </w:p>
        </w:tc>
        <w:tc>
          <w:tcPr>
            <w:tcW w:w="3684" w:type="dxa"/>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000000"/>
                <w:kern w:val="2"/>
                <w:sz w:val="20"/>
                <w:szCs w:val="20"/>
              </w:rPr>
            </w:pPr>
          </w:p>
        </w:tc>
        <w:tc>
          <w:tcPr>
            <w:tcW w:w="2502" w:type="dxa"/>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w:t>
            </w:r>
            <w:r>
              <w:rPr>
                <w:rFonts w:hint="default" w:ascii="Times New Roman" w:hAnsi="Times New Roman" w:cs="Times New Roman"/>
                <w:color w:val="000000"/>
                <w:kern w:val="2"/>
                <w:sz w:val="20"/>
                <w:szCs w:val="20"/>
              </w:rPr>
              <w:t>09</w:t>
            </w:r>
            <w:r>
              <w:rPr>
                <w:rFonts w:hint="default" w:ascii="Times New Roman" w:hAnsi="Times New Roman" w:cs="Times New Roman"/>
                <w:color w:val="000000"/>
                <w:kern w:val="2"/>
                <w:sz w:val="20"/>
                <w:szCs w:val="20"/>
              </w:rPr>
              <w:t>表</w:t>
            </w:r>
          </w:p>
        </w:tc>
      </w:tr>
      <w:tr>
        <w:tblPrEx>
          <w:tblCellMar>
            <w:top w:w="0" w:type="dxa"/>
            <w:left w:w="170" w:type="dxa"/>
            <w:bottom w:w="0" w:type="dxa"/>
            <w:right w:w="170" w:type="dxa"/>
          </w:tblCellMar>
        </w:tblPrEx>
        <w:trPr>
          <w:trHeight w:val="244" w:hRule="atLeast"/>
        </w:trPr>
        <w:tc>
          <w:tcPr>
            <w:tcW w:w="5613"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000000"/>
                <w:kern w:val="2"/>
                <w:sz w:val="20"/>
                <w:szCs w:val="20"/>
              </w:rPr>
            </w:pPr>
            <w:r>
              <w:rPr>
                <w:rFonts w:hint="default" w:ascii="Times New Roman" w:hAnsi="Times New Roman" w:cs="Times New Roman"/>
                <w:kern w:val="2"/>
                <w:sz w:val="20"/>
                <w:szCs w:val="20"/>
              </w:rPr>
              <w:t>单位</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rPr>
              <w:t>垫江县殡葬事业服务中心</w:t>
            </w:r>
          </w:p>
        </w:tc>
        <w:tc>
          <w:tcPr>
            <w:tcW w:w="2383"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ascii="Times New Roman" w:hAnsi="Times New Roman" w:cs="Times New Roman"/>
                <w:color w:val="000000"/>
                <w:kern w:val="2"/>
                <w:sz w:val="20"/>
                <w:szCs w:val="20"/>
              </w:rPr>
            </w:pPr>
          </w:p>
        </w:tc>
        <w:tc>
          <w:tcPr>
            <w:tcW w:w="368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000000"/>
                <w:kern w:val="2"/>
                <w:sz w:val="20"/>
                <w:szCs w:val="20"/>
              </w:rPr>
            </w:pPr>
          </w:p>
        </w:tc>
        <w:tc>
          <w:tcPr>
            <w:tcW w:w="2502"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tblPrEx>
          <w:tblCellMar>
            <w:top w:w="0" w:type="dxa"/>
            <w:left w:w="170" w:type="dxa"/>
            <w:bottom w:w="0" w:type="dxa"/>
            <w:right w:w="170" w:type="dxa"/>
          </w:tblCellMar>
        </w:tblPrEx>
        <w:trPr>
          <w:trHeight w:val="28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一、“三公”经费支出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2．公务用车购置及运行维护费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1．副部（省）级及以上领导用车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2．主要领导干部用车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3．机要通信用车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4．应急保障用车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5．执法执勤用车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6．特种专业技术用车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1．因公出国（境）团组数（个）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7．离退休干部用车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2．因公出国（境）人次数（人）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8．其他用车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3．公务用车购置数（辆）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4．公务用车保有量（辆）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5．国内公务接待批次（个）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1．政府采购货物支出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6．国内公务接待人次（人）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2．政府采购工程支出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3．政府采购服务支出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7．国（境）外公务接待批次（个）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8．国（境）外公务接待人次（人）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170" w:type="dxa"/>
            <w:bottom w:w="0" w:type="dxa"/>
            <w:right w:w="170" w:type="dxa"/>
          </w:tblCellMar>
        </w:tblPrEx>
        <w:trPr>
          <w:trHeight w:val="286"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ascii="Times New Roman" w:hAnsi="Times New Roman" w:cs="Times New Roman"/>
                <w:color w:val="000000"/>
                <w:kern w:val="2"/>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ascii="Times New Roman" w:hAnsi="Times New Roman" w:cs="Times New Roman"/>
                <w:color w:val="000000"/>
                <w:kern w:val="2"/>
                <w:sz w:val="16"/>
                <w:szCs w:val="16"/>
              </w:rPr>
            </w:pPr>
          </w:p>
        </w:tc>
      </w:tr>
      <w:tr>
        <w:tblPrEx>
          <w:tblCellMar>
            <w:top w:w="0" w:type="dxa"/>
            <w:left w:w="170" w:type="dxa"/>
            <w:bottom w:w="0" w:type="dxa"/>
            <w:right w:w="170" w:type="dxa"/>
          </w:tblCellMar>
        </w:tblPrEx>
        <w:trPr>
          <w:trHeight w:val="389"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0.24</w:t>
            </w:r>
            <w:r>
              <w:rPr>
                <w:rFonts w:hint="default" w:ascii="Times New Roman" w:hAnsi="Times New Roman" w:cs="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ascii="Times New Roman" w:hAnsi="Times New Roman" w:cs="Times New Roman"/>
                <w:color w:val="000000"/>
                <w:kern w:val="2"/>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ascii="Times New Roman" w:hAnsi="Times New Roman" w:cs="Times New Roman"/>
                <w:color w:val="000000"/>
                <w:kern w:val="2"/>
                <w:sz w:val="16"/>
                <w:szCs w:val="16"/>
              </w:rPr>
            </w:pPr>
          </w:p>
        </w:tc>
      </w:tr>
      <w:tr>
        <w:tblPrEx>
          <w:tblCellMar>
            <w:top w:w="0" w:type="dxa"/>
            <w:left w:w="170" w:type="dxa"/>
            <w:bottom w:w="0" w:type="dxa"/>
            <w:right w:w="170" w:type="dxa"/>
          </w:tblCellMar>
        </w:tblPrEx>
        <w:trPr>
          <w:trHeight w:val="389"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1.96</w:t>
            </w:r>
            <w:r>
              <w:rPr>
                <w:rFonts w:hint="default" w:ascii="Times New Roman" w:hAnsi="Times New Roman" w:cs="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ascii="Times New Roman" w:hAnsi="Times New Roman" w:cs="Times New Roman"/>
                <w:color w:val="000000"/>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ascii="Times New Roman" w:hAnsi="Times New Roman" w:cs="Times New Roman"/>
                <w:color w:val="000000"/>
                <w:sz w:val="16"/>
                <w:szCs w:val="16"/>
              </w:rPr>
            </w:pPr>
          </w:p>
        </w:tc>
      </w:tr>
    </w:tbl>
    <w:p>
      <w:pPr>
        <w:adjustRightInd w:val="0"/>
        <w:snapToGrid w:val="0"/>
        <w:spacing w:line="240" w:lineRule="auto"/>
        <w:ind w:firstLine="360" w:firstLineChars="200"/>
        <w:rPr>
          <w:rFonts w:hint="default" w:ascii="Times New Roman" w:hAnsi="Times New Roman" w:cs="Times New Roman"/>
          <w:sz w:val="21"/>
          <w:szCs w:val="21"/>
        </w:rPr>
      </w:pPr>
      <w:r>
        <w:rPr>
          <w:rFonts w:hint="default" w:ascii="Times New Roman" w:hAnsi="Times New Roman" w:cs="Times New Roman"/>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 xml:space="preserve">      2.本套报表金额单位转换时可能存在尾数误差。</w:t>
      </w:r>
      <w:bookmarkStart w:id="0" w:name="_GoBack"/>
      <w:bookmarkEnd w:id="0"/>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Arial">
    <w:altName w:val="Times New Roman"/>
    <w:panose1 w:val="020B0604020202020204"/>
    <w:charset w:val="00"/>
    <w:family w:val="swiss"/>
    <w:pitch w:val="default"/>
    <w:sig w:usb0="00000000" w:usb1="00000000" w:usb2="00000009" w:usb3="00000000" w:csb0="000001FF"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QeBxdMAIAAGM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hMmzLGz1zvIIHeXxdnUMkLNTOYrSK4HuxA1mr+vT8E7icP+576Ie/w3L&#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BYAAABkcnMvUEsBAhQAFAAAAAgAh07iQLNJWO7QAAAABQEAAA8AAAAAAAAAAQAgAAAAOAAAAGRy&#10;cy9kb3ducmV2LnhtbFBLAQIUABQAAAAIAIdO4kBQeBxdMAIAAGMEAAAOAAAAAAAAAAEAIAAAADUB&#10;AABkcnMvZTJvRG9jLnhtbFBLBQYAAAAABgAGAFkBAADXBQ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CjmKK6MwIAAGcEAAAOAAAAAAAAAAEAIAAA&#10;ADUBAABkcnMvZTJvRG9jLnhtbFBLBQYAAAAABgAGAFkBAADaBQ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HgNVFTYAAAACgEAAA8AAAAA&#10;AAAAAQAgAAAAOAAAAGRycy9kb3ducmV2LnhtbFBLAQIUABQAAAAIAIdO4kACxRCNNwIAAGYEAAAO&#10;AAAAAAAAAAEAIAAAAD0BAABkcnMvZTJvRG9jLnhtbFBLBQYAAAAABgAGAFkBAADmBQ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C66F95"/>
    <w:multiLevelType w:val="singleLevel"/>
    <w:tmpl w:val="D2C66F95"/>
    <w:lvl w:ilvl="0" w:tentative="0">
      <w:start w:val="4"/>
      <w:numFmt w:val="chineseCounting"/>
      <w:suff w:val="nothing"/>
      <w:lvlText w:val="%1、"/>
      <w:lvlJc w:val="left"/>
      <w:rPr>
        <w:rFonts w:hint="eastAsia"/>
      </w:rPr>
    </w:lvl>
  </w:abstractNum>
  <w:abstractNum w:abstractNumId="1">
    <w:nsid w:val="2F6CF190"/>
    <w:multiLevelType w:val="singleLevel"/>
    <w:tmpl w:val="2F6CF190"/>
    <w:lvl w:ilvl="0" w:tentative="0">
      <w:start w:val="3"/>
      <w:numFmt w:val="chineseCounting"/>
      <w:suff w:val="nothing"/>
      <w:lvlText w:val="（%1）"/>
      <w:lvlJc w:val="left"/>
      <w:rPr>
        <w:rFonts w:hint="eastAsia"/>
      </w:rPr>
    </w:lvl>
  </w:abstractNum>
  <w:abstractNum w:abstractNumId="2">
    <w:nsid w:val="35216260"/>
    <w:multiLevelType w:val="singleLevel"/>
    <w:tmpl w:val="35216260"/>
    <w:lvl w:ilvl="0" w:tentative="0">
      <w:start w:val="5"/>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0824CD"/>
    <w:rsid w:val="000873EA"/>
    <w:rsid w:val="000C3BF5"/>
    <w:rsid w:val="001D3BB7"/>
    <w:rsid w:val="001E1F6E"/>
    <w:rsid w:val="002B254B"/>
    <w:rsid w:val="004054DD"/>
    <w:rsid w:val="00466C9B"/>
    <w:rsid w:val="00550ABE"/>
    <w:rsid w:val="006B22EE"/>
    <w:rsid w:val="00770383"/>
    <w:rsid w:val="007819D4"/>
    <w:rsid w:val="007B419D"/>
    <w:rsid w:val="007B7C4B"/>
    <w:rsid w:val="007D3D39"/>
    <w:rsid w:val="008759A2"/>
    <w:rsid w:val="00966F82"/>
    <w:rsid w:val="00994AF7"/>
    <w:rsid w:val="009B67B8"/>
    <w:rsid w:val="009D2B67"/>
    <w:rsid w:val="009E78C0"/>
    <w:rsid w:val="00A566F9"/>
    <w:rsid w:val="00AF2751"/>
    <w:rsid w:val="00B03CCD"/>
    <w:rsid w:val="00BE2B89"/>
    <w:rsid w:val="00C10E9E"/>
    <w:rsid w:val="00C20C3E"/>
    <w:rsid w:val="00CF2ACF"/>
    <w:rsid w:val="00EB0F66"/>
    <w:rsid w:val="00F246D1"/>
    <w:rsid w:val="00F73F90"/>
    <w:rsid w:val="00FB4B3B"/>
    <w:rsid w:val="01474EBF"/>
    <w:rsid w:val="01F3521E"/>
    <w:rsid w:val="02692125"/>
    <w:rsid w:val="03B87EA0"/>
    <w:rsid w:val="03E3214F"/>
    <w:rsid w:val="044C50BA"/>
    <w:rsid w:val="05BC6D49"/>
    <w:rsid w:val="06194FF1"/>
    <w:rsid w:val="064E10B2"/>
    <w:rsid w:val="06A2550B"/>
    <w:rsid w:val="06F80EE2"/>
    <w:rsid w:val="07001CCA"/>
    <w:rsid w:val="075678DB"/>
    <w:rsid w:val="079D7CC7"/>
    <w:rsid w:val="08051BCA"/>
    <w:rsid w:val="086C12F4"/>
    <w:rsid w:val="08705944"/>
    <w:rsid w:val="08BA052C"/>
    <w:rsid w:val="08DB07BA"/>
    <w:rsid w:val="0969353F"/>
    <w:rsid w:val="098305D0"/>
    <w:rsid w:val="09DF6D94"/>
    <w:rsid w:val="0A3317EA"/>
    <w:rsid w:val="0A5C4B69"/>
    <w:rsid w:val="0A86124A"/>
    <w:rsid w:val="0AB54CC0"/>
    <w:rsid w:val="0B156E0E"/>
    <w:rsid w:val="0B9335CE"/>
    <w:rsid w:val="0BF2311A"/>
    <w:rsid w:val="0BF856C1"/>
    <w:rsid w:val="0C2A5909"/>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2D95F2D"/>
    <w:rsid w:val="131313DB"/>
    <w:rsid w:val="13871C70"/>
    <w:rsid w:val="13A71CB4"/>
    <w:rsid w:val="13AF1D43"/>
    <w:rsid w:val="13CE1647"/>
    <w:rsid w:val="13FD55AB"/>
    <w:rsid w:val="14200702"/>
    <w:rsid w:val="163A6CEE"/>
    <w:rsid w:val="173708E3"/>
    <w:rsid w:val="17C374FC"/>
    <w:rsid w:val="182E4AB6"/>
    <w:rsid w:val="189079DC"/>
    <w:rsid w:val="189B0D0B"/>
    <w:rsid w:val="18B43F7C"/>
    <w:rsid w:val="18E16396"/>
    <w:rsid w:val="194A1770"/>
    <w:rsid w:val="19B906A4"/>
    <w:rsid w:val="1B6F15B6"/>
    <w:rsid w:val="1BAA2EDC"/>
    <w:rsid w:val="1CA55E64"/>
    <w:rsid w:val="1D014A01"/>
    <w:rsid w:val="1D022362"/>
    <w:rsid w:val="1D1B04B0"/>
    <w:rsid w:val="1DA52501"/>
    <w:rsid w:val="1DBD6767"/>
    <w:rsid w:val="1DC52125"/>
    <w:rsid w:val="1DD26311"/>
    <w:rsid w:val="1DD71DFF"/>
    <w:rsid w:val="1E374ACB"/>
    <w:rsid w:val="1ECF0A66"/>
    <w:rsid w:val="1EF67CA4"/>
    <w:rsid w:val="1F020D3A"/>
    <w:rsid w:val="1F2C5189"/>
    <w:rsid w:val="1F4B0B02"/>
    <w:rsid w:val="1F7968C6"/>
    <w:rsid w:val="1FBB35CD"/>
    <w:rsid w:val="1FCD26AF"/>
    <w:rsid w:val="20642787"/>
    <w:rsid w:val="21556F04"/>
    <w:rsid w:val="22403BD3"/>
    <w:rsid w:val="24AD0EA1"/>
    <w:rsid w:val="24B92327"/>
    <w:rsid w:val="24C14514"/>
    <w:rsid w:val="2533755C"/>
    <w:rsid w:val="25791755"/>
    <w:rsid w:val="26396DF4"/>
    <w:rsid w:val="27167136"/>
    <w:rsid w:val="271B442C"/>
    <w:rsid w:val="27B23302"/>
    <w:rsid w:val="29310A5F"/>
    <w:rsid w:val="29C37A35"/>
    <w:rsid w:val="2A076083"/>
    <w:rsid w:val="2A73162E"/>
    <w:rsid w:val="2AA40914"/>
    <w:rsid w:val="2B167953"/>
    <w:rsid w:val="2B200583"/>
    <w:rsid w:val="2B8209DE"/>
    <w:rsid w:val="2C636760"/>
    <w:rsid w:val="2C6762A3"/>
    <w:rsid w:val="2FCA4B37"/>
    <w:rsid w:val="2FDACF8E"/>
    <w:rsid w:val="2FE029D7"/>
    <w:rsid w:val="2FF06E00"/>
    <w:rsid w:val="30586FEC"/>
    <w:rsid w:val="311C7C36"/>
    <w:rsid w:val="315F0B22"/>
    <w:rsid w:val="31D84415"/>
    <w:rsid w:val="32285F6F"/>
    <w:rsid w:val="32770556"/>
    <w:rsid w:val="329C0913"/>
    <w:rsid w:val="32AA0460"/>
    <w:rsid w:val="3337290D"/>
    <w:rsid w:val="33E31118"/>
    <w:rsid w:val="33EF7674"/>
    <w:rsid w:val="342D7BC6"/>
    <w:rsid w:val="352930DB"/>
    <w:rsid w:val="35573069"/>
    <w:rsid w:val="355F6038"/>
    <w:rsid w:val="358C217E"/>
    <w:rsid w:val="36744EED"/>
    <w:rsid w:val="36C9128A"/>
    <w:rsid w:val="37841E99"/>
    <w:rsid w:val="37BF1123"/>
    <w:rsid w:val="383C3F15"/>
    <w:rsid w:val="38BE4696"/>
    <w:rsid w:val="3939115E"/>
    <w:rsid w:val="39B82A39"/>
    <w:rsid w:val="39C42CA8"/>
    <w:rsid w:val="39DC4FD6"/>
    <w:rsid w:val="39E8775C"/>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CB699A"/>
    <w:rsid w:val="45E2495B"/>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960BEF"/>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94D7681"/>
    <w:rsid w:val="5A3B59D6"/>
    <w:rsid w:val="5AD134D8"/>
    <w:rsid w:val="5B9A01F8"/>
    <w:rsid w:val="5C263CE4"/>
    <w:rsid w:val="5C5D2777"/>
    <w:rsid w:val="5CF66BF3"/>
    <w:rsid w:val="5D290C69"/>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FD1324"/>
    <w:rsid w:val="6F583268"/>
    <w:rsid w:val="6F5A53AC"/>
    <w:rsid w:val="6FAC003D"/>
    <w:rsid w:val="6FE55E12"/>
    <w:rsid w:val="6FFB2E76"/>
    <w:rsid w:val="708F6F7F"/>
    <w:rsid w:val="70D94BD3"/>
    <w:rsid w:val="712C42E5"/>
    <w:rsid w:val="71C34D91"/>
    <w:rsid w:val="72DB435C"/>
    <w:rsid w:val="72E2613A"/>
    <w:rsid w:val="72F771F4"/>
    <w:rsid w:val="73934AD2"/>
    <w:rsid w:val="750837F0"/>
    <w:rsid w:val="754758CF"/>
    <w:rsid w:val="764F62AB"/>
    <w:rsid w:val="765C45EC"/>
    <w:rsid w:val="768A7619"/>
    <w:rsid w:val="772E1EBA"/>
    <w:rsid w:val="781926BC"/>
    <w:rsid w:val="79671A90"/>
    <w:rsid w:val="796D60A4"/>
    <w:rsid w:val="79A031D5"/>
    <w:rsid w:val="7A1525F7"/>
    <w:rsid w:val="7B420052"/>
    <w:rsid w:val="7BD06A28"/>
    <w:rsid w:val="7C3A7C0B"/>
    <w:rsid w:val="7C5248E4"/>
    <w:rsid w:val="7C566698"/>
    <w:rsid w:val="7C5866A3"/>
    <w:rsid w:val="7D7406BB"/>
    <w:rsid w:val="7DE94331"/>
    <w:rsid w:val="7E29261A"/>
    <w:rsid w:val="7F446A19"/>
    <w:rsid w:val="7F7452B9"/>
    <w:rsid w:val="90FF9ABC"/>
    <w:rsid w:val="FD1D2F27"/>
    <w:rsid w:val="FFFF448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link w:val="16"/>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character" w:customStyle="1" w:styleId="16">
    <w:name w:val="页眉 字符"/>
    <w:basedOn w:val="9"/>
    <w:link w:val="4"/>
    <w:uiPriority w:val="99"/>
    <w:rPr>
      <w:rFonts w:ascii="宋体" w:hAnsi="宋体"/>
      <w:sz w:val="18"/>
      <w:szCs w:val="18"/>
    </w:rPr>
  </w:style>
  <w:style w:type="paragraph" w:customStyle="1" w:styleId="17">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1965</Words>
  <Characters>11204</Characters>
  <Lines>93</Lines>
  <Paragraphs>26</Paragraphs>
  <TotalTime>3</TotalTime>
  <ScaleCrop>false</ScaleCrop>
  <LinksUpToDate>false</LinksUpToDate>
  <CharactersWithSpaces>13143</CharactersWithSpaces>
  <Application>WPS Office_11.8.2.12320_F1E327BC-269C-435d-A152-05C5408002CA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2024-07-11T18:00:00Z</dcterms:created>
  <dc:creator>Administrator</dc:creator>
  <cp:lastModifiedBy>mz303</cp:lastModifiedBy>
  <dcterms:modified xsi:type="dcterms:W3CDTF">2025-09-18T09:32:44Z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2052-11.8.2.12320</vt:lpwstr>
  </property>
  <property fmtid="{D5CDD505-2E9C-101B-9397-08002B2CF9AE}" pid="3" name="ICV">
    <vt:lpwstr>363182B23C3E3951B760CB686A017303</vt:lpwstr>
  </property>
  <property fmtid="{D5CDD505-2E9C-101B-9397-08002B2CF9AE}" pid="4" name="KSOTemplateDocerSaveRecord">
    <vt:lpwstr>eyJoZGlkIjoiMDUwMjYyMTAwZTM5NTcxOGVhNzI3YWZjMDRhMjZkZDEifQ==</vt:lpwstr>
  </property>
</Properties>
</file>