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垫江县民政局婚姻登记处</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kinsoku/>
        <w:wordWrap/>
        <w:overflowPunct/>
        <w:topLinePunct w:val="0"/>
        <w:autoSpaceDN/>
        <w:bidi w:val="0"/>
        <w:adjustRightInd w:val="0"/>
        <w:spacing w:before="0" w:beforeAutospacing="0" w:after="0" w:afterAutospacing="0" w:line="240" w:lineRule="auto"/>
        <w:ind w:left="0" w:firstLine="643" w:firstLineChars="200"/>
        <w:jc w:val="both"/>
        <w:textAlignment w:val="auto"/>
        <w:rPr>
          <w:rStyle w:val="10"/>
          <w:rFonts w:hint="default" w:ascii="Times New Roman" w:hAnsi="Times New Roman" w:eastAsia="黑体" w:cs="Times New Roman"/>
          <w:sz w:val="32"/>
          <w:szCs w:val="32"/>
        </w:rPr>
      </w:pPr>
    </w:p>
    <w:p>
      <w:pPr>
        <w:pStyle w:val="6"/>
        <w:keepNext w:val="0"/>
        <w:keepLines w:val="0"/>
        <w:pageBreakBefore w:val="0"/>
        <w:kinsoku/>
        <w:wordWrap/>
        <w:overflowPunct/>
        <w:topLinePunct w:val="0"/>
        <w:autoSpaceDN/>
        <w:bidi w:val="0"/>
        <w:adjustRightInd w:val="0"/>
        <w:spacing w:before="0" w:beforeAutospacing="0" w:after="0" w:afterAutospacing="0" w:line="240" w:lineRule="auto"/>
        <w:ind w:left="0" w:firstLine="643" w:firstLineChars="200"/>
        <w:jc w:val="both"/>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rPr>
        <w:t>一、单位基本情况</w:t>
      </w:r>
    </w:p>
    <w:p>
      <w:pPr>
        <w:pStyle w:val="6"/>
        <w:keepNext w:val="0"/>
        <w:keepLines w:val="0"/>
        <w:pageBreakBefore w:val="0"/>
        <w:kinsoku/>
        <w:wordWrap/>
        <w:overflowPunct/>
        <w:topLinePunct w:val="0"/>
        <w:autoSpaceDN/>
        <w:bidi w:val="0"/>
        <w:adjustRightIn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rPr>
        <w:t>（一）职能职责</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1.宣传婚姻法律。2.办理婚姻登记，补发婚姻证件，出具婚姻登记证明。3.依法撤销婚姻。4.倡导文明婚俗，提供便民服务等。</w:t>
      </w:r>
    </w:p>
    <w:p>
      <w:pPr>
        <w:keepNext w:val="0"/>
        <w:keepLines w:val="0"/>
        <w:pageBreakBefore w:val="0"/>
        <w:kinsoku/>
        <w:wordWrap/>
        <w:overflowPunct/>
        <w:topLinePunct w:val="0"/>
        <w:autoSpaceDN/>
        <w:bidi w:val="0"/>
        <w:spacing w:beforeAutospacing="0" w:afterAutospacing="0" w:line="240" w:lineRule="auto"/>
        <w:ind w:left="0" w:firstLine="643" w:firstLineChars="200"/>
        <w:jc w:val="both"/>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rPr>
        <w:t>（二）机构设置</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从预算单位构成看，我单位为民政局下属二级单位，无下属机构。</w:t>
      </w:r>
    </w:p>
    <w:p>
      <w:pPr>
        <w:pStyle w:val="6"/>
        <w:keepNext w:val="0"/>
        <w:keepLines w:val="0"/>
        <w:pageBreakBefore w:val="0"/>
        <w:shd w:val="clear" w:color="auto" w:fill="FFFFFF"/>
        <w:kinsoku/>
        <w:wordWrap/>
        <w:overflowPunct/>
        <w:topLinePunct w:val="0"/>
        <w:autoSpaceDN/>
        <w:bidi w:val="0"/>
        <w:spacing w:before="0" w:beforeAutospacing="0" w:after="0" w:afterAutospacing="0" w:line="240" w:lineRule="auto"/>
        <w:ind w:left="0"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2024年度收入总计72.95万元，支出总计72.95</w:t>
      </w:r>
      <w:r>
        <w:rPr>
          <w:rFonts w:hint="default" w:ascii="Times New Roman" w:hAnsi="Times New Roman" w:eastAsia="方正仿宋_GBK" w:cs="Times New Roman"/>
          <w:sz w:val="32"/>
          <w:szCs w:val="32"/>
          <w:shd w:val="clear" w:color="auto" w:fill="FFFFFF"/>
        </w:rPr>
        <w:t>万元。收、支与2023年度相比，增加6.22万元，增长9.3%，主要原因是人员转正定级和补缴21-23年养老保险、职业年金，财政拨款收入增加。</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2.收入情况</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2024年度收入合计72.95万元，与2023年度相比，增加6.22万元，增长9.3%，主要原因是人员转正定级和补缴21-23年养老保险、职业年金，财政拨款收入增加。其中：财政拨款收入72.95</w:t>
      </w:r>
      <w:r>
        <w:rPr>
          <w:rFonts w:hint="default" w:ascii="Times New Roman" w:hAnsi="Times New Roman" w:eastAsia="方正仿宋_GBK" w:cs="Times New Roman"/>
          <w:sz w:val="32"/>
          <w:szCs w:val="32"/>
          <w:shd w:val="clear" w:color="auto" w:fill="FFFFFF"/>
        </w:rPr>
        <w:t>万元，占100.0%</w:t>
      </w:r>
      <w:r>
        <w:rPr>
          <w:rFonts w:hint="default" w:ascii="Times New Roman" w:hAnsi="Times New Roman" w:eastAsia="方正仿宋_GBK" w:cs="Times New Roman"/>
          <w:sz w:val="32"/>
          <w:szCs w:val="32"/>
          <w:shd w:val="clear" w:color="auto" w:fill="FFFFFF"/>
        </w:rPr>
        <w:t>；事业收入0.00</w:t>
      </w:r>
      <w:r>
        <w:rPr>
          <w:rFonts w:hint="default" w:ascii="Times New Roman" w:hAnsi="Times New Roman" w:eastAsia="方正仿宋_GBK" w:cs="Times New Roman"/>
          <w:sz w:val="32"/>
          <w:szCs w:val="32"/>
          <w:shd w:val="clear" w:color="auto" w:fill="FFFFFF"/>
        </w:rPr>
        <w:t>万元，占0.0%；经营收入0.00</w:t>
      </w:r>
      <w:r>
        <w:rPr>
          <w:rFonts w:hint="default" w:ascii="Times New Roman" w:hAnsi="Times New Roman" w:eastAsia="方正仿宋_GBK" w:cs="Times New Roman"/>
          <w:sz w:val="32"/>
          <w:szCs w:val="32"/>
          <w:shd w:val="clear" w:color="auto" w:fill="FFFFFF"/>
        </w:rPr>
        <w:t>万元，占0.0%；其他收入0.00</w:t>
      </w:r>
      <w:r>
        <w:rPr>
          <w:rFonts w:hint="default" w:ascii="Times New Roman" w:hAnsi="Times New Roman" w:eastAsia="方正仿宋_GBK" w:cs="Times New Roman"/>
          <w:sz w:val="32"/>
          <w:szCs w:val="32"/>
          <w:shd w:val="clear" w:color="auto" w:fill="FFFFFF"/>
        </w:rPr>
        <w:t>万元，占0.0%。此外，使用非财政拨款结余和专用结余0.00</w:t>
      </w:r>
      <w:r>
        <w:rPr>
          <w:rFonts w:hint="default" w:ascii="Times New Roman" w:hAnsi="Times New Roman" w:eastAsia="方正仿宋_GBK" w:cs="Times New Roman"/>
          <w:sz w:val="32"/>
          <w:szCs w:val="32"/>
          <w:shd w:val="clear" w:color="auto" w:fill="FFFFFF"/>
        </w:rPr>
        <w:t>万元，年初结转和结余0.00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72.95</w:t>
      </w:r>
      <w:r>
        <w:rPr>
          <w:rFonts w:hint="default" w:ascii="Times New Roman" w:hAnsi="Times New Roman" w:eastAsia="方正仿宋_GBK" w:cs="Times New Roman"/>
          <w:sz w:val="32"/>
          <w:szCs w:val="32"/>
          <w:shd w:val="clear" w:color="auto" w:fill="FFFFFF"/>
        </w:rPr>
        <w:t>万元，与2023年度相比，增加6.22万元，增长9.3%，主要原因一是人员转正定级，二是补缴21-23年养老保险和职业年金。其中：基本支出</w:t>
      </w:r>
      <w:r>
        <w:rPr>
          <w:rFonts w:hint="default" w:ascii="Times New Roman" w:hAnsi="Times New Roman" w:eastAsia="方正仿宋_GBK" w:cs="Times New Roman"/>
          <w:sz w:val="32"/>
          <w:szCs w:val="32"/>
        </w:rPr>
        <w:t>72.95</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r>
        <w:rPr>
          <w:rStyle w:val="10"/>
          <w:rFonts w:hint="default" w:ascii="Times New Roman" w:hAnsi="Times New Roman" w:eastAsia="方正仿宋_GBK" w:cs="Times New Roman"/>
          <w:sz w:val="32"/>
          <w:szCs w:val="32"/>
          <w:shd w:val="clear" w:color="auto" w:fill="FFFFFF"/>
        </w:rPr>
        <w:t xml:space="preserve"> </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2024年度财政拨款收、支总计72.95万元。与2022年相比，财政拨款收、支总计各增加6.22万元，增长9.3%。主要原因一是人员转正定级，二是补缴21-23年养老保险和职业年金。</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2024年度一般公共预算财政拨款收入72.95</w:t>
      </w:r>
      <w:r>
        <w:rPr>
          <w:rFonts w:hint="default" w:ascii="Times New Roman" w:hAnsi="Times New Roman" w:eastAsia="方正仿宋_GBK" w:cs="Times New Roman"/>
          <w:sz w:val="32"/>
          <w:szCs w:val="32"/>
          <w:shd w:val="clear" w:color="auto" w:fill="FFFFFF"/>
        </w:rPr>
        <w:t>万元，与2023年度相比，增加6.22万元，增长9.3%。主要原因是人员转正定级和补缴21-23年养老保险、职业年金，财政拨款收入增加。较年初预算数增加0.69万元，增长1.0%。主要原因一是人员转正定级进行了工资追加，二是补21-23年养老保险和职业年金。此外，年初财政拨款结转和结余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2024年度一般公共预算财政拨款支出72.95</w:t>
      </w:r>
      <w:r>
        <w:rPr>
          <w:rFonts w:hint="default" w:ascii="Times New Roman" w:hAnsi="Times New Roman" w:eastAsia="方正仿宋_GBK" w:cs="Times New Roman"/>
          <w:sz w:val="32"/>
          <w:szCs w:val="32"/>
          <w:shd w:val="clear" w:color="auto" w:fill="FFFFFF"/>
        </w:rPr>
        <w:t>万元，与2023年度相比，增加6.22万元，增长9.3%。主要原因一是人员转正定级，二是补缴21-23年养老保险和职业年金。较年初预算数增加0.69万元，增长1.0%。主要原因一是人员转正定级进行了工资追加，二是补缴21-23年养老保险和职业年金。</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r>
        <w:rPr>
          <w:rStyle w:val="10"/>
          <w:rFonts w:hint="default" w:ascii="Times New Roman" w:hAnsi="Times New Roman" w:eastAsia="方正仿宋_GBK" w:cs="Times New Roman"/>
          <w:sz w:val="32"/>
          <w:szCs w:val="32"/>
          <w:shd w:val="clear" w:color="auto" w:fill="FFFFFF"/>
        </w:rPr>
        <w:t xml:space="preserve"> </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（1）教育支出0.00</w:t>
      </w:r>
      <w:r>
        <w:rPr>
          <w:rFonts w:hint="default" w:ascii="Times New Roman" w:hAnsi="Times New Roman" w:eastAsia="方正仿宋_GBK" w:cs="Times New Roman"/>
          <w:sz w:val="32"/>
          <w:szCs w:val="32"/>
          <w:shd w:val="clear" w:color="auto" w:fill="FFFFFF"/>
        </w:rPr>
        <w:t>万元，占0.0%</w:t>
      </w:r>
      <w:r>
        <w:rPr>
          <w:rFonts w:hint="default" w:ascii="Times New Roman" w:hAnsi="Times New Roman" w:eastAsia="方正仿宋_GBK" w:cs="Times New Roman"/>
          <w:sz w:val="32"/>
          <w:szCs w:val="32"/>
          <w:shd w:val="clear" w:color="auto" w:fill="FFFFFF"/>
        </w:rPr>
        <w:t>，较年初预算数减少0.18万元，下降100.0%，主要原因是培训费用支出减少。</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（2）社会保障与就业支出65.20</w:t>
      </w:r>
      <w:r>
        <w:rPr>
          <w:rFonts w:hint="default" w:ascii="Times New Roman" w:hAnsi="Times New Roman" w:eastAsia="方正仿宋_GBK" w:cs="Times New Roman"/>
          <w:sz w:val="32"/>
          <w:szCs w:val="32"/>
          <w:shd w:val="clear" w:color="auto" w:fill="FFFFFF"/>
        </w:rPr>
        <w:t>万元，占89.4%</w:t>
      </w:r>
      <w:r>
        <w:rPr>
          <w:rFonts w:hint="default" w:ascii="Times New Roman" w:hAnsi="Times New Roman" w:eastAsia="方正仿宋_GBK" w:cs="Times New Roman"/>
          <w:sz w:val="32"/>
          <w:szCs w:val="32"/>
          <w:shd w:val="clear" w:color="auto" w:fill="FFFFFF"/>
        </w:rPr>
        <w:t>，较年初预算数增加1.15万元，增长1.8%，主要原因一是人员转正定级进行了工资追加，二是补缴21-23年养老保险和职业年金。</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（3）卫生健康支出3.28</w:t>
      </w:r>
      <w:r>
        <w:rPr>
          <w:rFonts w:hint="default" w:ascii="Times New Roman" w:hAnsi="Times New Roman" w:eastAsia="方正仿宋_GBK" w:cs="Times New Roman"/>
          <w:sz w:val="32"/>
          <w:szCs w:val="32"/>
          <w:shd w:val="clear" w:color="auto" w:fill="FFFFFF"/>
        </w:rPr>
        <w:t>万元，占4.5%</w:t>
      </w:r>
      <w:r>
        <w:rPr>
          <w:rFonts w:hint="default" w:ascii="Times New Roman" w:hAnsi="Times New Roman" w:eastAsia="方正仿宋_GBK" w:cs="Times New Roman"/>
          <w:sz w:val="32"/>
          <w:szCs w:val="32"/>
          <w:shd w:val="clear" w:color="auto" w:fill="FFFFFF"/>
        </w:rPr>
        <w:t>，较年初预算数减少0.12万元，下降3.5%，主要原因是有人员退休，减少了医疗保险的支出。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（4）住房保障支出4.47</w:t>
      </w:r>
      <w:r>
        <w:rPr>
          <w:rFonts w:hint="default" w:ascii="Times New Roman" w:hAnsi="Times New Roman" w:eastAsia="方正仿宋_GBK" w:cs="Times New Roman"/>
          <w:sz w:val="32"/>
          <w:szCs w:val="32"/>
          <w:shd w:val="clear" w:color="auto" w:fill="FFFFFF"/>
        </w:rPr>
        <w:t>万元，占6.1%</w:t>
      </w:r>
      <w:r>
        <w:rPr>
          <w:rFonts w:hint="default" w:ascii="Times New Roman" w:hAnsi="Times New Roman" w:eastAsia="方正仿宋_GBK" w:cs="Times New Roman"/>
          <w:sz w:val="32"/>
          <w:szCs w:val="32"/>
          <w:shd w:val="clear" w:color="auto" w:fill="FFFFFF"/>
        </w:rPr>
        <w:t>，较年初预算数减少0.15万元，下降3.3%，主要原因是有人员退休，减少了医疗保险的支出。</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72.95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60.74</w:t>
      </w:r>
      <w:r>
        <w:rPr>
          <w:rFonts w:hint="default" w:ascii="Times New Roman" w:hAnsi="Times New Roman" w:eastAsia="方正仿宋_GBK" w:cs="Times New Roman"/>
          <w:sz w:val="32"/>
          <w:szCs w:val="32"/>
          <w:shd w:val="clear" w:color="auto" w:fill="FFFFFF"/>
        </w:rPr>
        <w:t>万元，与2023年度相比，增加4.79万元，增长8.6%，主要原因一是人员转正定级进行了工资追加，二是补21-23年养老保险和职业年金。</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kern w:val="2"/>
          <w:sz w:val="32"/>
          <w:szCs w:val="32"/>
        </w:rPr>
        <w:t>基本工资、津贴补贴、奖金、其他社会保障缴费、伙食补助费、绩效工资、机关事业单位基本养老保险缴费、职业年金缴费、其他工资福利支出、职工住房公积金、离退休费等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12.21</w:t>
      </w:r>
      <w:r>
        <w:rPr>
          <w:rFonts w:hint="default" w:ascii="Times New Roman" w:hAnsi="Times New Roman" w:eastAsia="方正仿宋_GBK" w:cs="Times New Roman"/>
          <w:sz w:val="32"/>
          <w:szCs w:val="32"/>
          <w:shd w:val="clear" w:color="auto" w:fill="FFFFFF"/>
        </w:rPr>
        <w:t>万元，与2023年度相比，增加1.43万元，增长13.3%，主要原因是引导婚俗礼仪新风尚，倡导和推广体现优秀中华文化的传统婚礼，组织举办了第四届集体婚礼，导致了公用经费的增加。</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kern w:val="2"/>
          <w:sz w:val="32"/>
          <w:szCs w:val="32"/>
        </w:rPr>
        <w:t>办公费、印刷费、水费、电费、邮电费、差旅费、维修(护)费、会议费、培训费、公务接待费、专用材料费、劳务费、工会经费、公务用车运行维护费、其他交通费、其他商品和服务支出等</w:t>
      </w:r>
      <w:r>
        <w:rPr>
          <w:rFonts w:hint="default" w:ascii="Times New Roman" w:hAnsi="Times New Roman" w:eastAsia="方正仿宋_GBK" w:cs="Times New Roman"/>
          <w:sz w:val="32"/>
          <w:szCs w:val="32"/>
        </w:rPr>
        <w:t>。</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w:t>
      </w:r>
      <w:r>
        <w:rPr>
          <w:rFonts w:hint="default" w:ascii="Times New Roman" w:hAnsi="Times New Roman" w:eastAsia="方正仿宋_GBK" w:cs="Times New Roman"/>
          <w:sz w:val="32"/>
          <w:szCs w:val="32"/>
          <w:shd w:val="clear" w:color="auto" w:fill="FFFFFF"/>
        </w:rPr>
        <w:t>万元，年末结转结余0.00</w:t>
      </w:r>
      <w:r>
        <w:rPr>
          <w:rFonts w:hint="default" w:ascii="Times New Roman" w:hAnsi="Times New Roman" w:eastAsia="方正仿宋_GBK" w:cs="Times New Roman"/>
          <w:sz w:val="32"/>
          <w:szCs w:val="32"/>
          <w:shd w:val="clear" w:color="auto" w:fill="FFFFFF"/>
        </w:rPr>
        <w:t>万元。本年收入0.00</w:t>
      </w:r>
      <w:r>
        <w:rPr>
          <w:rFonts w:hint="default" w:ascii="Times New Roman" w:hAnsi="Times New Roman" w:eastAsia="方正仿宋_GBK" w:cs="Times New Roman"/>
          <w:sz w:val="32"/>
          <w:szCs w:val="32"/>
          <w:shd w:val="clear" w:color="auto" w:fill="FFFFFF"/>
        </w:rPr>
        <w:t>万元，与2023年度相比，无增减，主要原因是本年度无政府性基金预算财政拨款收入。</w:t>
      </w:r>
      <w:r>
        <w:rPr>
          <w:rFonts w:hint="default" w:ascii="Times New Roman" w:hAnsi="Times New Roman" w:eastAsia="方正仿宋_GBK" w:cs="Times New Roman"/>
          <w:sz w:val="32"/>
          <w:szCs w:val="32"/>
          <w:shd w:val="clear" w:color="auto" w:fill="FFFFFF"/>
        </w:rPr>
        <w:t>本年支出0.00</w:t>
      </w:r>
      <w:r>
        <w:rPr>
          <w:rFonts w:hint="default" w:ascii="Times New Roman" w:hAnsi="Times New Roman" w:eastAsia="方正仿宋_GBK" w:cs="Times New Roman"/>
          <w:sz w:val="32"/>
          <w:szCs w:val="32"/>
          <w:shd w:val="clear" w:color="auto" w:fill="FFFFFF"/>
        </w:rPr>
        <w:t>万元，与2023年度相比，无增减，主要原因是本年度无政府性基金预算财政拨款支出。本单位2024年度无政府性基金预算财政拨款收支。</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shd w:val="clear" w:color="auto" w:fill="FFFFFF"/>
        <w:kinsoku/>
        <w:wordWrap/>
        <w:overflowPunct/>
        <w:topLinePunct w:val="0"/>
        <w:autoSpaceDN/>
        <w:bidi w:val="0"/>
        <w:spacing w:before="0" w:beforeAutospacing="0" w:after="0" w:afterAutospacing="0" w:line="240" w:lineRule="auto"/>
        <w:ind w:left="0"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2024年度“三公”经费支出共计0万元，较年初预算数无增减，主要原因是本单位2024年度未发生“三公”经费支出。较上年支出数无增减，主要原因是本单位本年度及上年度均未发生“三公”经费支出。</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本单位2024年度未发生因公出国（境）支出。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本单位2024年度未发生因公出国（境）支出。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本单位2024年度未发生因公出国（境）支出。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本单位2024年度未发生公务车购置支出。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本单位2024年度未发生公务车购置支出。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本单位2024年度未发生公务车购置支出。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本单位2024年度未发生公务车运行维护支出。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本单位2024年度未发生公务车运行维护支出。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本单位2024年度未发生公务车运行维护支出。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公务接待费0万元，费用支出较年初预算数无增减，主要原因是本单位2024年度未发生公务接待费。较上年支出数无增减，主要原因是本单位本年度及上年度均未发生公务接待费。</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spacing w:before="0" w:beforeAutospacing="0" w:after="0" w:afterAutospacing="0" w:line="240" w:lineRule="auto"/>
        <w:ind w:left="0"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万元，与2023年度相比，无增减，主要原因是本年度未召开会议。本年度培训费支出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万元，与2023年度相比，减少0.11万元，下降100.0%，主要原因是本年度未开展相关培训。</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12.21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机关运行经费主要用于开支办公费、会议费、公务车运行维护费、信息网络购置更新费、邮电费、水费、电费、差旅费、专用材料费等。</w:t>
      </w:r>
      <w:r>
        <w:rPr>
          <w:rFonts w:hint="default" w:ascii="Times New Roman" w:hAnsi="Times New Roman" w:eastAsia="方正仿宋_GBK" w:cs="Times New Roman"/>
          <w:sz w:val="32"/>
          <w:szCs w:val="32"/>
          <w:shd w:val="clear" w:color="auto" w:fill="FFFFFF"/>
        </w:rPr>
        <w:t>机关运行经费较上年支出数增加1.43万元，增长13.3%，主要原因是引导婚俗礼仪新风尚，倡导和推广体现优秀中华文化的传统婚礼，组织举办了第四届集体婚礼，导致了</w:t>
      </w:r>
      <w:r>
        <w:rPr>
          <w:rFonts w:hint="default" w:ascii="Times New Roman" w:hAnsi="Times New Roman" w:eastAsia="方正仿宋_GBK" w:cs="Times New Roman"/>
          <w:sz w:val="32"/>
          <w:szCs w:val="32"/>
        </w:rPr>
        <w:t>机关运行经费</w:t>
      </w:r>
      <w:r>
        <w:rPr>
          <w:rFonts w:hint="default" w:ascii="Times New Roman" w:hAnsi="Times New Roman" w:eastAsia="方正仿宋_GBK" w:cs="Times New Roman"/>
          <w:sz w:val="32"/>
          <w:szCs w:val="32"/>
          <w:shd w:val="clear" w:color="auto" w:fill="FFFFFF"/>
        </w:rPr>
        <w:t>的增加。</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r>
        <w:rPr>
          <w:rFonts w:hint="default" w:ascii="Times New Roman" w:hAnsi="Times New Roman" w:eastAsia="方正仿宋_GBK" w:cs="Times New Roman"/>
          <w:sz w:val="32"/>
          <w:szCs w:val="32"/>
        </w:rPr>
        <w:t>。</w:t>
      </w:r>
    </w:p>
    <w:p>
      <w:pPr>
        <w:pStyle w:val="6"/>
        <w:keepNext w:val="0"/>
        <w:keepLines w:val="0"/>
        <w:pageBreakBefore w:val="0"/>
        <w:shd w:val="clear" w:color="auto" w:fill="FFFFFF"/>
        <w:kinsoku/>
        <w:wordWrap/>
        <w:overflowPunct/>
        <w:topLinePunct w:val="0"/>
        <w:autoSpaceDN/>
        <w:bidi w:val="0"/>
        <w:spacing w:before="0" w:beforeAutospacing="0" w:after="0" w:afterAutospacing="0" w:line="240" w:lineRule="auto"/>
        <w:ind w:left="0"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jc w:val="both"/>
        <w:textAlignment w:val="auto"/>
        <w:rPr>
          <w:rFonts w:hint="default" w:ascii="Times New Roman" w:hAnsi="Times New Roman" w:eastAsia="楷体" w:cs="Times New Roman"/>
          <w:b/>
          <w:bCs/>
          <w:sz w:val="32"/>
          <w:szCs w:val="32"/>
          <w:lang w:bidi="ar"/>
        </w:rPr>
      </w:pPr>
      <w:r>
        <w:rPr>
          <w:rFonts w:hint="default" w:ascii="Times New Roman" w:hAnsi="Times New Roman" w:eastAsia="楷体" w:cs="Times New Roman"/>
          <w:b/>
          <w:bCs/>
          <w:sz w:val="32"/>
          <w:szCs w:val="32"/>
          <w:lang w:bidi="ar"/>
        </w:rPr>
        <w:t>（一）单位自评情况</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我单位无预算项目，未开展预算绩效管理工作。</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jc w:val="both"/>
        <w:textAlignment w:val="auto"/>
        <w:rPr>
          <w:rFonts w:hint="default" w:ascii="Times New Roman" w:hAnsi="Times New Roman" w:eastAsia="楷体" w:cs="Times New Roman"/>
          <w:b/>
          <w:bCs/>
          <w:sz w:val="32"/>
          <w:szCs w:val="32"/>
          <w:lang w:bidi="ar"/>
        </w:rPr>
      </w:pPr>
      <w:r>
        <w:rPr>
          <w:rFonts w:hint="default" w:ascii="Times New Roman" w:hAnsi="Times New Roman" w:eastAsia="楷体" w:cs="Times New Roman"/>
          <w:b/>
          <w:bCs/>
          <w:sz w:val="32"/>
          <w:szCs w:val="32"/>
          <w:lang w:bidi="ar"/>
        </w:rPr>
        <w:t>（二）单位绩效评价情况</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3" w:firstLineChars="200"/>
        <w:jc w:val="both"/>
        <w:textAlignment w:val="auto"/>
        <w:rPr>
          <w:rFonts w:hint="default" w:ascii="Times New Roman" w:hAnsi="Times New Roman" w:eastAsia="楷体" w:cs="Times New Roman"/>
          <w:b/>
          <w:bCs/>
          <w:sz w:val="32"/>
          <w:szCs w:val="32"/>
          <w:lang w:bidi="ar"/>
        </w:rPr>
      </w:pPr>
      <w:r>
        <w:rPr>
          <w:rFonts w:hint="default" w:ascii="Times New Roman" w:hAnsi="Times New Roman" w:eastAsia="楷体" w:cs="Times New Roman"/>
          <w:b/>
          <w:bCs/>
          <w:sz w:val="32"/>
          <w:szCs w:val="32"/>
          <w:lang w:bidi="ar"/>
        </w:rPr>
        <w:t>（三）财政绩效评价情况</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pPr>
        <w:pStyle w:val="6"/>
        <w:keepNext w:val="0"/>
        <w:keepLines w:val="0"/>
        <w:pageBreakBefore w:val="0"/>
        <w:numPr>
          <w:ilvl w:val="0"/>
          <w:numId w:val="1"/>
        </w:numPr>
        <w:shd w:val="clear" w:color="auto" w:fill="FFFFFF"/>
        <w:kinsoku/>
        <w:wordWrap/>
        <w:overflowPunct/>
        <w:topLinePunct w:val="0"/>
        <w:autoSpaceDN/>
        <w:bidi w:val="0"/>
        <w:spacing w:before="0" w:beforeAutospacing="0" w:after="0" w:afterAutospacing="0" w:line="240" w:lineRule="auto"/>
        <w:ind w:left="0"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专业名词解释</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 （一）财政拨款收入</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w:t>
      </w:r>
      <w:bookmarkStart w:id="0" w:name="_GoBack"/>
      <w:bookmarkEnd w:id="0"/>
      <w:r>
        <w:rPr>
          <w:rFonts w:hint="default" w:ascii="Times New Roman" w:hAnsi="Times New Roman" w:eastAsia="方正仿宋_GBK" w:cs="Times New Roman"/>
          <w:sz w:val="32"/>
          <w:szCs w:val="32"/>
          <w:shd w:val="clear" w:color="auto" w:fill="FFFFFF"/>
        </w:rPr>
        <w:t>，包括一般公共预算财政拨款和政府性基金预算财政拨款。</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 （二）事业收入</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snapToGrid w:val="0"/>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wordWrap/>
        <w:overflowPunct/>
        <w:topLinePunct w:val="0"/>
        <w:autoSpaceDN/>
        <w:bidi w:val="0"/>
        <w:spacing w:before="0" w:beforeAutospacing="0" w:after="0" w:afterAutospacing="0" w:line="240" w:lineRule="auto"/>
        <w:ind w:left="0" w:firstLine="643" w:firstLineChars="200"/>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七、决算公开联系方式及信息反馈渠道</w:t>
      </w:r>
    </w:p>
    <w:p>
      <w:pPr>
        <w:pStyle w:val="11"/>
        <w:keepNext w:val="0"/>
        <w:keepLines w:val="0"/>
        <w:pageBreakBefore w:val="0"/>
        <w:kinsoku/>
        <w:wordWrap/>
        <w:overflowPunct/>
        <w:topLinePunct w:val="0"/>
        <w:autoSpaceDE w:val="0"/>
        <w:autoSpaceDN/>
        <w:bidi w:val="0"/>
        <w:spacing w:beforeAutospacing="0" w:afterAutospacing="0" w:line="240" w:lineRule="auto"/>
        <w:ind w:left="0" w:firstLine="640" w:firstLineChars="200"/>
        <w:textAlignment w:val="auto"/>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本单位决算公开信息反馈和联系方式：李老师，02374668513。</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垫江县民政局婚姻登记处</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垫江县民政局婚姻登记处</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72.95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72.95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垫江县民政局婚姻登记处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72.95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72.95</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垫江县民政局婚姻登记处</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垫江县民政局婚姻登记处</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垫江县民政局婚姻登记处</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垫江县民政局婚姻登记处</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垫江县民政局婚姻登记处</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垫江县民政局婚姻登记处</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06EC8"/>
    <w:multiLevelType w:val="singleLevel"/>
    <w:tmpl w:val="E9606EC8"/>
    <w:lvl w:ilvl="0" w:tentative="0">
      <w:start w:val="6"/>
      <w:numFmt w:val="chineseCounting"/>
      <w:suff w:val="nothing"/>
      <w:lvlText w:val="%1、"/>
      <w:lvlJc w:val="left"/>
      <w:pPr>
        <w:ind w:left="88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YzdmZTkxNTQ5NWUyYmY3NTJmYmMyOGUwNWZlOWEifQ=="/>
  </w:docVars>
  <w:rsids>
    <w:rsidRoot w:val="00B03CCD"/>
    <w:rsid w:val="000C01CC"/>
    <w:rsid w:val="000D7702"/>
    <w:rsid w:val="00143DC8"/>
    <w:rsid w:val="00261065"/>
    <w:rsid w:val="002772AF"/>
    <w:rsid w:val="002D0E5A"/>
    <w:rsid w:val="002D2486"/>
    <w:rsid w:val="002E5443"/>
    <w:rsid w:val="0032196C"/>
    <w:rsid w:val="004C12FF"/>
    <w:rsid w:val="0051571C"/>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13ED6"/>
    <w:rsid w:val="00B40138"/>
    <w:rsid w:val="00BF5A85"/>
    <w:rsid w:val="00C307F6"/>
    <w:rsid w:val="00C96B11"/>
    <w:rsid w:val="00CC6B99"/>
    <w:rsid w:val="00DF7706"/>
    <w:rsid w:val="00E05175"/>
    <w:rsid w:val="00E12409"/>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03E6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7F4EB3"/>
    <w:rsid w:val="2B8209DE"/>
    <w:rsid w:val="2C6762A3"/>
    <w:rsid w:val="2E34621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7D2630C"/>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6DC669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EDFFF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1981</Words>
  <Characters>11293</Characters>
  <Lines>94</Lines>
  <Paragraphs>26</Paragraphs>
  <TotalTime>86</TotalTime>
  <ScaleCrop>false</ScaleCrop>
  <LinksUpToDate>false</LinksUpToDate>
  <CharactersWithSpaces>13248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mz303</cp:lastModifiedBy>
  <dcterms:modified xsi:type="dcterms:W3CDTF">2025-09-18T09:36:54Z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3F2E04F6D24E689D5861CB689DF1D958</vt:lpwstr>
  </property>
  <property fmtid="{D5CDD505-2E9C-101B-9397-08002B2CF9AE}" pid="4" name="KSOTemplateDocerSaveRecord">
    <vt:lpwstr>eyJoZGlkIjoiMDUwMjYyMTAwZTM5NTcxOGVhNzI3YWZjMDRhMjZkZDEifQ==</vt:lpwstr>
  </property>
</Properties>
</file>