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垫江县社会福利院</w:t>
      </w: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6"/>
        <w:shd w:val="clear" w:color="auto" w:fill="FFFFFF"/>
        <w:ind w:firstLine="643" w:firstLineChars="200"/>
        <w:jc w:val="both"/>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提供收养服务，弘扬救助精神，特困人员供养，孤残儿童、弃婴收养和送养，收留抚养孤儿，提供生活照料、教育、医疗、康复等服务；提供老人自愿有偿收养服务，老年人日间照料；养老服务评估。</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本单位内部机构设置为民政局下属二级单位，无下属机构，机构规格：事业正科级</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Fonts w:hint="default" w:ascii="Times New Roman" w:hAnsi="Times New Roman" w:eastAsia="黑体" w:cs="Times New Roman"/>
          <w:b/>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2024年度收入总计587.55万元，支出总计587.55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2024年度收入合计587.55万元，与2023年度相比，减少39.13万元，下降6.2%，主要原因是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587.55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587.55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438.63</w:t>
      </w:r>
      <w:r>
        <w:rPr>
          <w:rFonts w:hint="default" w:ascii="Times New Roman" w:hAnsi="Times New Roman" w:eastAsia="方正仿宋_GBK" w:cs="Times New Roman"/>
          <w:sz w:val="32"/>
          <w:szCs w:val="32"/>
          <w:shd w:val="clear" w:color="auto" w:fill="FFFFFF"/>
        </w:rPr>
        <w:t>万元，占74.7%；项目支出</w:t>
      </w:r>
      <w:r>
        <w:rPr>
          <w:rFonts w:hint="default" w:ascii="Times New Roman" w:hAnsi="Times New Roman" w:eastAsia="方正仿宋_GBK" w:cs="Times New Roman"/>
          <w:sz w:val="32"/>
          <w:szCs w:val="32"/>
        </w:rPr>
        <w:t>148.92</w:t>
      </w:r>
      <w:r>
        <w:rPr>
          <w:rFonts w:hint="default" w:ascii="Times New Roman" w:hAnsi="Times New Roman" w:eastAsia="方正仿宋_GBK" w:cs="Times New Roman"/>
          <w:sz w:val="32"/>
          <w:szCs w:val="32"/>
          <w:shd w:val="clear" w:color="auto" w:fill="FFFFFF"/>
        </w:rPr>
        <w:t>万元，占25.4%；经营支出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万元，与2023年度相比，无增减，主要原因是本单位本年度无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结转结余</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2024年度财政拨款收、支总计587.55万元。与2022年相比，财政拨款收、支总计各减少39.13万元，下降6.2%。主要原因是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587.55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。较年初预算数增加157.06万元，增长36.5%。主要原因是本单位救济费每月根据供养人员实际情况进行调剂，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据实支出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587.55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万元，与2023年度相比，减少39.13万元，下降6.2%。主要原因是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2023年度向财政和民政申请消防整改资金80余万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。较年初预算数增加157.06万元，增长36.5%。主要原因是本单位救济费每月根据供养人员实际情况进行调剂，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据实支出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万元，与2023年度相比，无增减，主要原因是本单位年末无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结转结余</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10"/>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2.92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w:t>
      </w:r>
      <w:r>
        <w:rPr>
          <w:rFonts w:hint="default" w:ascii="Times New Roman" w:hAnsi="Times New Roman" w:eastAsia="方正仿宋_GBK" w:cs="Times New Roman"/>
          <w:sz w:val="32"/>
          <w:szCs w:val="32"/>
          <w:shd w:val="clear" w:color="auto" w:fill="FFFFFF"/>
        </w:rPr>
        <w:t>，较年初预算数增加1.86万元，增长175.5%，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主要原因是单位为了提升职工的工作效率，促进团队协作，强化初心使命，对每位干部都安排了适量的培训。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542.62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92.4%</w:t>
      </w:r>
      <w:r>
        <w:rPr>
          <w:rFonts w:hint="default" w:ascii="Times New Roman" w:hAnsi="Times New Roman" w:eastAsia="方正仿宋_GBK" w:cs="Times New Roman"/>
          <w:sz w:val="32"/>
          <w:szCs w:val="32"/>
          <w:shd w:val="clear" w:color="auto" w:fill="FFFFFF"/>
        </w:rPr>
        <w:t>，较年初预算数增加145.39万元，增长36.6%，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主要原因是本单位救济费每月根据供养人员实际情况进行调剂，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据实支出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13.39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shd w:val="clear" w:color="auto" w:fill="FFFFFF"/>
        </w:rPr>
        <w:t>，较年初预算数减少1.24万元，下降8.5%，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主要原因是2024年2月退休1人，5月死亡1人。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（4）住房保障支出28.62万元，占4.9%，较年初预算数增加11.06万元，增长63.0%，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主要原因是2024年补交职工住房公积金。</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438.63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414.19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万元，与2023年度相比，减少30.56万元，下降6.9%，主要原因是2024年2月退休1人，5月死亡1人。人员经费用途主要包括</w:t>
      </w:r>
      <w:r>
        <w:rPr>
          <w:rFonts w:hint="default" w:ascii="Times New Roman" w:hAnsi="Times New Roman" w:eastAsia="仿宋" w:cs="Times New Roman"/>
          <w:color w:val="000000" w:themeColor="text1"/>
          <w:sz w:val="32"/>
          <w:szCs w:val="32"/>
          <w14:textFill>
            <w14:solidFill>
              <w14:schemeClr w14:val="tx1"/>
            </w14:solidFill>
          </w14:textFill>
        </w:rPr>
        <w:t>基本工资、津贴补贴、奖金、其他社会保障缴费、伙食补助费、绩效工资、机关事业单位基本养老保险缴费、职业年金缴费、其他工资福利支出、职工住房公积金、离退休费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24.44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万元，与2023年度相比，减少11.19万元，下降31.4%，主要原因是厉行节约，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严控支出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。公用经费用途主要包括办公费、印刷费、水费、电费、邮电费、差旅费、维修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(护)费、会议费、培训费、公务接待费、专用材料费、劳务费、工会经费、公务用车运行维护费、其他交通费、其他商品和服务支出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3.11</w:t>
      </w:r>
      <w:r>
        <w:rPr>
          <w:rFonts w:hint="default" w:ascii="Times New Roman" w:hAnsi="Times New Roman" w:eastAsia="方正仿宋_GBK" w:cs="Times New Roman"/>
          <w:sz w:val="32"/>
          <w:szCs w:val="32"/>
          <w:shd w:val="clear" w:color="auto" w:fill="FFFFFF"/>
        </w:rPr>
        <w:t>万元，较年初预算数减少0.14万元，下降4.3%，主要原因是</w:t>
      </w:r>
      <w:r>
        <w:rPr>
          <w:rFonts w:hint="default" w:ascii="Times New Roman" w:hAnsi="Times New Roman" w:eastAsia="方正仿宋_GBK" w:cs="Times New Roman"/>
          <w:color w:val="333333"/>
          <w:sz w:val="32"/>
          <w:szCs w:val="32"/>
          <w:shd w:val="clear" w:color="auto" w:fill="FFFFFF"/>
        </w:rPr>
        <w:t>坚持从严从简，带头过“紧日子”，勤俭办一切事业，从实际出发安排公务活动，取消不必要的公务活动，保证正常公务活动；坚持公开透明</w:t>
      </w:r>
      <w:r>
        <w:rPr>
          <w:rFonts w:hint="default" w:ascii="Times New Roman" w:hAnsi="Times New Roman" w:eastAsia="方正仿宋_GBK" w:cs="Times New Roman"/>
          <w:sz w:val="32"/>
          <w:szCs w:val="32"/>
          <w:shd w:val="clear" w:color="auto" w:fill="FFFFFF"/>
        </w:rPr>
        <w:t>。较上年支出数减少0.02万元，下降0.6%，主要原因是</w:t>
      </w:r>
      <w:r>
        <w:rPr>
          <w:rFonts w:hint="default" w:ascii="Times New Roman" w:hAnsi="Times New Roman" w:eastAsia="方正仿宋_GBK" w:cs="Times New Roman"/>
          <w:color w:val="333333"/>
          <w:sz w:val="32"/>
          <w:szCs w:val="32"/>
          <w:shd w:val="clear" w:color="auto" w:fill="FFFFFF"/>
        </w:rPr>
        <w:t>坚持从严从简，带头过“紧日子”，勤俭办一切事业，从实际出发安排公务活动，取消不必要的公务活动，保证正常公务活动，坚持公开透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明。</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2.90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本单位业务工作所需车辆的燃料费、维修费、过桥过路费、保险费等。费用支出较年初预算数减少0.10万元，下降3.3%，主要原因是坚持从严从简，带头过“紧日子”，勤俭办一切事业，从实际出发安排公务活动，取消不必要的公务活动，保证正常公务活动，坚持公开透明。较上年支出数增加0.01万元，增长0.4%，主要原因是主要原因是坚持从严从简，带头过“紧日子”，勤俭办一切事业，从实际出发安排公务活动，取消不必要的公务活动，保证正常公务活动，坚持公开透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0.21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14:textFill>
            <w14:solidFill>
              <w14:schemeClr w14:val="tx1"/>
            </w14:solidFill>
          </w14:textFill>
        </w:rPr>
        <w:t>接待市级相关部门检查指导工作发生的接待支出、市内其他区县社会福利院来我院参观学习的接待支出以及涉外收养回访接待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0.04万元，下降16.0%，主要原因是坚持从严从简，带头过“紧日子”，勤俭办一切事业，从实际出发安排公务活动，取消不必要的公务活动，保证正常公务活动，坚持公开透明。较上年支出数减少0.03万元，下降12.5%，主要原因是坚持从严从简，带头过“紧日子”，勤俭办一切事业，从实际出发安排公务活动，取消不必要的公务活动，保证正常公务活动，坚持公开透明。</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45.91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2.90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万元，与2023年度相比，无增减，主要原因是本年度无会议支出。。本年度培训费支出</w:t>
      </w:r>
      <w:r>
        <w:rPr>
          <w:rFonts w:hint="default" w:ascii="Times New Roman" w:hAnsi="Times New Roman" w:eastAsia="方正仿宋_GBK" w:cs="Times New Roman"/>
          <w:sz w:val="32"/>
          <w:szCs w:val="32"/>
        </w:rPr>
        <w:t>2.92</w:t>
      </w:r>
      <w:r>
        <w:rPr>
          <w:rFonts w:hint="default" w:ascii="Times New Roman" w:hAnsi="Times New Roman" w:eastAsia="方正仿宋_GBK" w:cs="Times New Roman"/>
          <w:sz w:val="32"/>
          <w:szCs w:val="32"/>
          <w:shd w:val="clear" w:color="auto" w:fill="FFFFFF"/>
        </w:rPr>
        <w:t>万元，与2023年度相比，减少0.21万元，下降6.7%，主要原因是2024年死亡职工1名。</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sz w:val="32"/>
          <w:szCs w:val="32"/>
          <w:shd w:val="clear" w:color="auto" w:fill="FFFFFF"/>
        </w:rPr>
        <w:t>（</w:t>
      </w: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截至2024年12月31日，本部门共有车辆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88.31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67.39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19.80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88.31万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88.31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%。主要用于采购院坝整修、特困人员社工服务。</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（一）单位自评情况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根据预算绩效管理要求，我单位对5个二级项目开展了绩效自评，涉及财政拨款项目支出资金148.92万元</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12"/>
        <w:autoSpaceDE w:val="0"/>
        <w:spacing w:before="0" w:beforeAutospacing="0" w:line="600" w:lineRule="exact"/>
        <w:jc w:val="both"/>
        <w:rPr>
          <w:rFonts w:hint="default" w:ascii="Times New Roman" w:hAnsi="Times New Roman" w:eastAsia="方正仿宋_GBK"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28"/>
          <w:szCs w:val="28"/>
          <w:shd w:val="clear" w:color="auto" w:fill="FFFFFF"/>
          <w14:textFill>
            <w14:solidFill>
              <w14:schemeClr w14:val="tx1"/>
            </w14:solidFill>
          </w14:textFill>
        </w:rPr>
        <w:t xml:space="preserve"> </w:t>
      </w:r>
    </w:p>
    <w:p>
      <w:pPr>
        <w:pStyle w:val="12"/>
        <w:spacing w:before="0" w:beforeAutospacing="0"/>
        <w:jc w:val="both"/>
        <w:rPr>
          <w:rFonts w:hint="default" w:ascii="Times New Roman" w:hAnsi="Times New Roman" w:eastAsia="微软雅黑" w:cs="Times New Roman"/>
          <w:b/>
          <w:bCs/>
          <w:color w:val="000000"/>
          <w:sz w:val="40"/>
          <w:szCs w:val="40"/>
          <w:lang w:bidi="ar"/>
        </w:rPr>
        <w:sectPr>
          <w:footerReference r:id="rId3" w:type="default"/>
          <w:pgSz w:w="11915" w:h="16840"/>
          <w:pgMar w:top="1440" w:right="1800" w:bottom="1440" w:left="1800" w:header="851" w:footer="992" w:gutter="0"/>
          <w:pgNumType w:fmt="numberInDash"/>
          <w:cols w:space="720" w:num="1"/>
          <w:docGrid w:type="lines" w:linePitch="312" w:charSpace="0"/>
        </w:sectPr>
      </w:pPr>
    </w:p>
    <w:p>
      <w:pPr>
        <w:jc w:val="both"/>
        <w:textAlignment w:val="center"/>
        <w:rPr>
          <w:rFonts w:hint="default" w:ascii="Times New Roman" w:hAnsi="Times New Roman" w:eastAsia="微软雅黑" w:cs="Times New Roman"/>
          <w:b/>
          <w:bCs/>
          <w:color w:val="000000"/>
          <w:sz w:val="40"/>
          <w:szCs w:val="40"/>
          <w:lang w:bidi="ar"/>
        </w:rPr>
        <w:sectPr>
          <w:pgSz w:w="11915" w:h="16840"/>
          <w:pgMar w:top="1440" w:right="1800" w:bottom="1440" w:left="1800" w:header="851" w:footer="992" w:gutter="0"/>
          <w:pgNumType w:fmt="numberInDash"/>
          <w:cols w:space="720" w:num="1"/>
          <w:docGrid w:type="lines" w:linePitch="326" w:charSpace="0"/>
        </w:sectPr>
      </w:pPr>
      <w:r>
        <w:rPr>
          <w:rFonts w:hint="default" w:ascii="Times New Roman" w:hAnsi="Times New Roman" w:cs="Times New Roman"/>
        </w:rPr>
        <w:drawing>
          <wp:inline distT="0" distB="0" distL="114300" distR="114300">
            <wp:extent cx="5869940" cy="488632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874238" cy="4889599"/>
                    </a:xfrm>
                    <a:prstGeom prst="rect">
                      <a:avLst/>
                    </a:prstGeom>
                    <a:noFill/>
                    <a:ln>
                      <a:noFill/>
                    </a:ln>
                  </pic:spPr>
                </pic:pic>
              </a:graphicData>
            </a:graphic>
          </wp:inline>
        </w:drawing>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w:t>
      </w:r>
      <w:bookmarkStart w:id="0" w:name="_GoBack"/>
      <w:bookmarkEnd w:id="0"/>
      <w:r>
        <w:rPr>
          <w:rFonts w:hint="default" w:ascii="Times New Roman" w:hAnsi="Times New Roman" w:eastAsia="方正仿宋_GBK" w:cs="Times New Roman"/>
          <w:sz w:val="32"/>
          <w:szCs w:val="32"/>
        </w:rPr>
        <w:t>未开展</w:t>
      </w:r>
      <w:r>
        <w:rPr>
          <w:rFonts w:hint="default" w:ascii="Times New Roman" w:hAnsi="Times New Roman" w:eastAsia="方正仿宋_GBK" w:cs="Times New Roman"/>
          <w:sz w:val="32"/>
          <w:szCs w:val="32"/>
        </w:rPr>
        <w:t>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县财政局未委托第三方对我单位开展绩效评价。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firstLine="643"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Style w:val="10"/>
          <w:rFonts w:hint="default" w:ascii="Times New Roman" w:hAnsi="Times New Roman" w:eastAsia="方正仿宋_GBK" w:cs="Times New Roman"/>
          <w:b w:val="0"/>
          <w:sz w:val="32"/>
          <w:szCs w:val="32"/>
        </w:rPr>
        <w:sectPr>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本单位决算公开信息反馈和联系方式：冯老师</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023-74605299）。</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垫江县社会福利院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587.55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542.62</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587.55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587.55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587.55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587.55</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p>
    <w:p>
      <w:pPr>
        <w:spacing w:line="24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垫江县社会福利院</w:t>
            </w:r>
          </w:p>
        </w:tc>
        <w:tc>
          <w:tcPr>
            <w:tcW w:w="46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587.55</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587.55</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542.62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542.62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326.59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326.59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社会福利事业单位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292.47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292.47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垫江县社会福利院 </w:t>
            </w: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587.55</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438.63</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148.92</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542.62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393.70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148.92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326.59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268.47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58.11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社会福利事业单位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292.47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268.47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pPr>
        <w:jc w:val="both"/>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垫江县社会福利院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542.62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542.62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587.55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垫江县社会福利院</w:t>
            </w:r>
          </w:p>
        </w:tc>
        <w:tc>
          <w:tcPr>
            <w:tcW w:w="107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587.55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438.63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148.92</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542.62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393.70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148.92</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114.98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326.59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268.47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58.11</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社会福利事业单位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268.47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34.11</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0.81</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0.81</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6.39</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81.61</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28.62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28.62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垫江县社会福利院</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44.32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414.19</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24.44</w:t>
            </w:r>
            <w:r>
              <w:rPr>
                <w:rFonts w:hint="default" w:ascii="Times New Roman" w:hAnsi="Times New Roman" w:cs="Times New Roman"/>
                <w:color w:val="000000"/>
                <w:sz w:val="18"/>
              </w:rPr>
              <w:t xml:space="preserve"> </w:t>
            </w:r>
          </w:p>
        </w:tc>
      </w:tr>
    </w:tbl>
    <w:p>
      <w:pPr>
        <w:spacing w:line="28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垫江县社会福利院</w:t>
            </w: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垫江县社会福利院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垫江县社会福利院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88.31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67.39</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19.80</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88.31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88.31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6"/>
                <w:szCs w:val="16"/>
              </w:rPr>
            </w:pPr>
          </w:p>
        </w:tc>
      </w:tr>
    </w:tbl>
    <w:p>
      <w:pPr>
        <w:jc w:val="both"/>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Times New Roman"/>
    <w:panose1 w:val="020B0604020202020204"/>
    <w:charset w:val="00"/>
    <w:family w:val="swiss"/>
    <w:pitch w:val="default"/>
    <w:sig w:usb0="00000000" w:usb1="00000000" w:usb2="00000009" w:usb3="00000000" w:csb0="000001F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7660"/>
    <w:rsid w:val="000150E7"/>
    <w:rsid w:val="0002444B"/>
    <w:rsid w:val="0009550E"/>
    <w:rsid w:val="000C01CC"/>
    <w:rsid w:val="000D7702"/>
    <w:rsid w:val="00261065"/>
    <w:rsid w:val="002D0E5A"/>
    <w:rsid w:val="002E5443"/>
    <w:rsid w:val="0032196C"/>
    <w:rsid w:val="00330674"/>
    <w:rsid w:val="003C6E91"/>
    <w:rsid w:val="00424598"/>
    <w:rsid w:val="004C12FF"/>
    <w:rsid w:val="00550ABE"/>
    <w:rsid w:val="005B023C"/>
    <w:rsid w:val="005C49F3"/>
    <w:rsid w:val="005C77E6"/>
    <w:rsid w:val="00600322"/>
    <w:rsid w:val="006137D7"/>
    <w:rsid w:val="00634FA8"/>
    <w:rsid w:val="0063613A"/>
    <w:rsid w:val="0065494F"/>
    <w:rsid w:val="006C5365"/>
    <w:rsid w:val="006E2034"/>
    <w:rsid w:val="00711713"/>
    <w:rsid w:val="00732079"/>
    <w:rsid w:val="00732392"/>
    <w:rsid w:val="007453EA"/>
    <w:rsid w:val="00792285"/>
    <w:rsid w:val="007A0D2E"/>
    <w:rsid w:val="007A3314"/>
    <w:rsid w:val="007B419D"/>
    <w:rsid w:val="00810F13"/>
    <w:rsid w:val="00944711"/>
    <w:rsid w:val="009821E3"/>
    <w:rsid w:val="00984852"/>
    <w:rsid w:val="009B67B8"/>
    <w:rsid w:val="00A03B1E"/>
    <w:rsid w:val="00A27C2C"/>
    <w:rsid w:val="00A631B9"/>
    <w:rsid w:val="00A67739"/>
    <w:rsid w:val="00A820B7"/>
    <w:rsid w:val="00AC5566"/>
    <w:rsid w:val="00B03CCD"/>
    <w:rsid w:val="00B40138"/>
    <w:rsid w:val="00B86D45"/>
    <w:rsid w:val="00BB1B44"/>
    <w:rsid w:val="00BF5A85"/>
    <w:rsid w:val="00C12EBE"/>
    <w:rsid w:val="00C307F6"/>
    <w:rsid w:val="00C96B11"/>
    <w:rsid w:val="00CA4CE0"/>
    <w:rsid w:val="00CC6B99"/>
    <w:rsid w:val="00CD05E8"/>
    <w:rsid w:val="00CD1499"/>
    <w:rsid w:val="00CD2CD0"/>
    <w:rsid w:val="00DD2936"/>
    <w:rsid w:val="00DF7706"/>
    <w:rsid w:val="00E05175"/>
    <w:rsid w:val="00E06432"/>
    <w:rsid w:val="00E26F36"/>
    <w:rsid w:val="00E654E2"/>
    <w:rsid w:val="00E76362"/>
    <w:rsid w:val="00EA16DF"/>
    <w:rsid w:val="00F137D3"/>
    <w:rsid w:val="00F13C36"/>
    <w:rsid w:val="00F23C68"/>
    <w:rsid w:val="00F32C53"/>
    <w:rsid w:val="00F73F90"/>
    <w:rsid w:val="00F7623D"/>
    <w:rsid w:val="00F8598B"/>
    <w:rsid w:val="00FA0819"/>
    <w:rsid w:val="00FE7B5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7E221F6"/>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9D2F59"/>
    <w:rsid w:val="4A263DF2"/>
    <w:rsid w:val="4A6F6675"/>
    <w:rsid w:val="4B0502DF"/>
    <w:rsid w:val="4B135857"/>
    <w:rsid w:val="4B7951CB"/>
    <w:rsid w:val="4B7C315C"/>
    <w:rsid w:val="4DAC4ACA"/>
    <w:rsid w:val="4DBE01D2"/>
    <w:rsid w:val="4EC47359"/>
    <w:rsid w:val="4EFC6D10"/>
    <w:rsid w:val="4F0C6BA3"/>
    <w:rsid w:val="4F10477D"/>
    <w:rsid w:val="4F186D58"/>
    <w:rsid w:val="4FEA65B7"/>
    <w:rsid w:val="4FF4660A"/>
    <w:rsid w:val="50F06B6E"/>
    <w:rsid w:val="511C4FE5"/>
    <w:rsid w:val="52234D33"/>
    <w:rsid w:val="522F6E0C"/>
    <w:rsid w:val="5236367A"/>
    <w:rsid w:val="52463BA1"/>
    <w:rsid w:val="52F163D4"/>
    <w:rsid w:val="531A2DB4"/>
    <w:rsid w:val="53C0244D"/>
    <w:rsid w:val="53DD4D4E"/>
    <w:rsid w:val="53E578CE"/>
    <w:rsid w:val="541330F0"/>
    <w:rsid w:val="54272666"/>
    <w:rsid w:val="543B029D"/>
    <w:rsid w:val="54861779"/>
    <w:rsid w:val="552256E1"/>
    <w:rsid w:val="554E5773"/>
    <w:rsid w:val="555A3CBC"/>
    <w:rsid w:val="556F17ED"/>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DFF7A12"/>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CED2902"/>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2345</Words>
  <Characters>13370</Characters>
  <Lines>111</Lines>
  <Paragraphs>31</Paragraphs>
  <TotalTime>19</TotalTime>
  <ScaleCrop>false</ScaleCrop>
  <LinksUpToDate>false</LinksUpToDate>
  <CharactersWithSpaces>15684</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mz303</cp:lastModifiedBy>
  <dcterms:modified xsi:type="dcterms:W3CDTF">2025-09-18T09:30:01Z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4D78963F1267E760555FCB68D3E86F39</vt:lpwstr>
  </property>
  <property fmtid="{D5CDD505-2E9C-101B-9397-08002B2CF9AE}" pid="4" name="KSOTemplateDocerSaveRecord">
    <vt:lpwstr>eyJoZGlkIjoiNjY0MGZhMzRlMzQzNGE3Y2JmN2QyOGU5YjA5NDc2NGMiLCJ1c2VySWQiOiIxNDc4NzA3Njc0In0=</vt:lpwstr>
  </property>
</Properties>
</file>