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垫江县救助管理站</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1"/>
          <w:rFonts w:hint="default" w:ascii="Times New Roman" w:hAnsi="Times New Roman" w:eastAsia="黑体" w:cs="Times New Roman"/>
          <w:sz w:val="32"/>
          <w:szCs w:val="32"/>
          <w:shd w:val="clear" w:color="auto" w:fill="FFFFFF"/>
        </w:rPr>
      </w:pP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sz w:val="32"/>
          <w:szCs w:val="32"/>
          <w:shd w:val="clear" w:color="auto" w:fill="FFFFFF"/>
        </w:rPr>
        <w:t>一、单位基本情况</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（一）职能职责</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负责贯彻落实流浪乞讨儿童救助、未成年人救助保护工作，负责儿童福利机构建设管理工作。</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Fonts w:hint="default" w:ascii="Times New Roman" w:hAnsi="Times New Roman" w:eastAsia="楷体" w:cs="Times New Roman"/>
          <w:sz w:val="32"/>
          <w:szCs w:val="32"/>
        </w:rPr>
      </w:pPr>
      <w:r>
        <w:rPr>
          <w:rStyle w:val="11"/>
          <w:rFonts w:hint="default" w:ascii="Times New Roman" w:hAnsi="Times New Roman" w:eastAsia="楷体" w:cs="Times New Roman"/>
          <w:sz w:val="32"/>
          <w:szCs w:val="32"/>
          <w:shd w:val="clear" w:color="auto" w:fill="FFFFFF"/>
        </w:rPr>
        <w:t>（二）机构设置</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我站2024年为民政局下属二级单位，无下属机构。</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二、单位决算收支情况说明</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98.45万元，支出总计98.45万元。收、支与2023年度相比，减少10.10万元，下降9.3%，主要原因一是机关过紧日子，缩减办公开支，公用经费减少。二是流浪乞讨救助宣传工作逐见成效，流浪乞讨人员减少，项目经费减少。</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2024年度收入合计98.45万元，与2023年度相比，减少10.10万元，下降9.3%，主要原因一是机关过紧日子，缩减办公开支，公用经费减少。二是</w:t>
      </w:r>
      <w:r>
        <w:rPr>
          <w:rFonts w:hint="default" w:ascii="Times New Roman" w:hAnsi="Times New Roman" w:eastAsia="方正仿宋_GBK" w:cs="Times New Roman"/>
          <w:kern w:val="2"/>
          <w:sz w:val="32"/>
          <w:szCs w:val="32"/>
        </w:rPr>
        <w:t>流浪乞讨救助宣传工作逐见成效，流浪乞讨人员减少，项目经费减少。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98.45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98.45</w:t>
      </w:r>
      <w:r>
        <w:rPr>
          <w:rFonts w:hint="default" w:ascii="Times New Roman" w:hAnsi="Times New Roman" w:eastAsia="方正仿宋_GBK" w:cs="Times New Roman"/>
          <w:sz w:val="32"/>
          <w:szCs w:val="32"/>
          <w:shd w:val="clear" w:color="auto" w:fill="FFFFFF"/>
        </w:rPr>
        <w:t>万元，与2023年度相比，减少10.10万元，下降9.3%，主要原因一是机关过紧日子，缩减办公开支，公用经费减少。二是</w:t>
      </w:r>
      <w:r>
        <w:rPr>
          <w:rFonts w:hint="default" w:ascii="Times New Roman" w:hAnsi="Times New Roman" w:eastAsia="方正仿宋_GBK" w:cs="Times New Roman"/>
          <w:kern w:val="2"/>
          <w:sz w:val="32"/>
          <w:szCs w:val="32"/>
        </w:rPr>
        <w:t>流浪乞讨救助宣传工作逐见成效，流浪乞讨人员减少，项目经费减少。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53.18</w:t>
      </w:r>
      <w:r>
        <w:rPr>
          <w:rFonts w:hint="default" w:ascii="Times New Roman" w:hAnsi="Times New Roman" w:eastAsia="方正仿宋_GBK" w:cs="Times New Roman"/>
          <w:sz w:val="32"/>
          <w:szCs w:val="32"/>
          <w:shd w:val="clear" w:color="auto" w:fill="FFFFFF"/>
        </w:rPr>
        <w:t>万元，占54.0%；项目支出</w:t>
      </w:r>
      <w:r>
        <w:rPr>
          <w:rFonts w:hint="default" w:ascii="Times New Roman" w:hAnsi="Times New Roman" w:eastAsia="方正仿宋_GBK" w:cs="Times New Roman"/>
          <w:sz w:val="32"/>
          <w:szCs w:val="32"/>
        </w:rPr>
        <w:t>45.27</w:t>
      </w:r>
      <w:r>
        <w:rPr>
          <w:rFonts w:hint="default" w:ascii="Times New Roman" w:hAnsi="Times New Roman" w:eastAsia="方正仿宋_GBK" w:cs="Times New Roman"/>
          <w:sz w:val="32"/>
          <w:szCs w:val="32"/>
          <w:shd w:val="clear" w:color="auto" w:fill="FFFFFF"/>
        </w:rPr>
        <w:t>万元，占46.0%；经营支出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。2024年度年末结转和结余0.00万元，与2023年度相比，无增减，主要原因是本年度与上年度均无结转结余。</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2024年度财政拨款收、支总计98.45万元。与2023年相比，财政拨款收、支总计各减少10.10万元，下降9.3%。主要原因是一是机关过紧日子，缩减办公开支，公用经费减少。二是</w:t>
      </w:r>
      <w:r>
        <w:rPr>
          <w:rFonts w:hint="default" w:ascii="Times New Roman" w:hAnsi="Times New Roman" w:eastAsia="方正仿宋_GBK" w:cs="Times New Roman"/>
          <w:kern w:val="2"/>
          <w:sz w:val="32"/>
          <w:szCs w:val="32"/>
        </w:rPr>
        <w:t>流浪乞讨救助宣传工作逐见成效，流浪乞讨人员减少，项目经费减少。</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98.45</w:t>
      </w:r>
      <w:r>
        <w:rPr>
          <w:rFonts w:hint="default" w:ascii="Times New Roman" w:hAnsi="Times New Roman" w:eastAsia="方正仿宋_GBK" w:cs="Times New Roman"/>
          <w:sz w:val="32"/>
          <w:szCs w:val="32"/>
          <w:shd w:val="clear" w:color="auto" w:fill="FFFFFF"/>
        </w:rPr>
        <w:t>万元，与2023年度相比，减少10.10万元，下降9.3%。主要原因一是机关过紧日子，缩减办公开支，公用经费减少。二是</w:t>
      </w:r>
      <w:r>
        <w:rPr>
          <w:rFonts w:hint="default" w:ascii="Times New Roman" w:hAnsi="Times New Roman" w:eastAsia="方正仿宋_GBK" w:cs="Times New Roman"/>
          <w:kern w:val="2"/>
          <w:sz w:val="32"/>
          <w:szCs w:val="32"/>
        </w:rPr>
        <w:t>流浪乞讨救助宣传工作逐见成效，流浪乞讨人员减少，项目经费减少。</w:t>
      </w:r>
      <w:r>
        <w:rPr>
          <w:rFonts w:hint="default" w:ascii="Times New Roman" w:hAnsi="Times New Roman" w:eastAsia="方正仿宋_GBK" w:cs="Times New Roman"/>
          <w:sz w:val="32"/>
          <w:szCs w:val="32"/>
          <w:shd w:val="clear" w:color="auto" w:fill="FFFFFF"/>
        </w:rPr>
        <w:t>较年初预算数增加40.66万元，增长70.4%。主要原因是</w:t>
      </w:r>
      <w:r>
        <w:rPr>
          <w:rFonts w:hint="default" w:ascii="Times New Roman" w:hAnsi="Times New Roman" w:eastAsia="方正仿宋_GBK" w:cs="Times New Roman"/>
          <w:sz w:val="32"/>
          <w:szCs w:val="32"/>
        </w:rPr>
        <w:t>年中追加了困难群众救助资金。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98.45</w:t>
      </w:r>
      <w:r>
        <w:rPr>
          <w:rFonts w:hint="default" w:ascii="Times New Roman" w:hAnsi="Times New Roman" w:eastAsia="方正仿宋_GBK" w:cs="Times New Roman"/>
          <w:sz w:val="32"/>
          <w:szCs w:val="32"/>
          <w:shd w:val="clear" w:color="auto" w:fill="FFFFFF"/>
        </w:rPr>
        <w:t>万元，与2023年度相比，减少10.10万元，下降9.3%。主要原因是一是机关过紧日子，缩减办公开支，公用经费减少。二是</w:t>
      </w:r>
      <w:r>
        <w:rPr>
          <w:rFonts w:hint="default" w:ascii="Times New Roman" w:hAnsi="Times New Roman" w:eastAsia="方正仿宋_GBK" w:cs="Times New Roman"/>
          <w:kern w:val="2"/>
          <w:sz w:val="32"/>
          <w:szCs w:val="32"/>
        </w:rPr>
        <w:t>流浪乞讨救助宣传工作逐见成效，流浪乞讨人员减少，项目经费减少。</w:t>
      </w:r>
      <w:r>
        <w:rPr>
          <w:rFonts w:hint="default" w:ascii="Times New Roman" w:hAnsi="Times New Roman" w:eastAsia="方正仿宋_GBK" w:cs="Times New Roman"/>
          <w:sz w:val="32"/>
          <w:szCs w:val="32"/>
          <w:shd w:val="clear" w:color="auto" w:fill="FFFFFF"/>
        </w:rPr>
        <w:t>较年初预算数增加40.66万元，增长70.4%。主要原因是</w:t>
      </w:r>
      <w:r>
        <w:rPr>
          <w:rFonts w:hint="default" w:ascii="Times New Roman" w:hAnsi="Times New Roman" w:eastAsia="方正仿宋_GBK" w:cs="Times New Roman"/>
          <w:sz w:val="32"/>
          <w:szCs w:val="32"/>
        </w:rPr>
        <w:t>年中追加了困难群众救助资金。</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。2024年度年末一般公共预算财政拨款结转和结余0.00万元，与2023年度相比，无增减，主要原因是本年度与上年度均无结转结余。</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，较年初预算数减少0.13万元，下降100.0%，主要原因是2024年本单位无培训工作。</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92.31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93.8%</w:t>
      </w:r>
      <w:r>
        <w:rPr>
          <w:rFonts w:hint="default" w:ascii="Times New Roman" w:hAnsi="Times New Roman" w:eastAsia="方正仿宋_GBK" w:cs="Times New Roman"/>
          <w:sz w:val="32"/>
          <w:szCs w:val="32"/>
          <w:shd w:val="clear" w:color="auto" w:fill="FFFFFF"/>
        </w:rPr>
        <w:t>，较年初预算数增加40.00万元，增长76.5%，主要原因是</w:t>
      </w:r>
      <w:r>
        <w:rPr>
          <w:rFonts w:hint="default" w:ascii="Times New Roman" w:hAnsi="Times New Roman" w:eastAsia="方正仿宋_GBK" w:cs="Times New Roman"/>
          <w:sz w:val="32"/>
          <w:szCs w:val="32"/>
        </w:rPr>
        <w:t>年初预算未下达完所有资金，年中又追加了困难群众救助资金。</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2.48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，较年初预算数增加0.21万元，增长9.3%，主要原因是2024年7月新进参公人员1名，</w:t>
      </w:r>
      <w:r>
        <w:rPr>
          <w:rFonts w:hint="default" w:ascii="Times New Roman" w:hAnsi="Times New Roman" w:eastAsia="方正仿宋_GBK" w:cs="Times New Roman"/>
          <w:sz w:val="32"/>
          <w:szCs w:val="32"/>
        </w:rPr>
        <w:t>卫生健康支出主要用于缴纳职工医疗保险。</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（4）住房保障支出3.66万元，占3.7%，较年初预算数增加0.57万元，增长18.5%，主要原因一是年初预算未全额保障，二是2024年7月新进参公人员1名，住房保障支出主要用于缴纳职工住房公积金。</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53.18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44.78</w:t>
      </w:r>
      <w:r>
        <w:rPr>
          <w:rFonts w:hint="default" w:ascii="Times New Roman" w:hAnsi="Times New Roman" w:eastAsia="方正仿宋_GBK" w:cs="Times New Roman"/>
          <w:sz w:val="32"/>
          <w:szCs w:val="32"/>
          <w:shd w:val="clear" w:color="auto" w:fill="FFFFFF"/>
        </w:rPr>
        <w:t>万元，与2023年度相比，增加12.56万元，增长39.0%，主要原因是2024年7月新进参公人员1名，人员经费增加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基本工资、津贴补贴、奖金、其他社会保障缴费、伙食补助费、绩效工资、机关事业单位基本养老保险缴费、职业年金缴费、其他工资福利支出、职工住房公积金。</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8.40</w:t>
      </w:r>
      <w:r>
        <w:rPr>
          <w:rFonts w:hint="default" w:ascii="Times New Roman" w:hAnsi="Times New Roman" w:eastAsia="方正仿宋_GBK" w:cs="Times New Roman"/>
          <w:sz w:val="32"/>
          <w:szCs w:val="32"/>
          <w:shd w:val="clear" w:color="auto" w:fill="FFFFFF"/>
        </w:rPr>
        <w:t>万元，与2023年度相比，减少14.26万元，下降62.9%，主要原因是机关过“紧日子”，缩减办公开支，取消差旅费等，经费减少。公用经费用途主要包括</w:t>
      </w:r>
      <w:r>
        <w:rPr>
          <w:rFonts w:hint="default" w:ascii="Times New Roman" w:hAnsi="Times New Roman" w:eastAsia="方正仿宋_GBK" w:cs="Times New Roman"/>
          <w:sz w:val="32"/>
          <w:szCs w:val="32"/>
        </w:rPr>
        <w:t>办公费、印刷费、水费、电费、邮电费、差旅费、维修(护)费、会议费、培训费、公务接待费、专用材料费、劳务费、工会经费、公务用车运行维护费、其他交通费、其他商品和服务支出。</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2024年度国有资本经营预算财政拨本年支出0.00万元，基本支出0.00万元，项目支出0.00万元。本单位2024年度无国有资本经营预算财政拨款支出。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三、财政拨款“三公”经费情况说明</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1.12</w:t>
      </w:r>
      <w:r>
        <w:rPr>
          <w:rFonts w:hint="default" w:ascii="Times New Roman" w:hAnsi="Times New Roman" w:eastAsia="方正仿宋_GBK" w:cs="Times New Roman"/>
          <w:sz w:val="32"/>
          <w:szCs w:val="32"/>
          <w:shd w:val="clear" w:color="auto" w:fill="FFFFFF"/>
        </w:rPr>
        <w:t>万元，较年初预算数减少2.96万元，下降72.6%，主要原因是</w:t>
      </w:r>
      <w:r>
        <w:rPr>
          <w:rFonts w:hint="default" w:ascii="Times New Roman" w:hAnsi="Times New Roman" w:eastAsia="方正仿宋_GBK" w:cs="Times New Roman"/>
          <w:sz w:val="32"/>
          <w:szCs w:val="32"/>
        </w:rPr>
        <w:t>严格贯彻落实中央八项规定精神和厉行节约要求。</w:t>
      </w:r>
      <w:r>
        <w:rPr>
          <w:rFonts w:hint="default" w:ascii="Times New Roman" w:hAnsi="Times New Roman" w:eastAsia="方正仿宋_GBK" w:cs="Times New Roman"/>
          <w:sz w:val="32"/>
          <w:szCs w:val="32"/>
          <w:shd w:val="clear" w:color="auto" w:fill="FFFFFF"/>
        </w:rPr>
        <w:t>较上年支出数减少0.27万元，下降19.4%，主要原因是</w:t>
      </w:r>
      <w:r>
        <w:rPr>
          <w:rFonts w:hint="default" w:ascii="Times New Roman" w:hAnsi="Times New Roman" w:eastAsia="方正仿宋_GBK" w:cs="Times New Roman"/>
          <w:sz w:val="32"/>
          <w:szCs w:val="32"/>
        </w:rPr>
        <w:t>严格贯彻落实中央八项规定精神和厉行节约要求。</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本单位2024年度未发生因公出国（境）支出。</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本单位2024年度未发生公务车购置支出。</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1.09</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民政救助工作开展所需的车辆的燃料费、维修费、过桥过路费、保险费等。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费用支出较年初预算数减少2.91万元，下降72.8%，主要原因是</w:t>
      </w:r>
      <w:r>
        <w:rPr>
          <w:rFonts w:hint="default" w:ascii="Times New Roman" w:hAnsi="Times New Roman" w:eastAsia="方正仿宋_GBK" w:cs="Times New Roman"/>
          <w:sz w:val="32"/>
          <w:szCs w:val="32"/>
        </w:rPr>
        <w:t>严格落实公车使用规定，严禁公车私用，公车运行维护成本大幅下降。</w:t>
      </w:r>
      <w:r>
        <w:rPr>
          <w:rFonts w:hint="default" w:ascii="Times New Roman" w:hAnsi="Times New Roman" w:eastAsia="方正仿宋_GBK" w:cs="Times New Roman"/>
          <w:sz w:val="32"/>
          <w:szCs w:val="32"/>
          <w:shd w:val="clear" w:color="auto" w:fill="FFFFFF"/>
        </w:rPr>
        <w:t>较上年支出数减少0.22万元，下降16.8%，主要原因是</w:t>
      </w:r>
      <w:r>
        <w:rPr>
          <w:rFonts w:hint="default" w:ascii="Times New Roman" w:hAnsi="Times New Roman" w:eastAsia="方正仿宋_GBK" w:cs="Times New Roman"/>
          <w:sz w:val="32"/>
          <w:szCs w:val="32"/>
        </w:rPr>
        <w:t>严格落实公车使用规定，严禁公车私用，公车运行维护成本大幅下降。</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0.03万元，主要用于接待市级相关部门检查指导工作发生的接待支出、市内其他区县民政局来我站参观学习的接待支出。费用支出较年初预算数减少0.05万元，下降62.5%，主要原因是严格遵守公务接待开支范围和开支标准，严格控制陪餐人数，对应由接待对象承担的费用一律由接待对象自行支付，公务接待费下降。较上年支出数减少0.05万元，下降62.5%，主要原因是严格贯彻落实中央八项规定精神和厉行节约要求。</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35.00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1.09</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本年未举办大型会议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万元，与2023年度相比，减少0.01万元，下降100.0%，主要原因是2024年本单位无培训费支出。</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8.40</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办公费、会议费、公务车运行维护费、信息网络购置更新费、邮电费、水费、电费、差旅费、专用材料费等。</w:t>
      </w:r>
      <w:r>
        <w:rPr>
          <w:rFonts w:hint="default" w:ascii="Times New Roman" w:hAnsi="Times New Roman" w:eastAsia="方正仿宋_GBK" w:cs="Times New Roman"/>
          <w:sz w:val="32"/>
          <w:szCs w:val="32"/>
          <w:shd w:val="clear" w:color="auto" w:fill="FFFFFF"/>
        </w:rPr>
        <w:t>机关运行经费较上年支出数减少14.26万元，下降62.9%，主要原因是机关过“紧日子”，缩减办公开支，取消差旅费等，经费减少。</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五、2024年度预算绩效管理情况说明</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根据预算绩效管理要求，我单位对2个二级项目开展了绩效自评，涉及资金35.67万元。</w:t>
      </w:r>
    </w:p>
    <w:p>
      <w:pPr>
        <w:pStyle w:val="12"/>
        <w:keepNext w:val="0"/>
        <w:keepLines w:val="0"/>
        <w:pageBreakBefore w:val="0"/>
        <w:kinsoku/>
        <w:wordWrap/>
        <w:overflowPunct/>
        <w:topLinePunct w:val="0"/>
        <w:autoSpaceDE w:val="0"/>
        <w:autoSpaceDN/>
        <w:bidi w:val="0"/>
        <w:adjustRightInd/>
        <w:spacing w:afterAutospacing="0" w:line="240" w:lineRule="auto"/>
        <w:ind w:left="0" w:leftChars="0" w:firstLine="560" w:firstLineChars="200"/>
        <w:jc w:val="both"/>
        <w:textAlignment w:val="auto"/>
        <w:rPr>
          <w:rFonts w:hint="default" w:ascii="Times New Roman" w:hAnsi="Times New Roman" w:eastAsia="方正仿宋_GBK" w:cs="Times New Roman"/>
          <w:sz w:val="28"/>
          <w:szCs w:val="28"/>
          <w:shd w:val="clear" w:color="auto" w:fill="FFFFFF"/>
        </w:rPr>
      </w:pPr>
    </w:p>
    <w:tbl>
      <w:tblPr>
        <w:tblStyle w:val="8"/>
        <w:tblW w:w="8345" w:type="dxa"/>
        <w:tblInd w:w="0" w:type="dxa"/>
        <w:tblLayout w:type="fixed"/>
        <w:tblCellMar>
          <w:top w:w="0" w:type="dxa"/>
          <w:left w:w="0" w:type="dxa"/>
          <w:bottom w:w="0" w:type="dxa"/>
          <w:right w:w="0" w:type="dxa"/>
        </w:tblCellMar>
      </w:tblPr>
      <w:tblGrid>
        <w:gridCol w:w="1074"/>
        <w:gridCol w:w="428"/>
        <w:gridCol w:w="429"/>
        <w:gridCol w:w="858"/>
        <w:gridCol w:w="865"/>
        <w:gridCol w:w="1262"/>
        <w:gridCol w:w="588"/>
        <w:gridCol w:w="1028"/>
        <w:gridCol w:w="428"/>
        <w:gridCol w:w="633"/>
        <w:gridCol w:w="752"/>
      </w:tblGrid>
      <w:tr>
        <w:tblPrEx>
          <w:tblLayout w:type="fixed"/>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项目名称：</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困难群众救助补助资金</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项目编码：</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50023123T000003072416</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自评总分：</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rPr>
                <w:rFonts w:hint="default" w:cs="宋体"/>
                <w:b/>
                <w:color w:val="000000"/>
                <w:sz w:val="22"/>
                <w:szCs w:val="22"/>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项目主管部门：</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302-垫江县民政局</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财政归口处室：</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006-社保科</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部门联系人：</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彭老师</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b/>
                <w:color w:val="000000"/>
                <w:sz w:val="22"/>
                <w:szCs w:val="22"/>
              </w:rPr>
            </w:pPr>
            <w:r>
              <w:rPr>
                <w:rFonts w:cs="宋体"/>
                <w:b/>
                <w:color w:val="000000"/>
                <w:sz w:val="22"/>
                <w:szCs w:val="22"/>
                <w:lang w:bidi="ar"/>
              </w:rPr>
              <w:t>联系电话：</w:t>
            </w:r>
          </w:p>
        </w:tc>
        <w:tc>
          <w:tcPr>
            <w:tcW w:w="7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hint="eastAsia" w:cs="宋体"/>
                <w:color w:val="000000"/>
                <w:sz w:val="22"/>
                <w:szCs w:val="22"/>
                <w:lang w:val="en-US" w:eastAsia="zh-CN" w:bidi="ar"/>
              </w:rPr>
              <w:t>023-</w:t>
            </w:r>
            <w:bookmarkStart w:id="0" w:name="_GoBack"/>
            <w:bookmarkEnd w:id="0"/>
            <w:r>
              <w:rPr>
                <w:rFonts w:cs="宋体"/>
                <w:color w:val="000000"/>
                <w:sz w:val="22"/>
                <w:szCs w:val="22"/>
                <w:lang w:bidi="ar"/>
              </w:rPr>
              <w:t>74515919</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default" w:cs="宋体"/>
                <w:color w:val="000000"/>
                <w:sz w:val="22"/>
                <w:szCs w:val="22"/>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年初预算数</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全年（调整）预算数</w:t>
            </w: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全年执行数</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b/>
                <w:color w:val="000000"/>
                <w:sz w:val="22"/>
                <w:szCs w:val="22"/>
              </w:rPr>
            </w:pPr>
            <w:r>
              <w:rPr>
                <w:rFonts w:cs="宋体"/>
                <w:b/>
                <w:color w:val="000000"/>
                <w:sz w:val="22"/>
                <w:szCs w:val="22"/>
                <w:lang w:bidi="ar"/>
              </w:rPr>
              <w:t>执行率权重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年度总金额</w:t>
            </w:r>
          </w:p>
        </w:tc>
        <w:tc>
          <w:tcPr>
            <w:tcW w:w="42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42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0.00 </w:t>
            </w:r>
          </w:p>
        </w:tc>
        <w:tc>
          <w:tcPr>
            <w:tcW w:w="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12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356,680.41 </w:t>
            </w:r>
          </w:p>
        </w:tc>
        <w:tc>
          <w:tcPr>
            <w:tcW w:w="5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102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356,680.41 </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其中：财政拨款</w:t>
            </w:r>
          </w:p>
        </w:tc>
        <w:tc>
          <w:tcPr>
            <w:tcW w:w="42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42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0.00 </w:t>
            </w:r>
          </w:p>
        </w:tc>
        <w:tc>
          <w:tcPr>
            <w:tcW w:w="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12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356,680.41 </w:t>
            </w:r>
          </w:p>
        </w:tc>
        <w:tc>
          <w:tcPr>
            <w:tcW w:w="5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102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356,680.41 </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10.00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一般公共预算</w:t>
            </w:r>
          </w:p>
        </w:tc>
        <w:tc>
          <w:tcPr>
            <w:tcW w:w="42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42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85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0.00 </w:t>
            </w:r>
          </w:p>
        </w:tc>
        <w:tc>
          <w:tcPr>
            <w:tcW w:w="86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126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356,680.41 </w:t>
            </w:r>
          </w:p>
        </w:tc>
        <w:tc>
          <w:tcPr>
            <w:tcW w:w="5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102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 xml:space="preserve">356,680.41 </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cs="宋体"/>
                <w:color w:val="000000"/>
                <w:sz w:val="22"/>
                <w:szCs w:val="22"/>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年初绩效目标</w:t>
            </w:r>
          </w:p>
        </w:tc>
        <w:tc>
          <w:tcPr>
            <w:tcW w:w="374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2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top"/>
              <w:rPr>
                <w:rFonts w:hint="default" w:cs="宋体"/>
                <w:color w:val="000000"/>
                <w:sz w:val="22"/>
                <w:szCs w:val="22"/>
              </w:rPr>
            </w:pPr>
            <w:r>
              <w:rPr>
                <w:rFonts w:cs="宋体"/>
                <w:color w:val="000000"/>
                <w:sz w:val="22"/>
                <w:szCs w:val="22"/>
                <w:lang w:bidi="ar"/>
              </w:rPr>
              <w:t>全县流浪乞讨人员、流浪未成年人临时生活得到保障，强化流浪未成年人生存权益和扩大教育矫正。</w:t>
            </w:r>
          </w:p>
        </w:tc>
        <w:tc>
          <w:tcPr>
            <w:tcW w:w="37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top"/>
              <w:rPr>
                <w:rFonts w:hint="default" w:cs="宋体"/>
                <w:color w:val="000000"/>
                <w:sz w:val="22"/>
                <w:szCs w:val="22"/>
              </w:rPr>
            </w:pPr>
            <w:r>
              <w:rPr>
                <w:rFonts w:cs="宋体"/>
                <w:color w:val="000000"/>
                <w:sz w:val="22"/>
                <w:szCs w:val="22"/>
                <w:lang w:bidi="ar"/>
              </w:rPr>
              <w:t>全县流浪乞讨人员、流浪未成年人临时生活得到保障，强化流浪未成年人生存权益和扩大教育矫正。</w:t>
            </w:r>
          </w:p>
        </w:tc>
        <w:tc>
          <w:tcPr>
            <w:tcW w:w="18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top"/>
              <w:rPr>
                <w:rFonts w:hint="default" w:cs="宋体"/>
                <w:color w:val="000000"/>
                <w:sz w:val="22"/>
                <w:szCs w:val="22"/>
              </w:rPr>
            </w:pPr>
            <w:r>
              <w:rPr>
                <w:rFonts w:cs="宋体"/>
                <w:color w:val="000000"/>
                <w:sz w:val="22"/>
                <w:szCs w:val="22"/>
                <w:lang w:bidi="ar"/>
              </w:rPr>
              <w:t>全县流浪乞讨人员、流浪未成年人临时生活得到保障，强化流浪未成年人生存权益和扩大教育矫正。</w:t>
            </w:r>
          </w:p>
        </w:tc>
      </w:tr>
      <w:tr>
        <w:tblPrEx>
          <w:tblLayout w:type="fixed"/>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指标名称</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计量单位</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指标性质</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指标值</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全年完成值</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偏离度（%）</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得分系数（%）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指标权重</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指标得分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是否核心指标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救助服务人数</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人数</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15</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否</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目标完成</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救助服务覆盖率</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95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95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15</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否</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目标完成</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救助服务完成时间</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月</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2024.12</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2024.12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否</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目标完成</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救助服务成本</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万元</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80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80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否</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目标完成</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救助人员生活水平</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人次</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定性</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有效改善</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30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30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是</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目标完成</w:t>
            </w:r>
          </w:p>
        </w:tc>
      </w:tr>
      <w:tr>
        <w:tblPrEx>
          <w:tblLayout w:type="fixed"/>
          <w:tblCellMar>
            <w:top w:w="0" w:type="dxa"/>
            <w:left w:w="0" w:type="dxa"/>
            <w:bottom w:w="0" w:type="dxa"/>
            <w:right w:w="0" w:type="dxa"/>
          </w:tblCellMar>
        </w:tblPrEx>
        <w:trPr>
          <w:trHeight w:val="50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服务对象满意度</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90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90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right"/>
              <w:textAlignment w:val="center"/>
              <w:rPr>
                <w:rFonts w:hint="default" w:cs="宋体"/>
                <w:color w:val="000000"/>
                <w:sz w:val="22"/>
                <w:szCs w:val="22"/>
              </w:rPr>
            </w:pPr>
            <w:r>
              <w:rPr>
                <w:rFonts w:cs="宋体"/>
                <w:color w:val="000000"/>
                <w:sz w:val="22"/>
                <w:szCs w:val="22"/>
                <w:lang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否</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default" w:cs="宋体"/>
                <w:color w:val="000000"/>
                <w:sz w:val="22"/>
                <w:szCs w:val="22"/>
              </w:rPr>
            </w:pPr>
            <w:r>
              <w:rPr>
                <w:rFonts w:cs="宋体"/>
                <w:color w:val="000000"/>
                <w:sz w:val="22"/>
                <w:szCs w:val="22"/>
                <w:lang w:bidi="ar"/>
              </w:rPr>
              <w:t>目标完成</w:t>
            </w:r>
          </w:p>
        </w:tc>
      </w:tr>
    </w:tbl>
    <w:p>
      <w:pPr>
        <w:pStyle w:val="13"/>
        <w:keepNext w:val="0"/>
        <w:keepLines w:val="0"/>
        <w:pageBreakBefore w:val="0"/>
        <w:widowControl/>
        <w:kinsoku/>
        <w:wordWrap/>
        <w:overflowPunct/>
        <w:topLinePunct w:val="0"/>
        <w:autoSpaceDE w:val="0"/>
        <w:autoSpaceDN/>
        <w:bidi w:val="0"/>
        <w:adjustRightInd/>
        <w:spacing w:before="0" w:beforeAutospacing="0" w:after="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240" w:lineRule="auto"/>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240" w:lineRule="auto"/>
        <w:ind w:firstLine="643" w:firstLineChars="200"/>
        <w:jc w:val="both"/>
        <w:textAlignment w:val="auto"/>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w:t>
      </w:r>
      <w:r>
        <w:rPr>
          <w:rStyle w:val="11"/>
          <w:rFonts w:hint="default" w:ascii="Times New Roman" w:hAnsi="Times New Roman" w:eastAsia="黑体" w:cs="Times New Roman"/>
          <w:sz w:val="32"/>
          <w:szCs w:val="32"/>
          <w:shd w:val="clear" w:color="auto" w:fill="FFFFFF"/>
        </w:rPr>
        <w:t>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240" w:lineRule="auto"/>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240" w:lineRule="auto"/>
        <w:ind w:firstLine="643" w:firstLineChars="200"/>
        <w:jc w:val="both"/>
        <w:textAlignment w:val="auto"/>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w:t>
      </w:r>
      <w:r>
        <w:rPr>
          <w:rStyle w:val="11"/>
          <w:rFonts w:hint="default" w:ascii="Times New Roman" w:hAnsi="Times New Roman" w:eastAsia="黑体" w:cs="Times New Roman"/>
          <w:sz w:val="32"/>
          <w:szCs w:val="32"/>
          <w:shd w:val="clear" w:color="auto" w:fill="FFFFFF"/>
        </w:rPr>
        <w:t>七、决算公开联系方式及信息反馈渠道</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本单位决算公开信息反馈和联系方式：彭老师，023-74514919。</w:t>
      </w:r>
    </w:p>
    <w:p>
      <w:pPr>
        <w:pStyle w:val="7"/>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垫江县救助管理站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垫江县救助管理站</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98.45</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98.45</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8"/>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垫江县救助管理站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98.45</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53.18</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垫江县救助管理站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垫江县救助管理站</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垫江县救助管理站</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44.78</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垫江县救助管理站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垫江县救助管理站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垫江县救助管理站</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34268"/>
    <w:rsid w:val="00034785"/>
    <w:rsid w:val="000C01CC"/>
    <w:rsid w:val="000D7702"/>
    <w:rsid w:val="0017455A"/>
    <w:rsid w:val="00261065"/>
    <w:rsid w:val="00282600"/>
    <w:rsid w:val="002D0E5A"/>
    <w:rsid w:val="002E5443"/>
    <w:rsid w:val="0032196C"/>
    <w:rsid w:val="003A1B76"/>
    <w:rsid w:val="004C12FF"/>
    <w:rsid w:val="00550ABE"/>
    <w:rsid w:val="00571E6E"/>
    <w:rsid w:val="005B023C"/>
    <w:rsid w:val="00600322"/>
    <w:rsid w:val="006137D7"/>
    <w:rsid w:val="00634FA8"/>
    <w:rsid w:val="0063613A"/>
    <w:rsid w:val="006E2034"/>
    <w:rsid w:val="00732392"/>
    <w:rsid w:val="00745314"/>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72039"/>
    <w:rsid w:val="00BF5A85"/>
    <w:rsid w:val="00C307F6"/>
    <w:rsid w:val="00C96B11"/>
    <w:rsid w:val="00CC6B99"/>
    <w:rsid w:val="00D16300"/>
    <w:rsid w:val="00DE22BA"/>
    <w:rsid w:val="00DF7706"/>
    <w:rsid w:val="00E0328B"/>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325F7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D56E23"/>
    <w:rsid w:val="163A6CEE"/>
    <w:rsid w:val="173708E3"/>
    <w:rsid w:val="17C374FC"/>
    <w:rsid w:val="17E23A98"/>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1FDE6431"/>
    <w:rsid w:val="20642787"/>
    <w:rsid w:val="21556F04"/>
    <w:rsid w:val="22403BD3"/>
    <w:rsid w:val="23DA37D9"/>
    <w:rsid w:val="24B92327"/>
    <w:rsid w:val="24C14514"/>
    <w:rsid w:val="2533755C"/>
    <w:rsid w:val="25791755"/>
    <w:rsid w:val="25D51397"/>
    <w:rsid w:val="26396DF4"/>
    <w:rsid w:val="27167136"/>
    <w:rsid w:val="27B23302"/>
    <w:rsid w:val="282F0677"/>
    <w:rsid w:val="29310A5F"/>
    <w:rsid w:val="29C37A35"/>
    <w:rsid w:val="2A076083"/>
    <w:rsid w:val="2A73162E"/>
    <w:rsid w:val="2B167953"/>
    <w:rsid w:val="2B200583"/>
    <w:rsid w:val="2B8209DE"/>
    <w:rsid w:val="2C6762A3"/>
    <w:rsid w:val="2D9821E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461CFB"/>
    <w:rsid w:val="36C9128A"/>
    <w:rsid w:val="372E3953"/>
    <w:rsid w:val="37841E99"/>
    <w:rsid w:val="37882406"/>
    <w:rsid w:val="37BF1123"/>
    <w:rsid w:val="383C3F15"/>
    <w:rsid w:val="38BE4696"/>
    <w:rsid w:val="3939115E"/>
    <w:rsid w:val="39B82A39"/>
    <w:rsid w:val="39C42CA8"/>
    <w:rsid w:val="39DC4FD6"/>
    <w:rsid w:val="39F03D7A"/>
    <w:rsid w:val="39F33306"/>
    <w:rsid w:val="3A2C1C67"/>
    <w:rsid w:val="3B0F26A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0A32BF"/>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4CA5BB5"/>
    <w:rsid w:val="54EB2BEE"/>
    <w:rsid w:val="552256E1"/>
    <w:rsid w:val="554E5773"/>
    <w:rsid w:val="555A3CBC"/>
    <w:rsid w:val="5582012B"/>
    <w:rsid w:val="558E4E05"/>
    <w:rsid w:val="55BE2E85"/>
    <w:rsid w:val="56530F5D"/>
    <w:rsid w:val="567700D3"/>
    <w:rsid w:val="56FF7E9E"/>
    <w:rsid w:val="578867FC"/>
    <w:rsid w:val="5842572D"/>
    <w:rsid w:val="5A3B59D6"/>
    <w:rsid w:val="5AD134D8"/>
    <w:rsid w:val="5B6503B1"/>
    <w:rsid w:val="5BE01D96"/>
    <w:rsid w:val="5C263CE4"/>
    <w:rsid w:val="5C5D2777"/>
    <w:rsid w:val="5CF66BF3"/>
    <w:rsid w:val="5D290C69"/>
    <w:rsid w:val="5F2D4A41"/>
    <w:rsid w:val="60C74F6C"/>
    <w:rsid w:val="61025A59"/>
    <w:rsid w:val="613D5BBC"/>
    <w:rsid w:val="61536C39"/>
    <w:rsid w:val="618F1365"/>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48729B"/>
    <w:rsid w:val="71745929"/>
    <w:rsid w:val="71C34D91"/>
    <w:rsid w:val="72577902"/>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FF9954DA"/>
    <w:rsid w:val="FFECC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9330</Words>
  <Characters>11705</Characters>
  <Lines>104</Lines>
  <Paragraphs>29</Paragraphs>
  <TotalTime>19</TotalTime>
  <ScaleCrop>false</ScaleCrop>
  <LinksUpToDate>false</LinksUpToDate>
  <CharactersWithSpaces>12738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2025-09-18T03:15:03Z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54E8708A6E1D7CAE5762CB68EB907D17</vt:lpwstr>
  </property>
  <property fmtid="{D5CDD505-2E9C-101B-9397-08002B2CF9AE}" pid="4" name="KSOTemplateDocerSaveRecord">
    <vt:lpwstr>eyJoZGlkIjoiMDUwMjYyMTAwZTM5NTcxOGVhNzI3YWZjMDRhMjZkZDEifQ==</vt:lpwstr>
  </property>
</Properties>
</file>