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垫江县民政局</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keepNext w:val="0"/>
        <w:keepLines w:val="0"/>
        <w:pageBreakBefore w:val="0"/>
        <w:widowControl w:val="0"/>
        <w:kinsoku/>
        <w:wordWrap/>
        <w:overflowPunct/>
        <w:topLinePunct w:val="0"/>
        <w:autoSpaceDN/>
        <w:bidi w:val="0"/>
        <w:adjustRightInd/>
        <w:spacing w:beforeAutospacing="0" w:afterAutospacing="0" w:line="240" w:lineRule="auto"/>
        <w:ind w:left="0" w:leftChars="0" w:firstLine="643" w:firstLineChars="200"/>
        <w:jc w:val="both"/>
        <w:textAlignment w:val="auto"/>
        <w:rPr>
          <w:rStyle w:val="13"/>
          <w:rFonts w:hint="default" w:ascii="Times New Roman" w:hAnsi="Times New Roman" w:eastAsia="黑体" w:cs="Times New Roman"/>
          <w:sz w:val="32"/>
          <w:szCs w:val="32"/>
          <w:shd w:val="clear" w:color="auto" w:fill="FFFFFF"/>
        </w:rPr>
      </w:pPr>
    </w:p>
    <w:p>
      <w:pPr>
        <w:keepNext w:val="0"/>
        <w:keepLines w:val="0"/>
        <w:pageBreakBefore w:val="0"/>
        <w:widowControl w:val="0"/>
        <w:kinsoku/>
        <w:wordWrap/>
        <w:overflowPunct/>
        <w:topLinePunct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方正黑体_GBK" w:cs="Times New Roman"/>
          <w:sz w:val="32"/>
          <w:szCs w:val="32"/>
        </w:rPr>
      </w:pPr>
      <w:r>
        <w:rPr>
          <w:rStyle w:val="13"/>
          <w:rFonts w:hint="default" w:ascii="Times New Roman" w:hAnsi="Times New Roman" w:eastAsia="黑体" w:cs="Times New Roman"/>
          <w:sz w:val="32"/>
          <w:szCs w:val="32"/>
          <w:shd w:val="clear" w:color="auto" w:fill="FFFFFF"/>
        </w:rPr>
        <w:t>一、部门基本情况</w:t>
      </w:r>
    </w:p>
    <w:p>
      <w:pPr>
        <w:keepNext w:val="0"/>
        <w:keepLines w:val="0"/>
        <w:pageBreakBefore w:val="0"/>
        <w:widowControl w:val="0"/>
        <w:kinsoku/>
        <w:wordWrap/>
        <w:overflowPunct/>
        <w:topLinePunct w:val="0"/>
        <w:autoSpaceDN/>
        <w:bidi w:val="0"/>
        <w:adjustRightInd/>
        <w:spacing w:beforeAutospacing="0" w:afterAutospacing="0" w:line="240" w:lineRule="auto"/>
        <w:ind w:left="0" w:lef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1.负责贯彻执行民政事业法律、法规和方针政策，拟订全县民政事业发展规划和规范性文件，并组织实施和监督检查。</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2.负责拟订全县社会团体、社会服务机构登记和监督管理办法并组织实施，依法对全县社会组织进行登记管理和执法监督。</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3.负责贯彻执行社会救助政策，负责全县城乡居民最低生活保障、特困人员救助供养、临时救助、生活无着流浪乞讨人员救助等工作。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4.负责指导村民委员会和居民委员会的民主选举、民主决策、民主管理工作，指导村（居）民委员会建设和城乡社区服务体系建设，推动村（居）务公开和基层民主政治建设。</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5.负责全县乡镇（街道）以上行政区域界线勘定和县内乡镇（街道）之间行政区域界线争议调处工作，负责界线管理工作。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6.负责报县政府审批的全县道路、桥梁、新建居民区等地理实体的命名、更名审核工作，负责县城地名标志设置和管理工作，负责全县地名档案收集和管理工作。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7.负责组织贯彻落实婚姻登记相关法律、法规和政策，依法开展婚姻登记，推进婚俗改革。</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8.负责拟订全县殡葬管理服务规范并组织监督实施，推进殡葬改革。</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9.统筹推进、督促指导、监督管理养老服务工作，负责拟订全县养老服务体系建设规划、标准并组织实施，承担老年人和特殊困难老年人救助工作。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10.负责牵头落实残疾人权益保护政策，统筹推进残疾人福利制度建设。</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11.负责贯彻执行全县儿童福利、孤弃儿童保障、儿童收养、儿童救助保护政策，健全农村留守儿童关爱保护体系和困境儿童保障机制。</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12.负责组织落实促进慈善事业发展政策，指导社会捐助工作，负责全县福利彩票管理工作。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13.负责机关、所属事业单位党建工作。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14.完成县委、县政府交办的其他任务。</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15.职能转变。垫江县民政局应强化基本民生保障职能，为困难群众、孤老孤残孤儿等特殊群体提供基本社会服务，促进资源向薄弱地区、领域、环节倾斜。积极培育社会组织、社会工作者等多元参与主体，推动搭建基层社会治理和社区公共服务平台。</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16.提供收养服务，弘扬救助精神，三无老人收养，孤残儿童弃婴收养、弃婴收养和送养，提供老人自愿有偿收养服务。</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17.单位现行的职能职责：负责贯彻落实流浪乞讨儿童救助、未成年人救助保护工作，负责儿童福利机构建设管理工作。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18.负责贯彻执行全县殡葬政策，负责丧属治丧工作、火化工作、黄沙公墓墓区销售及管理工作，致力于为全县人民创造一个干净舒适的治丧环境，提高我县民众火化意识，减少土地浪费。</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19.有关职责分工。</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将县卫生健康委的组织协调落实应对人口老龄化政策及拟订有关措施、承担县老龄工作委员会的具体工作等职责划入县民政局。县老龄工作委员会办公室改设在县民政局，强化其综合协调、督促指导、组织推进老龄事业发展职责。</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将贯彻执行社区治理政策，指导城乡社区治理体系和治理能力建设，推动基层民主政治建设和社区治理工作，拟订全县社会工作、志愿服务规划并组织实施，会同有关部门推进社会工作人才队伍建设和志愿者队伍建设等职责划入县委社会工作部。</w:t>
      </w:r>
    </w:p>
    <w:p>
      <w:pPr>
        <w:keepNext w:val="0"/>
        <w:keepLines w:val="0"/>
        <w:pageBreakBefore w:val="0"/>
        <w:widowControl w:val="0"/>
        <w:kinsoku/>
        <w:wordWrap/>
        <w:overflowPunct/>
        <w:topLinePunct w:val="0"/>
        <w:autoSpaceDN/>
        <w:bidi w:val="0"/>
        <w:adjustRightInd/>
        <w:spacing w:beforeAutospacing="0" w:afterAutospacing="0" w:line="240" w:lineRule="auto"/>
        <w:ind w:left="0" w:leftChars="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（二）机构设置。</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办公室。负责拟订全县民政事业发展规划、综合性文件和机关各种规章制度，承办会议会务，负责机关公文运转、目标考核、机要保密、档案管理、政务信息、新闻发布、督查督办、政务值班等工作。负责党的建设和全面从严治党工作，负责机关及下属单位组织人事、机构编制、离退休职工管理工作，负责机关统一战线、民族宗教工作，负责机关群团工作。负责行政执法工作，负责机关综合治理、信访稳定、安全保卫工作。负责民政事业经费、机关行政经费预决算和日常管理，负责国有资产管理和基建工作。负责机关内部控制、内部审计及其他机关事务。</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2）社会救助和儿童福利科。负责拟订全县城乡居民最低生活保障、特困人员救助供养、临时救助等社会救助规划、实施办法，负责全县最低生活保障、特困人员救助供养、临时救助投入资金分配和监管工作，负责参与拟订全县住房、教育、司法等相关救助办法，承担全县城乡居民最低生活保障、特困人员救助供养、临时救助管理工作，承办精简职工和遗属等社会救助工作，指导社会救助家庭经济状况核查认定工作。负责贯彻落实儿童福利、孤弃儿童保障、儿童收养、儿童救助保护政策，负责孤儿供养、困境儿童保障、受艾滋病影响儿童、流浪乞讨儿童救助、未成年人救助保护、农村</w:t>
      </w:r>
      <w:r>
        <w:rPr>
          <w:rFonts w:hint="default" w:ascii="Times New Roman" w:hAnsi="Times New Roman" w:eastAsia="方正仿宋_GBK" w:cs="Times New Roman"/>
          <w:sz w:val="32"/>
          <w:szCs w:val="32"/>
          <w:shd w:val="clear" w:color="auto" w:fill="FFFFFF"/>
        </w:rPr>
        <w:t>留守儿童关爱保护工作，负责儿童福利机构建设管理工作。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区划地名科。负责拟订行政区划、地名管理和行政区域界线管理规范性文件，负责组织起草以县政府名义向市政府呈报的行政区划设立、命名、变更和政府驻地迁移等有关文件。负责提请县政府审批的全县道路、桥梁、新建居民区等地理实体的命名、更名审核工作，负责县城地名标志设置和管理工作，负责全县地名档案收集和管理工作。负责全县乡镇、街道以上行政区域界线勘定和县内乡镇、街道之间行政区域界线争议调处工作，负责界线管理工作，承办省级、县级界线联合检查和负责全县界线管理工作的指导及边界纠纷的调处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养老服务和社会事务科。负责拟订全县养老服务体系建设和发展规划并组织实施，负责监督管理养老服务工作，承担老年人、残疾人福利工作，推进农村留守老年人关爱服务工作，负责指导、监督、管理特困人员救助供养机构和其它养老服务机构。负责指导、监督婚姻登记机关和社会福利、殡葬服务、生活无着流浪乞讨人员救助管理机构有关工作。负责拟订全县殡葬事业发展规划并组织实施，推进殡葬改革。</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慈善事业促进和社会组织管理科（行政许可服务科）。主要职责是：承担促进慈善事业发展具体工作，指导社会捐助工作，负责全县福利彩票管理工作。负责拟订全县社会团体、社会服务机构登记管理办法，按照管理权限对社会组织进行登记管理和执法监督。承担县民政局职责范围内行政许可、政务服务事项的办理和组织协调工作。</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从预算单位构成看，纳入本部门2024年度决算编制的二级预算单位主要包括垫江县民政局（本级）、垫江县社会福利院、垫江县救助管理站、垫江县殡葬事业服务中心、垫江县民政局婚姻登记处、垫江县养老服务指导中心、垫江县最低生活保障服务中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黑体" w:cs="Times New Roman"/>
          <w:sz w:val="32"/>
          <w:szCs w:val="32"/>
          <w:shd w:val="clear" w:color="auto" w:fill="FFFFFF"/>
        </w:rPr>
        <w:t>二、部门决算收支情况说明</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。2024年度收入总计27606.70万元，支出总计27606.70万元。收、支与2023年度相比，增加1582.26万元，增长6.1%，主要原因是困难群众救助标准提高，救助人数增加。</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27586.70万元，与2023年度相比，增加1582.26万元，增长6.1%，主要原因是困难群众救助标准提高，救助人数增加。其中：财政拨款收入27586.70万元，占100.0%；事业收入0.00万元，占0.0%；经营收入0.00万元，占0.0%；其他收入0.00万元，占0.0%。此外，使用非财政拨款结余和专用结余0.00万元，年初结转和结余20.00万元。</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27606.70万元，与2023年度相比，增加1582.26万元，增长6.1%，主要原因是困难群众救助标准提高，救助人数增加。其中：基本支出1465.55万元，占5.3%；项目支出26141.14万元，占94.7%；经营支出0.00万元，占0.0%。此外，结余分配0.00万元。</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万元，与2023年度相比，无增减，主要原因是本年度及上年度均无结转结余。</w:t>
      </w:r>
      <w:r>
        <w:rPr>
          <w:rStyle w:val="13"/>
          <w:rFonts w:hint="default" w:ascii="Times New Roman" w:hAnsi="Times New Roman" w:eastAsia="方正仿宋_GBK" w:cs="Times New Roman"/>
          <w:sz w:val="32"/>
          <w:szCs w:val="32"/>
          <w:shd w:val="clear" w:color="auto" w:fill="FFFFFF"/>
        </w:rPr>
        <w:t xml:space="preserve"> </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2024年度财政拨款收、支总计27606.70万元。与2022年相比，财政拨款收、支总计各增加1582.26万元，增长6.1%。主要原因是困难群众救助标准提高，救助人数增加。</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27353.63万元，与2023年度相比，增加1531.11万元，增长5.9%。主要原因是困难群众救助标准提高，救助人数增加。较年初预算数增加2777.44万元，增长11.30%。主要原因是年初预算未下达完所有资金，年中又追加了民政资金。此外，年初财政拨款结转和结余20.00万元。</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27373.63</w:t>
      </w:r>
      <w:r>
        <w:rPr>
          <w:rFonts w:hint="default" w:ascii="Times New Roman" w:hAnsi="Times New Roman" w:eastAsia="方正仿宋_GBK" w:cs="Times New Roman"/>
          <w:sz w:val="32"/>
          <w:szCs w:val="32"/>
          <w:shd w:val="clear" w:color="auto" w:fill="FFFFFF"/>
        </w:rPr>
        <w:t>万元，与2023年度相比，增加1531.11万元，增长5.9%。主要原因是本年度</w:t>
      </w:r>
      <w:r>
        <w:rPr>
          <w:rFonts w:hint="default" w:ascii="Times New Roman" w:hAnsi="Times New Roman" w:eastAsia="方正仿宋_GBK" w:cs="Times New Roman"/>
          <w:sz w:val="32"/>
          <w:szCs w:val="32"/>
        </w:rPr>
        <w:t>困难群众救助标准提高，救助人数增加。</w:t>
      </w:r>
      <w:r>
        <w:rPr>
          <w:rFonts w:hint="default" w:ascii="Times New Roman" w:hAnsi="Times New Roman" w:eastAsia="方正仿宋_GBK" w:cs="Times New Roman"/>
          <w:sz w:val="32"/>
          <w:szCs w:val="32"/>
          <w:shd w:val="clear" w:color="auto" w:fill="FFFFFF"/>
        </w:rPr>
        <w:t>较年初预算数增加2797.44万元，增长11.4%。</w:t>
      </w:r>
      <w:r>
        <w:rPr>
          <w:rFonts w:hint="default" w:ascii="Times New Roman" w:hAnsi="Times New Roman" w:eastAsia="方正仿宋_GBK" w:cs="Times New Roman"/>
          <w:sz w:val="32"/>
          <w:szCs w:val="32"/>
        </w:rPr>
        <w:t>主要原因是年初预算未下达完所有资金，年中又追加了民政资金。</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。2024年度年末一般公共预算财政拨款结转和结余0.00万元，与2023年度相比，无增减，主要原因是本年度及上年度均无结转结余。</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（1）教育支出3.00万元，占0.0%，较年初预算数减少0.54万元，下降15.3%，主要原因是本年度培训减少。</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（2）社会保障与就业支出27212.11万元，占99.4%，较年初预算数增加2756.30万元，增长11.3%，主要原因一是困难群众救助保障标准提高；二是保障对象增加。</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（3）卫生健康支出54.22万元，占0.2%，较年初预算数增加2.42万元，增长4.7%，主要原因是人员工资增加，基数上调。</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（4）住房保障支出104.30万元，占0.4%，较年初预算数增加39.26万元，增长60.4%，主要原因是人员工资增加，基数上调。</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w:t>
      </w:r>
      <w:r>
        <w:rPr>
          <w:rFonts w:hint="default" w:ascii="Times New Roman" w:hAnsi="Times New Roman" w:eastAsia="方正仿宋_GBK" w:cs="Times New Roman"/>
          <w:sz w:val="32"/>
          <w:szCs w:val="32"/>
        </w:rPr>
        <w:t>1465.55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1323.29</w:t>
      </w:r>
      <w:r>
        <w:rPr>
          <w:rFonts w:hint="default" w:ascii="Times New Roman" w:hAnsi="Times New Roman" w:eastAsia="方正仿宋_GBK" w:cs="Times New Roman"/>
          <w:sz w:val="32"/>
          <w:szCs w:val="32"/>
          <w:shd w:val="clear" w:color="auto" w:fill="FFFFFF"/>
        </w:rPr>
        <w:t>万元，与2023年度相比，增加12.96万元，增长1.0%，主要原因是公务员补缴2021-2023年的养老保险和职业年金，事业人员补缴2022-2023年的养老保险和职业年金。人员经费用途主要包括基本工资、津贴补贴、</w:t>
      </w:r>
      <w:r>
        <w:rPr>
          <w:rFonts w:hint="default" w:ascii="Times New Roman" w:hAnsi="Times New Roman" w:eastAsia="方正仿宋_GBK" w:cs="Times New Roman"/>
          <w:sz w:val="32"/>
          <w:szCs w:val="32"/>
        </w:rPr>
        <w:t>奖金、其他社会保障缴费、伙食补助费、绩效工资、机关事业单位基本养老保险缴费、职业年金缴费、其他工资福利支出、职工住房公积金、离退休费。</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142.26</w:t>
      </w:r>
      <w:r>
        <w:rPr>
          <w:rFonts w:hint="default" w:ascii="Times New Roman" w:hAnsi="Times New Roman" w:eastAsia="方正仿宋_GBK" w:cs="Times New Roman"/>
          <w:sz w:val="32"/>
          <w:szCs w:val="32"/>
          <w:shd w:val="clear" w:color="auto" w:fill="FFFFFF"/>
        </w:rPr>
        <w:t>万元，与2023年度相比，减少33.02万元，下降18.8%</w:t>
      </w:r>
      <w:r>
        <w:rPr>
          <w:rFonts w:hint="default" w:ascii="Times New Roman" w:hAnsi="Times New Roman" w:eastAsia="方正仿宋_GBK" w:cs="Times New Roman"/>
          <w:sz w:val="32"/>
          <w:szCs w:val="32"/>
        </w:rPr>
        <w:t>，主要原因一是节约意识提高，职工在日常工作中更加注重节约水电、纸张等资源，减少了不必要的办公开支；二是成本控制加强，对办公用品采购、设备维护等方面进行严格管理；三是严格控制一般性支出，对会议费、差旅费、培训费等进行限额管理。公用经费用途主要包括办公费、印刷费、水费、电费、邮电费、差旅费、维修(护)费、会议费、培训费、公务接待费、专用材料费、劳务费、工会经费、公务用车运行维护费、其他交通费、其他商品和服务支出。</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233.07</w:t>
      </w:r>
      <w:r>
        <w:rPr>
          <w:rFonts w:hint="default" w:ascii="Times New Roman" w:hAnsi="Times New Roman" w:eastAsia="方正仿宋_GBK" w:cs="Times New Roman"/>
          <w:sz w:val="32"/>
          <w:szCs w:val="32"/>
          <w:shd w:val="clear" w:color="auto" w:fill="FFFFFF"/>
        </w:rPr>
        <w:t>万元，与2023年度相比，增加51.15万元，增长28.1%，主要原因是2024年增加了养老服务建设的项目支出。本年支出</w:t>
      </w:r>
      <w:r>
        <w:rPr>
          <w:rFonts w:hint="default" w:ascii="Times New Roman" w:hAnsi="Times New Roman" w:eastAsia="方正仿宋_GBK" w:cs="Times New Roman"/>
          <w:sz w:val="32"/>
          <w:szCs w:val="32"/>
        </w:rPr>
        <w:t>233.07</w:t>
      </w:r>
      <w:r>
        <w:rPr>
          <w:rFonts w:hint="default" w:ascii="Times New Roman" w:hAnsi="Times New Roman" w:eastAsia="方正仿宋_GBK" w:cs="Times New Roman"/>
          <w:sz w:val="32"/>
          <w:szCs w:val="32"/>
          <w:shd w:val="clear" w:color="auto" w:fill="FFFFFF"/>
        </w:rPr>
        <w:t>万元，与2023年度相比，增加51.15万元，增长28.1%，主要原因是2024年增加了养老服务建设的项目支出。</w:t>
      </w:r>
    </w:p>
    <w:p>
      <w:pPr>
        <w:pStyle w:val="14"/>
        <w:keepNext w:val="0"/>
        <w:keepLines w:val="0"/>
        <w:pageBreakBefore w:val="0"/>
        <w:numPr>
          <w:ilvl w:val="0"/>
          <w:numId w:val="1"/>
        </w:numPr>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2024年度国有资本经营预算财政拨本年支出0.00万元，基本支出0.00万元，项目支出0.00万元。本部门2024年度无国有资本经营预算财政拨款支出。</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三、财政拨款“三公”经费情况说明</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12.71</w:t>
      </w:r>
      <w:r>
        <w:rPr>
          <w:rFonts w:hint="default" w:ascii="Times New Roman" w:hAnsi="Times New Roman" w:eastAsia="方正仿宋_GBK" w:cs="Times New Roman"/>
          <w:sz w:val="32"/>
          <w:szCs w:val="32"/>
          <w:shd w:val="clear" w:color="auto" w:fill="FFFFFF"/>
        </w:rPr>
        <w:t>万元，较年初预算数减少3.12万元，下降19.7%，</w:t>
      </w:r>
      <w:r>
        <w:rPr>
          <w:rFonts w:hint="default" w:ascii="Times New Roman" w:hAnsi="Times New Roman" w:eastAsia="方正仿宋_GBK" w:cs="Times New Roman"/>
          <w:sz w:val="32"/>
          <w:szCs w:val="32"/>
        </w:rPr>
        <w:t>主要原因是严格贯彻落实中央八项规定精神和厉行节约要求。</w:t>
      </w:r>
      <w:r>
        <w:rPr>
          <w:rFonts w:hint="default" w:ascii="Times New Roman" w:hAnsi="Times New Roman" w:eastAsia="方正仿宋_GBK" w:cs="Times New Roman"/>
          <w:sz w:val="32"/>
          <w:szCs w:val="32"/>
          <w:shd w:val="clear" w:color="auto" w:fill="FFFFFF"/>
        </w:rPr>
        <w:t>较上年支出数减少0.81万元，下降6.0%，</w:t>
      </w:r>
      <w:r>
        <w:rPr>
          <w:rFonts w:hint="default" w:ascii="Times New Roman" w:hAnsi="Times New Roman" w:eastAsia="方正仿宋_GBK" w:cs="Times New Roman"/>
          <w:sz w:val="32"/>
          <w:szCs w:val="32"/>
        </w:rPr>
        <w:t>主要原因是严格贯彻落实中央八项规定精神和厉行节约要求。</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本单位2024年度未发生因公出国（境）支出。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本单位2024年度未发生因公出国（境）支出。</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本单位2024年度未发生公务车购置支出。</w:t>
      </w:r>
      <w:r>
        <w:rPr>
          <w:rFonts w:hint="default" w:ascii="Times New Roman" w:hAnsi="Times New Roman" w:eastAsia="方正仿宋_GBK" w:cs="Times New Roman"/>
          <w:sz w:val="32"/>
          <w:szCs w:val="32"/>
          <w:shd w:val="clear" w:color="auto" w:fill="FFFFFF"/>
        </w:rPr>
        <w:t>较上年支出数无增减，与上年持平，主要原因是</w:t>
      </w:r>
      <w:r>
        <w:rPr>
          <w:rFonts w:hint="default" w:ascii="Times New Roman" w:hAnsi="Times New Roman" w:eastAsia="方正仿宋_GBK" w:cs="Times New Roman"/>
          <w:sz w:val="32"/>
          <w:szCs w:val="32"/>
        </w:rPr>
        <w:t>本单位2024年度未发生公务车购置支出。</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7.97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主要用于民政工作开展所需的车辆的燃料费、维修费、过桥过路费、保险费等。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费用支出较年初预算数减少3.03万元，下降27.6%，</w:t>
      </w:r>
      <w:r>
        <w:rPr>
          <w:rFonts w:hint="default" w:ascii="Times New Roman" w:hAnsi="Times New Roman" w:eastAsia="方正仿宋_GBK" w:cs="Times New Roman"/>
          <w:sz w:val="32"/>
          <w:szCs w:val="32"/>
        </w:rPr>
        <w:t>主要原因是严格落实公车使用规定，严禁公车私用，公车运行维护成本大幅下降。</w:t>
      </w:r>
      <w:r>
        <w:rPr>
          <w:rFonts w:hint="default" w:ascii="Times New Roman" w:hAnsi="Times New Roman" w:eastAsia="方正仿宋_GBK" w:cs="Times New Roman"/>
          <w:sz w:val="32"/>
          <w:szCs w:val="32"/>
          <w:shd w:val="clear" w:color="auto" w:fill="FFFFFF"/>
        </w:rPr>
        <w:t>较上年支出数减少0.73万元，下降8.4%，</w:t>
      </w:r>
      <w:r>
        <w:rPr>
          <w:rFonts w:hint="default" w:ascii="Times New Roman" w:hAnsi="Times New Roman" w:eastAsia="方正仿宋_GBK" w:cs="Times New Roman"/>
          <w:sz w:val="32"/>
          <w:szCs w:val="32"/>
        </w:rPr>
        <w:t>主要原因是严格落实公车使用规定，严禁公车私用，公车运行维护成本大幅下降。</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4.74</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主要用于接待市级相关部门检查指导工作发生的接待支出、市内其他区县民政局来我处参观学习的接待支出。</w:t>
      </w:r>
      <w:r>
        <w:rPr>
          <w:rFonts w:hint="default" w:ascii="Times New Roman" w:hAnsi="Times New Roman" w:eastAsia="方正仿宋_GBK" w:cs="Times New Roman"/>
          <w:sz w:val="32"/>
          <w:szCs w:val="32"/>
          <w:shd w:val="clear" w:color="auto" w:fill="FFFFFF"/>
        </w:rPr>
        <w:t>费用支出较年初预算数减少0.09万元，下降1.9%，</w:t>
      </w:r>
      <w:r>
        <w:rPr>
          <w:rFonts w:hint="default" w:ascii="Times New Roman" w:hAnsi="Times New Roman" w:eastAsia="方正仿宋_GBK" w:cs="Times New Roman"/>
          <w:sz w:val="32"/>
          <w:szCs w:val="32"/>
        </w:rPr>
        <w:t>主要原因是严格遵守公务接待开支范围和开支标准，严格控制陪餐人数，对应由接待对象承担的费用一律由接待对象自行支付，公务接待费下降。</w:t>
      </w:r>
      <w:r>
        <w:rPr>
          <w:rFonts w:hint="default" w:ascii="Times New Roman" w:hAnsi="Times New Roman" w:eastAsia="方正仿宋_GBK" w:cs="Times New Roman"/>
          <w:sz w:val="32"/>
          <w:szCs w:val="32"/>
          <w:shd w:val="clear" w:color="auto" w:fill="FFFFFF"/>
        </w:rPr>
        <w:t>较上年支出数减少0.08万元，下降1.7%，</w:t>
      </w:r>
      <w:r>
        <w:rPr>
          <w:rFonts w:hint="default" w:ascii="Times New Roman" w:hAnsi="Times New Roman" w:eastAsia="方正仿宋_GBK" w:cs="Times New Roman"/>
          <w:sz w:val="32"/>
          <w:szCs w:val="32"/>
        </w:rPr>
        <w:t>主要原因是严格遵守公务接待开支范围和开支标准，严格控制陪餐人数，对应由接待对象承担的费用一律由接待对象自行支付，公务接待费下降。</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52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521</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90.96</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2.66</w:t>
      </w:r>
      <w:r>
        <w:rPr>
          <w:rFonts w:hint="default" w:ascii="Times New Roman" w:hAnsi="Times New Roman" w:eastAsia="方正仿宋_GBK" w:cs="Times New Roman"/>
          <w:sz w:val="32"/>
          <w:szCs w:val="32"/>
          <w:shd w:val="clear" w:color="auto" w:fill="FFFFFF"/>
        </w:rPr>
        <w:t>万元。</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四、其他需要说明的事项</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万元，与2023年度相比，增加0.08万元，增长100.0%，主要原因是殡葬领域专项整治召开部署会。本年度培训费支出</w:t>
      </w:r>
      <w:r>
        <w:rPr>
          <w:rFonts w:hint="default" w:ascii="Times New Roman" w:hAnsi="Times New Roman" w:eastAsia="方正仿宋_GBK" w:cs="Times New Roman"/>
          <w:sz w:val="32"/>
          <w:szCs w:val="32"/>
        </w:rPr>
        <w:t>3.24</w:t>
      </w:r>
      <w:r>
        <w:rPr>
          <w:rFonts w:hint="default" w:ascii="Times New Roman" w:hAnsi="Times New Roman" w:eastAsia="方正仿宋_GBK" w:cs="Times New Roman"/>
          <w:sz w:val="32"/>
          <w:szCs w:val="32"/>
          <w:shd w:val="clear" w:color="auto" w:fill="FFFFFF"/>
        </w:rPr>
        <w:t>万元，与2023年度相比，减少0.01万元，下降0.3%，主要原因是事业人员的网络培训减少。</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96.50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机关运行经费主要用于开支办公费、会议费、公务车运行维护费、信息网络购置更新费、邮电费、水费、电费、差旅费、专用材料费等。</w:t>
      </w:r>
      <w:r>
        <w:rPr>
          <w:rFonts w:hint="default" w:ascii="Times New Roman" w:hAnsi="Times New Roman" w:eastAsia="方正仿宋_GBK" w:cs="Times New Roman"/>
          <w:sz w:val="32"/>
          <w:szCs w:val="32"/>
          <w:shd w:val="clear" w:color="auto" w:fill="FFFFFF"/>
        </w:rPr>
        <w:t>机关运行经费较上年支出数增加10.41万元，增长12.1%，主要原因一是老旧办公设备维修成本攀升，二是殡葬领域专项整治增加了配套经费。</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323.88万元，其中：政府采购货物支出236.69万元、政府采购工程支出67.39万元、政府采购服务支出19.80万元。授予中小企业合同金额323.88万元，占政府采购支出总额的100.00%，其中：授予小微企业合同金额175.18万元，占政府采购支出总额的54.09 %。主要用于采购主要用于采购采购春节慰问物资和办公用品。</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3"/>
          <w:rFonts w:hint="default" w:ascii="Times New Roman" w:hAnsi="Times New Roman" w:eastAsia="黑体"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五、2024年度预算绩效管理情况说明</w:t>
      </w:r>
    </w:p>
    <w:p>
      <w:pPr>
        <w:pStyle w:val="14"/>
        <w:keepNext w:val="0"/>
        <w:keepLines w:val="0"/>
        <w:pageBreakBefore w:val="0"/>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（一）部门自评情况</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根据预算绩效管理要求，我部门对部门整体和34个二级项目开展了绩效自评，涉及财政拨款项目支出资金27606.7万元。</w:t>
      </w:r>
    </w:p>
    <w:tbl>
      <w:tblPr>
        <w:tblStyle w:val="10"/>
        <w:tblW w:w="9780" w:type="dxa"/>
        <w:jc w:val="center"/>
        <w:tblInd w:w="0" w:type="dxa"/>
        <w:tblLayout w:type="fixed"/>
        <w:tblCellMar>
          <w:top w:w="0" w:type="dxa"/>
          <w:left w:w="108" w:type="dxa"/>
          <w:bottom w:w="0" w:type="dxa"/>
          <w:right w:w="108" w:type="dxa"/>
        </w:tblCellMar>
      </w:tblPr>
      <w:tblGrid>
        <w:gridCol w:w="1189"/>
        <w:gridCol w:w="595"/>
        <w:gridCol w:w="51"/>
        <w:gridCol w:w="426"/>
        <w:gridCol w:w="301"/>
        <w:gridCol w:w="418"/>
        <w:gridCol w:w="377"/>
        <w:gridCol w:w="377"/>
        <w:gridCol w:w="656"/>
        <w:gridCol w:w="210"/>
        <w:gridCol w:w="863"/>
        <w:gridCol w:w="11"/>
        <w:gridCol w:w="917"/>
        <w:gridCol w:w="20"/>
        <w:gridCol w:w="572"/>
        <w:gridCol w:w="59"/>
        <w:gridCol w:w="750"/>
        <w:gridCol w:w="50"/>
        <w:gridCol w:w="787"/>
        <w:gridCol w:w="36"/>
        <w:gridCol w:w="1115"/>
      </w:tblGrid>
      <w:tr>
        <w:tblPrEx>
          <w:tblLayout w:type="fixed"/>
          <w:tblCellMar>
            <w:top w:w="0" w:type="dxa"/>
            <w:left w:w="108" w:type="dxa"/>
            <w:bottom w:w="0" w:type="dxa"/>
            <w:right w:w="108" w:type="dxa"/>
          </w:tblCellMar>
        </w:tblPrEx>
        <w:trPr>
          <w:trHeight w:val="94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2024年度部门整体绩效自评表</w:t>
            </w:r>
          </w:p>
        </w:tc>
      </w:tr>
      <w:tr>
        <w:tblPrEx>
          <w:tblLayout w:type="fixed"/>
          <w:tblCellMar>
            <w:top w:w="0" w:type="dxa"/>
            <w:left w:w="108" w:type="dxa"/>
            <w:bottom w:w="0" w:type="dxa"/>
            <w:right w:w="108" w:type="dxa"/>
          </w:tblCellMar>
        </w:tblPrEx>
        <w:trPr>
          <w:trHeight w:val="94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DA3232"/>
                <w:sz w:val="16"/>
                <w:szCs w:val="16"/>
              </w:rPr>
            </w:pPr>
            <w:r>
              <w:rPr>
                <w:rFonts w:cs="宋体"/>
                <w:b/>
                <w:bCs/>
                <w:color w:val="DA3232"/>
                <w:sz w:val="16"/>
                <w:szCs w:val="16"/>
                <w:lang w:bidi="ar"/>
              </w:rPr>
              <w:t>状态：绩效审核已审</w:t>
            </w:r>
          </w:p>
        </w:tc>
      </w:tr>
      <w:tr>
        <w:tblPrEx>
          <w:tblLayout w:type="fixed"/>
          <w:tblCellMar>
            <w:top w:w="0" w:type="dxa"/>
            <w:left w:w="108" w:type="dxa"/>
            <w:bottom w:w="0" w:type="dxa"/>
            <w:right w:w="108" w:type="dxa"/>
          </w:tblCellMar>
        </w:tblPrEx>
        <w:trPr>
          <w:trHeight w:val="94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项目名称：</w:t>
            </w:r>
          </w:p>
        </w:tc>
        <w:tc>
          <w:tcPr>
            <w:tcW w:w="1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垫江县民政局整体自评</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项目编码：</w:t>
            </w:r>
          </w:p>
        </w:tc>
        <w:tc>
          <w:tcPr>
            <w:tcW w:w="1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50023100024P000113</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自评总分：</w:t>
            </w:r>
          </w:p>
        </w:tc>
        <w:tc>
          <w:tcPr>
            <w:tcW w:w="1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99.99</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16"/>
                <w:szCs w:val="16"/>
              </w:rPr>
            </w:pP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r>
      <w:tr>
        <w:tblPrEx>
          <w:tblLayout w:type="fixed"/>
          <w:tblCellMar>
            <w:top w:w="0" w:type="dxa"/>
            <w:left w:w="108" w:type="dxa"/>
            <w:bottom w:w="0" w:type="dxa"/>
            <w:right w:w="108" w:type="dxa"/>
          </w:tblCellMar>
        </w:tblPrEx>
        <w:trPr>
          <w:trHeight w:val="94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项目主管部门：</w:t>
            </w:r>
          </w:p>
        </w:tc>
        <w:tc>
          <w:tcPr>
            <w:tcW w:w="11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302-垫江县民政局</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财政归口处室：</w:t>
            </w:r>
          </w:p>
        </w:tc>
        <w:tc>
          <w:tcPr>
            <w:tcW w:w="1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006-社保科</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部门联系人：</w:t>
            </w:r>
          </w:p>
        </w:tc>
        <w:tc>
          <w:tcPr>
            <w:tcW w:w="14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李老师</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联系电话：</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eastAsia="宋体" w:cs="宋体"/>
                <w:color w:val="000000"/>
                <w:sz w:val="16"/>
                <w:szCs w:val="16"/>
                <w:lang w:val="en-US" w:eastAsia="zh-CN"/>
              </w:rPr>
            </w:pPr>
            <w:r>
              <w:rPr>
                <w:rFonts w:hint="eastAsia" w:cs="宋体"/>
                <w:color w:val="000000"/>
                <w:sz w:val="16"/>
                <w:szCs w:val="16"/>
                <w:lang w:val="en-US" w:eastAsia="zh-CN" w:bidi="ar"/>
              </w:rPr>
              <w:t>023-74512561</w:t>
            </w:r>
          </w:p>
        </w:tc>
      </w:tr>
      <w:tr>
        <w:tblPrEx>
          <w:tblLayout w:type="fixed"/>
          <w:tblCellMar>
            <w:top w:w="0" w:type="dxa"/>
            <w:left w:w="108" w:type="dxa"/>
            <w:bottom w:w="0" w:type="dxa"/>
            <w:right w:w="108" w:type="dxa"/>
          </w:tblCellMar>
        </w:tblPrEx>
        <w:trPr>
          <w:trHeight w:val="60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资金情况</w:t>
            </w:r>
          </w:p>
        </w:tc>
      </w:tr>
      <w:tr>
        <w:tblPrEx>
          <w:tblLayout w:type="fixed"/>
          <w:tblCellMar>
            <w:top w:w="0" w:type="dxa"/>
            <w:left w:w="108" w:type="dxa"/>
            <w:bottom w:w="0" w:type="dxa"/>
            <w:right w:w="108" w:type="dxa"/>
          </w:tblCellMar>
        </w:tblPrEx>
        <w:trPr>
          <w:trHeight w:val="720" w:hRule="atLeast"/>
          <w:jc w:val="center"/>
        </w:trPr>
        <w:tc>
          <w:tcPr>
            <w:tcW w:w="2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年初预算数</w:t>
            </w:r>
          </w:p>
        </w:tc>
        <w:tc>
          <w:tcPr>
            <w:tcW w:w="1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全年（调整）预算数</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全年执行数</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执行率</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执行率权重</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执行率得分</w:t>
            </w:r>
          </w:p>
        </w:tc>
      </w:tr>
      <w:tr>
        <w:tblPrEx>
          <w:tblLayout w:type="fixed"/>
          <w:tblCellMar>
            <w:top w:w="0" w:type="dxa"/>
            <w:left w:w="108" w:type="dxa"/>
            <w:bottom w:w="0" w:type="dxa"/>
            <w:right w:w="108" w:type="dxa"/>
          </w:tblCellMar>
        </w:tblPrEx>
        <w:trPr>
          <w:trHeight w:val="620" w:hRule="atLeast"/>
          <w:jc w:val="center"/>
        </w:trPr>
        <w:tc>
          <w:tcPr>
            <w:tcW w:w="1784" w:type="dxa"/>
            <w:gridSpan w:val="2"/>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年度总金额</w:t>
            </w:r>
          </w:p>
        </w:tc>
        <w:tc>
          <w:tcPr>
            <w:tcW w:w="47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251,737,088.68 </w:t>
            </w:r>
          </w:p>
        </w:tc>
        <w:tc>
          <w:tcPr>
            <w:tcW w:w="1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276,221,418.57 </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276,066,968.77 </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r>
      <w:tr>
        <w:tblPrEx>
          <w:tblLayout w:type="fixed"/>
          <w:tblCellMar>
            <w:top w:w="0" w:type="dxa"/>
            <w:left w:w="108" w:type="dxa"/>
            <w:bottom w:w="0" w:type="dxa"/>
            <w:right w:w="108" w:type="dxa"/>
          </w:tblCellMar>
        </w:tblPrEx>
        <w:trPr>
          <w:trHeight w:val="540" w:hRule="atLeast"/>
          <w:jc w:val="center"/>
        </w:trPr>
        <w:tc>
          <w:tcPr>
            <w:tcW w:w="1784" w:type="dxa"/>
            <w:gridSpan w:val="2"/>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其中：财政拨款</w:t>
            </w:r>
          </w:p>
        </w:tc>
        <w:tc>
          <w:tcPr>
            <w:tcW w:w="47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251,737,088.68 </w:t>
            </w:r>
          </w:p>
        </w:tc>
        <w:tc>
          <w:tcPr>
            <w:tcW w:w="1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276,221,418.57 </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276,066,968.77 </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99.94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10.00</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9.99 </w:t>
            </w:r>
          </w:p>
        </w:tc>
      </w:tr>
      <w:tr>
        <w:tblPrEx>
          <w:tblLayout w:type="fixed"/>
          <w:tblCellMar>
            <w:top w:w="0" w:type="dxa"/>
            <w:left w:w="108" w:type="dxa"/>
            <w:bottom w:w="0" w:type="dxa"/>
            <w:right w:w="108" w:type="dxa"/>
          </w:tblCellMar>
        </w:tblPrEx>
        <w:trPr>
          <w:trHeight w:val="580" w:hRule="atLeast"/>
          <w:jc w:val="center"/>
        </w:trPr>
        <w:tc>
          <w:tcPr>
            <w:tcW w:w="1784" w:type="dxa"/>
            <w:gridSpan w:val="2"/>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一般公共预算</w:t>
            </w:r>
          </w:p>
        </w:tc>
        <w:tc>
          <w:tcPr>
            <w:tcW w:w="477"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c>
          <w:tcPr>
            <w:tcW w:w="14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251,737,088.68 </w:t>
            </w:r>
          </w:p>
        </w:tc>
        <w:tc>
          <w:tcPr>
            <w:tcW w:w="17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276,221,418.57 </w:t>
            </w:r>
          </w:p>
        </w:tc>
        <w:tc>
          <w:tcPr>
            <w:tcW w:w="1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 xml:space="preserve">276,066,968.77 </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99.94</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6"/>
                <w:szCs w:val="16"/>
              </w:rPr>
            </w:pPr>
          </w:p>
        </w:tc>
      </w:tr>
      <w:tr>
        <w:tblPrEx>
          <w:tblLayout w:type="fixed"/>
          <w:tblCellMar>
            <w:top w:w="0" w:type="dxa"/>
            <w:left w:w="108" w:type="dxa"/>
            <w:bottom w:w="0" w:type="dxa"/>
            <w:right w:w="108" w:type="dxa"/>
          </w:tblCellMar>
        </w:tblPrEx>
        <w:trPr>
          <w:trHeight w:val="58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绩效目标</w:t>
            </w:r>
          </w:p>
        </w:tc>
      </w:tr>
      <w:tr>
        <w:tblPrEx>
          <w:tblLayout w:type="fixed"/>
          <w:tblCellMar>
            <w:top w:w="0" w:type="dxa"/>
            <w:left w:w="108" w:type="dxa"/>
            <w:bottom w:w="0" w:type="dxa"/>
            <w:right w:w="108" w:type="dxa"/>
          </w:tblCellMar>
        </w:tblPrEx>
        <w:trPr>
          <w:trHeight w:val="680" w:hRule="atLeast"/>
          <w:jc w:val="center"/>
        </w:trPr>
        <w:tc>
          <w:tcPr>
            <w:tcW w:w="37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年初绩效目标</w:t>
            </w:r>
          </w:p>
        </w:tc>
        <w:tc>
          <w:tcPr>
            <w:tcW w:w="32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全年（调整）绩效目标</w:t>
            </w:r>
          </w:p>
        </w:tc>
        <w:tc>
          <w:tcPr>
            <w:tcW w:w="279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全年目标实际完成情况</w:t>
            </w:r>
          </w:p>
        </w:tc>
      </w:tr>
      <w:tr>
        <w:tblPrEx>
          <w:tblLayout w:type="fixed"/>
          <w:tblCellMar>
            <w:top w:w="0" w:type="dxa"/>
            <w:left w:w="108" w:type="dxa"/>
            <w:bottom w:w="0" w:type="dxa"/>
            <w:right w:w="108" w:type="dxa"/>
          </w:tblCellMar>
        </w:tblPrEx>
        <w:trPr>
          <w:trHeight w:val="710" w:hRule="atLeast"/>
          <w:jc w:val="center"/>
        </w:trPr>
        <w:tc>
          <w:tcPr>
            <w:tcW w:w="3734" w:type="dxa"/>
            <w:gridSpan w:val="8"/>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6"/>
                <w:szCs w:val="16"/>
              </w:rPr>
            </w:pPr>
            <w:r>
              <w:rPr>
                <w:rFonts w:cs="宋体"/>
                <w:color w:val="000000"/>
                <w:sz w:val="16"/>
                <w:szCs w:val="16"/>
                <w:lang w:bidi="ar"/>
              </w:rPr>
              <w:t>检查和负责全县界线管理工作的指导及边界纠纷的调处。推动村(居)务公开和基层民主政治建设;统筹推进、督促指导、监督管理养老服务工作，负责拟订全县养老服务体系建设规划、标准并组织实施;组织落实促进慈善事业发展政策，指导社会捐助;贯彻执行社会救助政策，负责全县城乡居民最低生活保障、特困人员救助供养、临时救助、生活无着流浪乞讨人员救助等。订全县社会团体、社会服务机构登记管理办法，按照管理权限对社会组织进行登记、管理、监督。负责辖区内特困人员、孤残儿童集中供养，弘扬救助精神。提供老人自愿有偿服务。做好全局保卫工作;保障全县救助工作及时、有力开展，保障生活无着落的流浪乞讨人员临时救助、服务、安置。群众幸福感和满意度提高。</w:t>
            </w:r>
          </w:p>
        </w:tc>
        <w:tc>
          <w:tcPr>
            <w:tcW w:w="3249"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cs="宋体"/>
                <w:color w:val="000000"/>
                <w:sz w:val="16"/>
                <w:szCs w:val="16"/>
              </w:rPr>
            </w:pPr>
          </w:p>
        </w:tc>
        <w:tc>
          <w:tcPr>
            <w:tcW w:w="2797"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6"/>
                <w:szCs w:val="16"/>
              </w:rPr>
            </w:pPr>
            <w:r>
              <w:rPr>
                <w:rFonts w:cs="宋体"/>
                <w:color w:val="000000"/>
                <w:sz w:val="16"/>
                <w:szCs w:val="16"/>
                <w:lang w:bidi="ar"/>
              </w:rPr>
              <w:t>检查和负责全县界线管理工作的指导及边界纠纷的调处。推动村(居)务公开和基层民主政治建设;统筹推进、督促指导、监督管理养老服务工作，负责拟订全县养老服务体系建设规划、标准并组织实施;组织落实促进慈善事业发展政策，指导社会捐助;贯彻执行社会救助政策，负责全县城乡居民最低生活保障、特困人员救助供养、临时救助、生活无着流浪乞讨人员救助等。订全县社会团体、社会服务机构登记管理办法，按照管理权限对社会组织进行登记、管理、监督。负责辖区内特困人员、孤残儿童集中供养，弘扬救助精神。提供老人自愿有偿服务。做好全局保卫工作;保障全县救助工作及时、有力开展，保障生活无着落的流浪乞讨人员临时救助、服务、安置。群众幸福感和满意度提高。</w:t>
            </w:r>
          </w:p>
        </w:tc>
      </w:tr>
      <w:tr>
        <w:tblPrEx>
          <w:tblLayout w:type="fixed"/>
          <w:tblCellMar>
            <w:top w:w="0" w:type="dxa"/>
            <w:left w:w="108" w:type="dxa"/>
            <w:bottom w:w="0" w:type="dxa"/>
            <w:right w:w="108" w:type="dxa"/>
          </w:tblCellMar>
        </w:tblPrEx>
        <w:trPr>
          <w:trHeight w:val="54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6"/>
                <w:szCs w:val="16"/>
              </w:rPr>
            </w:pPr>
            <w:r>
              <w:rPr>
                <w:rFonts w:ascii="微软雅黑" w:hAnsi="微软雅黑" w:eastAsia="微软雅黑" w:cs="微软雅黑"/>
                <w:b/>
                <w:bCs/>
                <w:color w:val="808080"/>
                <w:sz w:val="16"/>
                <w:szCs w:val="16"/>
                <w:lang w:bidi="ar"/>
              </w:rPr>
              <w:t>绩效指标</w:t>
            </w:r>
          </w:p>
        </w:tc>
      </w:tr>
      <w:tr>
        <w:tblPrEx>
          <w:tblLayout w:type="fixed"/>
          <w:tblCellMar>
            <w:top w:w="0" w:type="dxa"/>
            <w:left w:w="108" w:type="dxa"/>
            <w:bottom w:w="0" w:type="dxa"/>
            <w:right w:w="108" w:type="dxa"/>
          </w:tblCellMar>
        </w:tblPrEx>
        <w:trPr>
          <w:trHeight w:val="94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指标名称</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计量单位</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指标性质</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指标值</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全年完成值</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偏离度（%）</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得分系数（%）</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指标权重</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指标得分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是否核心指标</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6"/>
                <w:szCs w:val="16"/>
              </w:rPr>
            </w:pPr>
            <w:r>
              <w:rPr>
                <w:rFonts w:cs="宋体"/>
                <w:b/>
                <w:bCs/>
                <w:color w:val="000000"/>
                <w:sz w:val="16"/>
                <w:szCs w:val="16"/>
                <w:lang w:bidi="ar"/>
              </w:rPr>
              <w:t>说明</w:t>
            </w:r>
          </w:p>
        </w:tc>
      </w:tr>
      <w:tr>
        <w:tblPrEx>
          <w:tblLayout w:type="fixed"/>
          <w:tblCellMar>
            <w:top w:w="0" w:type="dxa"/>
            <w:left w:w="108" w:type="dxa"/>
            <w:bottom w:w="0" w:type="dxa"/>
            <w:right w:w="108" w:type="dxa"/>
          </w:tblCellMar>
        </w:tblPrEx>
        <w:trPr>
          <w:trHeight w:val="78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街道养老服务中心、乡镇养老服务中心、社区养老服务站、乡镇互助养老点数量</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个</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357</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357</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r>
      <w:tr>
        <w:tblPrEx>
          <w:tblLayout w:type="fixed"/>
          <w:tblCellMar>
            <w:top w:w="0" w:type="dxa"/>
            <w:left w:w="108" w:type="dxa"/>
            <w:bottom w:w="0" w:type="dxa"/>
            <w:right w:w="108" w:type="dxa"/>
          </w:tblCellMar>
        </w:tblPrEx>
        <w:trPr>
          <w:trHeight w:val="36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社会工作专业人才数量</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人</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200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200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r>
      <w:tr>
        <w:tblPrEx>
          <w:tblLayout w:type="fixed"/>
          <w:tblCellMar>
            <w:top w:w="0" w:type="dxa"/>
            <w:left w:w="108" w:type="dxa"/>
            <w:bottom w:w="0" w:type="dxa"/>
            <w:right w:w="108" w:type="dxa"/>
          </w:tblCellMar>
        </w:tblPrEx>
        <w:trPr>
          <w:trHeight w:val="36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全年预算支出执行率</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98</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98</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r>
      <w:tr>
        <w:tblPrEx>
          <w:tblLayout w:type="fixed"/>
          <w:tblCellMar>
            <w:top w:w="0" w:type="dxa"/>
            <w:left w:w="108" w:type="dxa"/>
            <w:bottom w:w="0" w:type="dxa"/>
            <w:right w:w="108" w:type="dxa"/>
          </w:tblCellMar>
        </w:tblPrEx>
        <w:trPr>
          <w:trHeight w:val="32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生活补贴保障率</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r>
      <w:tr>
        <w:tblPrEx>
          <w:tblLayout w:type="fixed"/>
          <w:tblCellMar>
            <w:top w:w="0" w:type="dxa"/>
            <w:left w:w="108" w:type="dxa"/>
            <w:bottom w:w="0" w:type="dxa"/>
            <w:right w:w="108" w:type="dxa"/>
          </w:tblCellMar>
        </w:tblPrEx>
        <w:trPr>
          <w:trHeight w:val="36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部门预决算按时公开率</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是</w:t>
            </w:r>
          </w:p>
        </w:tc>
      </w:tr>
      <w:tr>
        <w:tblPrEx>
          <w:tblLayout w:type="fixed"/>
          <w:tblCellMar>
            <w:top w:w="0" w:type="dxa"/>
            <w:left w:w="108" w:type="dxa"/>
            <w:bottom w:w="0" w:type="dxa"/>
            <w:right w:w="108" w:type="dxa"/>
          </w:tblCellMar>
        </w:tblPrEx>
        <w:trPr>
          <w:trHeight w:val="34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三季度预算执行进度</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75</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75</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r>
      <w:tr>
        <w:tblPrEx>
          <w:tblLayout w:type="fixed"/>
          <w:tblCellMar>
            <w:top w:w="0" w:type="dxa"/>
            <w:left w:w="108" w:type="dxa"/>
            <w:bottom w:w="0" w:type="dxa"/>
            <w:right w:w="108" w:type="dxa"/>
          </w:tblCellMar>
        </w:tblPrEx>
        <w:trPr>
          <w:trHeight w:val="34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城乡低保保障标准比</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81</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81</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r>
      <w:tr>
        <w:tblPrEx>
          <w:tblLayout w:type="fixed"/>
          <w:tblCellMar>
            <w:top w:w="0" w:type="dxa"/>
            <w:left w:w="108" w:type="dxa"/>
            <w:bottom w:w="0" w:type="dxa"/>
            <w:right w:w="108" w:type="dxa"/>
          </w:tblCellMar>
        </w:tblPrEx>
        <w:trPr>
          <w:trHeight w:val="40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民政工作能力提升率</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r>
      <w:tr>
        <w:tblPrEx>
          <w:tblLayout w:type="fixed"/>
          <w:tblCellMar>
            <w:top w:w="0" w:type="dxa"/>
            <w:left w:w="108" w:type="dxa"/>
            <w:bottom w:w="0" w:type="dxa"/>
            <w:right w:w="108" w:type="dxa"/>
          </w:tblCellMar>
        </w:tblPrEx>
        <w:trPr>
          <w:trHeight w:val="36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社区居家养老服务覆盖率</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r>
      <w:tr>
        <w:tblPrEx>
          <w:tblLayout w:type="fixed"/>
          <w:tblCellMar>
            <w:top w:w="0" w:type="dxa"/>
            <w:left w:w="108" w:type="dxa"/>
            <w:bottom w:w="0" w:type="dxa"/>
            <w:right w:w="108" w:type="dxa"/>
          </w:tblCellMar>
        </w:tblPrEx>
        <w:trPr>
          <w:trHeight w:val="36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养老服务水平提升率</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r>
      <w:tr>
        <w:tblPrEx>
          <w:tblLayout w:type="fixed"/>
          <w:tblCellMar>
            <w:top w:w="0" w:type="dxa"/>
            <w:left w:w="108" w:type="dxa"/>
            <w:bottom w:w="0" w:type="dxa"/>
            <w:right w:w="108" w:type="dxa"/>
          </w:tblCellMar>
        </w:tblPrEx>
        <w:trPr>
          <w:trHeight w:val="34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各项保障制度长期持续</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6</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r>
      <w:tr>
        <w:tblPrEx>
          <w:tblLayout w:type="fixed"/>
          <w:tblCellMar>
            <w:top w:w="0" w:type="dxa"/>
            <w:left w:w="108" w:type="dxa"/>
            <w:bottom w:w="0" w:type="dxa"/>
            <w:right w:w="108" w:type="dxa"/>
          </w:tblCellMar>
        </w:tblPrEx>
        <w:trPr>
          <w:trHeight w:val="320" w:hRule="atLeast"/>
          <w:jc w:val="center"/>
        </w:trPr>
        <w:tc>
          <w:tcPr>
            <w:tcW w:w="17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受助对象满意度</w:t>
            </w:r>
          </w:p>
        </w:tc>
        <w:tc>
          <w:tcPr>
            <w:tcW w:w="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w:t>
            </w:r>
          </w:p>
        </w:tc>
        <w:tc>
          <w:tcPr>
            <w:tcW w:w="7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80</w:t>
            </w:r>
          </w:p>
        </w:tc>
        <w:tc>
          <w:tcPr>
            <w:tcW w:w="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80</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0</w:t>
            </w:r>
          </w:p>
        </w:tc>
        <w:tc>
          <w:tcPr>
            <w:tcW w:w="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8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10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6"/>
                <w:szCs w:val="16"/>
              </w:rPr>
            </w:pPr>
            <w:r>
              <w:rPr>
                <w:rFonts w:cs="宋体"/>
                <w:color w:val="000000"/>
                <w:sz w:val="16"/>
                <w:szCs w:val="16"/>
                <w:lang w:bidi="ar"/>
              </w:rPr>
              <w:t>否</w:t>
            </w:r>
          </w:p>
        </w:tc>
      </w:tr>
      <w:tr>
        <w:tblPrEx>
          <w:tblLayout w:type="fixed"/>
          <w:tblCellMar>
            <w:top w:w="0" w:type="dxa"/>
            <w:left w:w="108" w:type="dxa"/>
            <w:bottom w:w="0" w:type="dxa"/>
            <w:right w:w="108" w:type="dxa"/>
          </w:tblCellMar>
        </w:tblPrEx>
        <w:trPr>
          <w:trHeight w:val="80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tblPrEx>
          <w:tblLayout w:type="fixed"/>
          <w:tblCellMar>
            <w:top w:w="0" w:type="dxa"/>
            <w:left w:w="108" w:type="dxa"/>
            <w:bottom w:w="0" w:type="dxa"/>
            <w:right w:w="108" w:type="dxa"/>
          </w:tblCellMar>
        </w:tblPrEx>
        <w:trPr>
          <w:trHeight w:val="50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DA3232"/>
                <w:sz w:val="18"/>
                <w:szCs w:val="18"/>
              </w:rPr>
            </w:pPr>
            <w:r>
              <w:rPr>
                <w:rFonts w:cs="宋体"/>
                <w:b/>
                <w:bCs/>
                <w:color w:val="DA3232"/>
                <w:sz w:val="18"/>
                <w:szCs w:val="18"/>
                <w:lang w:bidi="ar"/>
              </w:rPr>
              <w:t>状态：绩效审核已审</w:t>
            </w:r>
          </w:p>
        </w:tc>
      </w:tr>
      <w:tr>
        <w:tblPrEx>
          <w:tblLayout w:type="fixed"/>
          <w:tblCellMar>
            <w:top w:w="0" w:type="dxa"/>
            <w:left w:w="108" w:type="dxa"/>
            <w:bottom w:w="0" w:type="dxa"/>
            <w:right w:w="108" w:type="dxa"/>
          </w:tblCellMar>
        </w:tblPrEx>
        <w:trPr>
          <w:trHeight w:val="88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项目名称：</w:t>
            </w:r>
          </w:p>
        </w:tc>
        <w:tc>
          <w:tcPr>
            <w:tcW w:w="1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困难群众救助补助资金（直达资金）</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项目编码：</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50023122T000002045300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自评总分：</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100.00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b/>
                <w:bCs/>
                <w:color w:val="000000"/>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项目主管部门：</w:t>
            </w:r>
          </w:p>
        </w:tc>
        <w:tc>
          <w:tcPr>
            <w:tcW w:w="1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302-垫江县民政局</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财政归口处室：</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006-社保科</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部门联系人：</w:t>
            </w:r>
          </w:p>
        </w:tc>
        <w:tc>
          <w:tcPr>
            <w:tcW w:w="14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孙老师</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联系电话：</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hint="eastAsia" w:cs="宋体"/>
                <w:color w:val="000000"/>
                <w:sz w:val="18"/>
                <w:szCs w:val="18"/>
                <w:lang w:val="en-US" w:eastAsia="zh-CN" w:bidi="ar"/>
              </w:rPr>
              <w:t>023-</w:t>
            </w:r>
            <w:bookmarkStart w:id="0" w:name="_GoBack"/>
            <w:bookmarkEnd w:id="0"/>
            <w:r>
              <w:rPr>
                <w:rFonts w:cs="宋体"/>
                <w:color w:val="000000"/>
                <w:sz w:val="18"/>
                <w:szCs w:val="18"/>
                <w:lang w:bidi="ar"/>
              </w:rPr>
              <w:t>74517378</w:t>
            </w:r>
          </w:p>
        </w:tc>
      </w:tr>
      <w:tr>
        <w:tblPrEx>
          <w:tblLayout w:type="fixed"/>
          <w:tblCellMar>
            <w:top w:w="0" w:type="dxa"/>
            <w:left w:w="108" w:type="dxa"/>
            <w:bottom w:w="0" w:type="dxa"/>
            <w:right w:w="108" w:type="dxa"/>
          </w:tblCellMar>
        </w:tblPrEx>
        <w:trPr>
          <w:trHeight w:val="60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资金情况</w:t>
            </w:r>
          </w:p>
        </w:tc>
      </w:tr>
      <w:tr>
        <w:tblPrEx>
          <w:tblLayout w:type="fixed"/>
          <w:tblCellMar>
            <w:top w:w="0" w:type="dxa"/>
            <w:left w:w="108" w:type="dxa"/>
            <w:bottom w:w="0" w:type="dxa"/>
            <w:right w:w="108" w:type="dxa"/>
          </w:tblCellMar>
        </w:tblPrEx>
        <w:trPr>
          <w:trHeight w:val="500" w:hRule="atLeast"/>
          <w:jc w:val="center"/>
        </w:trPr>
        <w:tc>
          <w:tcPr>
            <w:tcW w:w="1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年初预算数</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全年（调整）预算数</w:t>
            </w:r>
          </w:p>
        </w:tc>
        <w:tc>
          <w:tcPr>
            <w:tcW w:w="1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执行率</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执行率权重</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执行率得分</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年度总金额</w:t>
            </w:r>
          </w:p>
        </w:tc>
        <w:tc>
          <w:tcPr>
            <w:tcW w:w="64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64,411,000.00 </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93,531,731.50 </w:t>
            </w:r>
          </w:p>
        </w:tc>
        <w:tc>
          <w:tcPr>
            <w:tcW w:w="1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93,531,731.50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其中：财政拨款</w:t>
            </w:r>
          </w:p>
        </w:tc>
        <w:tc>
          <w:tcPr>
            <w:tcW w:w="64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64,411,000.00 </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93,531,731.50 </w:t>
            </w:r>
          </w:p>
        </w:tc>
        <w:tc>
          <w:tcPr>
            <w:tcW w:w="1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93,531,731.50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10.00</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10.00 </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nil"/>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一般公共预算</w:t>
            </w:r>
          </w:p>
        </w:tc>
        <w:tc>
          <w:tcPr>
            <w:tcW w:w="646" w:type="dxa"/>
            <w:gridSpan w:val="2"/>
            <w:tcBorders>
              <w:top w:val="single" w:color="000000" w:sz="4" w:space="0"/>
              <w:left w:val="nil"/>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5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64,411,000.00 </w:t>
            </w:r>
          </w:p>
        </w:tc>
        <w:tc>
          <w:tcPr>
            <w:tcW w:w="2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93,531,731.50 </w:t>
            </w:r>
          </w:p>
        </w:tc>
        <w:tc>
          <w:tcPr>
            <w:tcW w:w="15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 xml:space="preserve">93,531,731.50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color w:val="000000"/>
                <w:sz w:val="18"/>
                <w:szCs w:val="18"/>
              </w:rPr>
            </w:pPr>
          </w:p>
        </w:tc>
      </w:tr>
      <w:tr>
        <w:tblPrEx>
          <w:tblLayout w:type="fixed"/>
          <w:tblCellMar>
            <w:top w:w="0" w:type="dxa"/>
            <w:left w:w="108" w:type="dxa"/>
            <w:bottom w:w="0" w:type="dxa"/>
            <w:right w:w="108" w:type="dxa"/>
          </w:tblCellMar>
        </w:tblPrEx>
        <w:trPr>
          <w:trHeight w:val="60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绩效目标</w:t>
            </w:r>
          </w:p>
        </w:tc>
      </w:tr>
      <w:tr>
        <w:tblPrEx>
          <w:tblLayout w:type="fixed"/>
          <w:tblCellMar>
            <w:top w:w="0" w:type="dxa"/>
            <w:left w:w="108" w:type="dxa"/>
            <w:bottom w:w="0" w:type="dxa"/>
            <w:right w:w="108" w:type="dxa"/>
          </w:tblCellMar>
        </w:tblPrEx>
        <w:trPr>
          <w:trHeight w:val="500" w:hRule="atLeast"/>
          <w:jc w:val="center"/>
        </w:trPr>
        <w:tc>
          <w:tcPr>
            <w:tcW w:w="335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年初绩效目标</w:t>
            </w:r>
          </w:p>
        </w:tc>
        <w:tc>
          <w:tcPr>
            <w:tcW w:w="36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全年（调整）绩效目标</w:t>
            </w:r>
          </w:p>
        </w:tc>
        <w:tc>
          <w:tcPr>
            <w:tcW w:w="27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全年目标实际完成情况</w:t>
            </w:r>
          </w:p>
        </w:tc>
      </w:tr>
      <w:tr>
        <w:tblPrEx>
          <w:tblLayout w:type="fixed"/>
          <w:tblCellMar>
            <w:top w:w="0" w:type="dxa"/>
            <w:left w:w="108" w:type="dxa"/>
            <w:bottom w:w="0" w:type="dxa"/>
            <w:right w:w="108" w:type="dxa"/>
          </w:tblCellMar>
        </w:tblPrEx>
        <w:trPr>
          <w:trHeight w:val="740" w:hRule="atLeast"/>
          <w:jc w:val="center"/>
        </w:trPr>
        <w:tc>
          <w:tcPr>
            <w:tcW w:w="3357" w:type="dxa"/>
            <w:gridSpan w:val="7"/>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lang w:bidi="ar"/>
              </w:rPr>
              <w:t>按时发放困难群众救助资金</w:t>
            </w:r>
          </w:p>
        </w:tc>
        <w:tc>
          <w:tcPr>
            <w:tcW w:w="3685" w:type="dxa"/>
            <w:gridSpan w:val="9"/>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default" w:cs="宋体"/>
                <w:color w:val="000000"/>
                <w:sz w:val="18"/>
                <w:szCs w:val="18"/>
              </w:rPr>
            </w:pPr>
          </w:p>
        </w:tc>
        <w:tc>
          <w:tcPr>
            <w:tcW w:w="2738" w:type="dxa"/>
            <w:gridSpan w:val="5"/>
            <w:tcBorders>
              <w:top w:val="single" w:color="000000" w:sz="4" w:space="0"/>
              <w:left w:val="single" w:color="000000" w:sz="4" w:space="0"/>
              <w:bottom w:val="single" w:color="000000" w:sz="4" w:space="0"/>
              <w:right w:val="single" w:color="000000" w:sz="4" w:space="0"/>
            </w:tcBorders>
            <w:shd w:val="clear" w:color="auto" w:fill="auto"/>
          </w:tcPr>
          <w:p>
            <w:pPr>
              <w:jc w:val="center"/>
              <w:textAlignment w:val="top"/>
              <w:rPr>
                <w:rFonts w:hint="default" w:cs="宋体"/>
                <w:color w:val="000000"/>
                <w:sz w:val="18"/>
                <w:szCs w:val="18"/>
              </w:rPr>
            </w:pPr>
            <w:r>
              <w:rPr>
                <w:rFonts w:cs="宋体"/>
                <w:color w:val="000000"/>
                <w:sz w:val="18"/>
                <w:szCs w:val="18"/>
                <w:lang w:bidi="ar"/>
              </w:rPr>
              <w:br w:type="textWrapping"/>
            </w:r>
            <w:r>
              <w:rPr>
                <w:rFonts w:cs="宋体"/>
                <w:color w:val="000000"/>
                <w:sz w:val="18"/>
                <w:szCs w:val="18"/>
                <w:lang w:bidi="ar"/>
              </w:rPr>
              <w:t>按时发放困难群众救助资金</w:t>
            </w:r>
          </w:p>
        </w:tc>
      </w:tr>
      <w:tr>
        <w:tblPrEx>
          <w:tblLayout w:type="fixed"/>
          <w:tblCellMar>
            <w:top w:w="0" w:type="dxa"/>
            <w:left w:w="108" w:type="dxa"/>
            <w:bottom w:w="0" w:type="dxa"/>
            <w:right w:w="108" w:type="dxa"/>
          </w:tblCellMar>
        </w:tblPrEx>
        <w:trPr>
          <w:trHeight w:val="600" w:hRule="atLeast"/>
          <w:jc w:val="center"/>
        </w:trPr>
        <w:tc>
          <w:tcPr>
            <w:tcW w:w="978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color w:val="808080"/>
                <w:sz w:val="18"/>
                <w:szCs w:val="18"/>
              </w:rPr>
            </w:pPr>
            <w:r>
              <w:rPr>
                <w:rFonts w:ascii="微软雅黑" w:hAnsi="微软雅黑" w:eastAsia="微软雅黑" w:cs="微软雅黑"/>
                <w:b/>
                <w:bCs/>
                <w:color w:val="808080"/>
                <w:sz w:val="18"/>
                <w:szCs w:val="18"/>
                <w:lang w:bidi="ar"/>
              </w:rPr>
              <w:t>绩效指标</w:t>
            </w:r>
          </w:p>
        </w:tc>
      </w:tr>
      <w:tr>
        <w:tblPrEx>
          <w:tblLayout w:type="fixed"/>
          <w:tblCellMar>
            <w:top w:w="0" w:type="dxa"/>
            <w:left w:w="108" w:type="dxa"/>
            <w:bottom w:w="0" w:type="dxa"/>
            <w:right w:w="108" w:type="dxa"/>
          </w:tblCellMar>
        </w:tblPrEx>
        <w:trPr>
          <w:trHeight w:val="66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指标名称</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计量单位</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指标性质</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指标值</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全年完成值</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偏离度（%）</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得分系数（%）</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指标得分</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是否核心指标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color w:val="000000"/>
                <w:sz w:val="18"/>
                <w:szCs w:val="18"/>
              </w:rPr>
            </w:pPr>
            <w:r>
              <w:rPr>
                <w:rFonts w:cs="宋体"/>
                <w:b/>
                <w:bCs/>
                <w:color w:val="000000"/>
                <w:sz w:val="18"/>
                <w:szCs w:val="18"/>
                <w:lang w:bidi="ar"/>
              </w:rPr>
              <w:t>说明</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低保对象人数</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人数</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15000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15000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临时救助人次</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人次</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5000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5000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204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孤儿、艾滋病病毒感染儿童、生活困难家庭中的和纳入特困人员救助供养范围的事实无人抚养儿童纳入保障范围率</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90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90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114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建立社会救助家庭经济状况核对机制的县（市、区）比例</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92</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92</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7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困难群众幸福指数提升率</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80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80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20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是</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84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救助对象对社会救助实施的满意度</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88</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88</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城市特困</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万元/年</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39</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39</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2</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城乡低保</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万元/年</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儿童福利</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万元/年</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50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50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2</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临时救助金</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万元/年</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农村低保</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万元/年</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4700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4700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r>
        <w:tblPrEx>
          <w:tblLayout w:type="fixed"/>
          <w:tblCellMar>
            <w:top w:w="0" w:type="dxa"/>
            <w:left w:w="108" w:type="dxa"/>
            <w:bottom w:w="0" w:type="dxa"/>
            <w:right w:w="108" w:type="dxa"/>
          </w:tblCellMar>
        </w:tblPrEx>
        <w:trPr>
          <w:trHeight w:val="50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农村特困</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万元/年</w:t>
            </w:r>
          </w:p>
        </w:tc>
        <w:tc>
          <w:tcPr>
            <w:tcW w:w="7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w:t>
            </w:r>
          </w:p>
        </w:tc>
        <w:tc>
          <w:tcPr>
            <w:tcW w:w="7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500</w:t>
            </w:r>
          </w:p>
        </w:tc>
        <w:tc>
          <w:tcPr>
            <w:tcW w:w="1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800</w:t>
            </w:r>
          </w:p>
        </w:tc>
        <w:tc>
          <w:tcPr>
            <w:tcW w:w="1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60</w:t>
            </w:r>
          </w:p>
        </w:tc>
        <w:tc>
          <w:tcPr>
            <w:tcW w:w="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100</w:t>
            </w:r>
          </w:p>
        </w:tc>
        <w:tc>
          <w:tcPr>
            <w:tcW w:w="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4</w:t>
            </w:r>
          </w:p>
        </w:tc>
        <w:tc>
          <w:tcPr>
            <w:tcW w:w="8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否</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color w:val="000000"/>
                <w:sz w:val="18"/>
                <w:szCs w:val="18"/>
              </w:rPr>
            </w:pPr>
            <w:r>
              <w:rPr>
                <w:rFonts w:cs="宋体"/>
                <w:color w:val="000000"/>
                <w:sz w:val="18"/>
                <w:szCs w:val="18"/>
                <w:lang w:bidi="ar"/>
              </w:rPr>
              <w:t>目标完成</w:t>
            </w:r>
          </w:p>
        </w:tc>
      </w:tr>
    </w:tbl>
    <w:p>
      <w:pPr>
        <w:pStyle w:val="14"/>
        <w:keepNext w:val="0"/>
        <w:keepLines w:val="0"/>
        <w:pageBreakBefore w:val="0"/>
        <w:widowControl/>
        <w:kinsoku/>
        <w:wordWrap/>
        <w:overflowPunct/>
        <w:topLinePunct w:val="0"/>
        <w:autoSpaceDE w:val="0"/>
        <w:autoSpaceDN/>
        <w:bidi w:val="0"/>
        <w:adjustRightInd/>
        <w:spacing w:beforeAutospacing="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lang w:bidi="ar"/>
        </w:rPr>
      </w:pPr>
    </w:p>
    <w:p>
      <w:pPr>
        <w:pStyle w:val="14"/>
        <w:keepNext w:val="0"/>
        <w:keepLines w:val="0"/>
        <w:pageBreakBefore w:val="0"/>
        <w:widowControl/>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（二）部门绩效评价情况</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我部门未组织开展绩效评价。</w:t>
      </w:r>
    </w:p>
    <w:p>
      <w:pPr>
        <w:pStyle w:val="14"/>
        <w:keepNext w:val="0"/>
        <w:keepLines w:val="0"/>
        <w:pageBreakBefore w:val="0"/>
        <w:widowControl/>
        <w:numPr>
          <w:ilvl w:val="0"/>
          <w:numId w:val="2"/>
        </w:numPr>
        <w:kinsoku/>
        <w:wordWrap/>
        <w:overflowPunct/>
        <w:topLinePunct w:val="0"/>
        <w:autoSpaceDE w:val="0"/>
        <w:autoSpaceDN/>
        <w:bidi w:val="0"/>
        <w:adjustRightInd/>
        <w:spacing w:beforeAutospacing="0" w:afterAutospacing="0" w:line="240" w:lineRule="auto"/>
        <w:ind w:left="0" w:leftChars="0"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财政绩效评价情况</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县财政局委托第三方对我单位垫江县养老服务业发展补助（包括彩票公益金安排项目）开展了重点绩效评价，涉及财政拨款项目资金487.50万元，评价得分90分，评价等次为优，绩效评价发现了绩效目标要素不全，绩效指标存在瑕疵等主要问题，提出完善项目绩效目标，优化绩效指标设置等下一步工作建议。</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3"/>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六、专业名词解释</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240" w:lineRule="auto"/>
        <w:ind w:left="0" w:leftChars="0" w:firstLine="643" w:firstLineChars="200"/>
        <w:jc w:val="both"/>
        <w:textAlignment w:val="auto"/>
        <w:rPr>
          <w:rFonts w:hint="default" w:ascii="Times New Roman" w:hAnsi="Times New Roman" w:eastAsia="方正仿宋_GBK" w:cs="Times New Roman"/>
          <w:sz w:val="32"/>
          <w:szCs w:val="32"/>
        </w:rPr>
      </w:pPr>
      <w:r>
        <w:rPr>
          <w:rStyle w:val="13"/>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240" w:lineRule="auto"/>
        <w:ind w:left="0" w:leftChars="0" w:firstLine="643" w:firstLineChars="200"/>
        <w:jc w:val="both"/>
        <w:textAlignment w:val="auto"/>
        <w:rPr>
          <w:rStyle w:val="13"/>
          <w:rFonts w:hint="default" w:ascii="Times New Roman" w:hAnsi="Times New Roman" w:eastAsia="方正仿宋_GBK" w:cs="Times New Roman"/>
          <w:sz w:val="32"/>
          <w:szCs w:val="32"/>
          <w:shd w:val="clear" w:color="auto" w:fill="FFFFFF"/>
        </w:rPr>
      </w:pPr>
      <w:r>
        <w:rPr>
          <w:rStyle w:val="13"/>
          <w:rFonts w:hint="default" w:ascii="Times New Roman" w:hAnsi="Times New Roman" w:eastAsia="黑体" w:cs="Times New Roman"/>
          <w:sz w:val="32"/>
          <w:szCs w:val="32"/>
          <w:shd w:val="clear" w:color="auto" w:fill="FFFFFF"/>
        </w:rPr>
        <w:t>七、决算公开联系方式及信息反馈渠道</w:t>
      </w:r>
    </w:p>
    <w:p>
      <w:pPr>
        <w:pStyle w:val="9"/>
        <w:keepNext w:val="0"/>
        <w:keepLines w:val="0"/>
        <w:pageBreakBefore w:val="0"/>
        <w:kinsoku/>
        <w:wordWrap/>
        <w:overflowPunct/>
        <w:topLinePunct w:val="0"/>
        <w:autoSpaceDN/>
        <w:bidi w:val="0"/>
        <w:adjustRightInd/>
        <w:snapToGrid w:val="0"/>
        <w:spacing w:before="0" w:beforeAutospacing="0" w:after="0" w:afterAutospacing="0" w:line="240" w:lineRule="auto"/>
        <w:ind w:left="0" w:leftChars="0" w:firstLine="640" w:firstLineChars="200"/>
        <w:jc w:val="both"/>
        <w:textAlignment w:val="auto"/>
        <w:rPr>
          <w:rFonts w:hint="default" w:ascii="Times New Roman" w:hAnsi="Times New Roman" w:eastAsia="方正仿宋_GBK" w:cs="Times New Roman"/>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本单位决算公开信息反馈和联系方式：李老师，023-74668513</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垫江县民政局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27,353.63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27,212.11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27,586.70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27,606.70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27,606.70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垫江县民政局</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27,586.70</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27,586.70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27,192.11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27,192.11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1,119.66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社会组织管理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1,000.22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1,000.22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598.96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598.96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1,373.58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1,373.58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1,373.58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1,373.58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13,439.93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13,439.93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2,639.97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2,639.97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10,799.96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10,799.96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1,473.18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1,437.52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1,437.52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5,387.28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5,387.28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906.39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906.39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4,480.88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4,480.88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1,459.61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1,459.61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229.26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229.26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垫江县民政局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27,606.70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1,465.55</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26,141.14</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27,212.11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1,304.04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25,908.08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1,139.66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589.26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349.30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社会组织管理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239.96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502.74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347.71</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140.33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356.82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2,223.92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541.74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1,000.22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1,000.22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268.47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598.96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598.96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1,373.58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1,373.58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1,373.58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1,373.58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13,439.93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13,439.93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2,639.97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2,639.97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10,799.96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10,799.96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1,473.18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1,473.18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1,437.52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1,437.52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5,387.28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5,387.28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906.39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906.39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4,480.88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4,480.88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1,459.61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1,459.61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229.26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229.26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1,230.35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104.30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121.44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111.63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垫江县民政局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27,353.63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27,212.11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27,586.70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27,606.70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27,373.63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27,606.70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27,606.70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27,373.63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233.07</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垫江县民政局</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27,373.63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1,465.55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25,908.08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27,212.11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1,304.04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25,908.08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1,139.66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589.26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550.40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349.30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349.30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社会组织管理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行政区划和地名管理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其他民政管理事务支出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239.96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502.74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347.71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347.71</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12.21</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140.33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140.33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123.60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356.82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2,223.92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儿童福利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541.74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老年福利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1,000.22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1,000.22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殡葬</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292.47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268.47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598.96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1,373.58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1,373.58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残疾人生活和护理补贴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1,373.58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1,373.58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最低生活保障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13,439.93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13,439.93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2,639.97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2,639.97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2081902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农村最低生活保障金支出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10,799.96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10,799.96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1,473.18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1,473.18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1,437.52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1,437.52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流浪乞讨人员救助支出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特困人员救助供养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5,387.28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5,387.28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906.39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农村特困人员救助供养支出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4,480.88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4,480.88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1,459.61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1,459.61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229.26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229.26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其他农村生活救助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20.82</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104.30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104.30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104.30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垫江县民政局</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1,177.23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142.02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236.82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344.86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104.30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146.06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108.57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1,323.29</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142.26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586"/>
        <w:gridCol w:w="3630"/>
        <w:gridCol w:w="1651"/>
        <w:gridCol w:w="1651"/>
        <w:gridCol w:w="1652"/>
        <w:gridCol w:w="1652"/>
        <w:gridCol w:w="1716"/>
        <w:gridCol w:w="1784"/>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6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垫江县民政局</w:t>
            </w:r>
          </w:p>
        </w:tc>
        <w:tc>
          <w:tcPr>
            <w:tcW w:w="16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6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5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65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02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5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5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521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233.07</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233.07</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233.07</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233.07</w:t>
            </w:r>
            <w:r>
              <w:rPr>
                <w:rFonts w:ascii="Times New Roman" w:hAnsi="Times New Roman"/>
                <w:b/>
                <w:color w:val="000000"/>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121.44</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121.44</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121.44</w:t>
            </w:r>
            <w:r>
              <w:rPr>
                <w:rFonts w:ascii="Times New Roman" w:hAnsi="Times New Roman"/>
                <w:color w:val="000000"/>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5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111.63</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111.63</w:t>
            </w:r>
            <w:r>
              <w:rPr>
                <w:rFonts w:ascii="Times New Roman" w:hAnsi="Times New Roman"/>
                <w:color w:val="000000"/>
                <w:sz w:val="20"/>
              </w:rPr>
              <w:t xml:space="preserve"> </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111.63</w:t>
            </w:r>
            <w:r>
              <w:rPr>
                <w:rFonts w:ascii="Times New Roman" w:hAnsi="Times New Roman"/>
                <w:color w:val="000000"/>
                <w:sz w:val="20"/>
              </w:rPr>
              <w:t xml:space="preserve"> </w:t>
            </w:r>
          </w:p>
        </w:tc>
        <w:tc>
          <w:tcPr>
            <w:tcW w:w="17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垫江县民政局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垫江县民政局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96.50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12.71</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75.89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20.62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7.97</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7.97</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7.97</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4.74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323.88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236.69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67.39</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19.80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323.88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175.18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27.21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982A1C"/>
    <w:multiLevelType w:val="singleLevel"/>
    <w:tmpl w:val="DC982A1C"/>
    <w:lvl w:ilvl="0" w:tentative="0">
      <w:start w:val="3"/>
      <w:numFmt w:val="chineseCounting"/>
      <w:suff w:val="nothing"/>
      <w:lvlText w:val="（%1）"/>
      <w:lvlJc w:val="left"/>
      <w:rPr>
        <w:rFonts w:hint="eastAsia"/>
      </w:rPr>
    </w:lvl>
  </w:abstractNum>
  <w:abstractNum w:abstractNumId="1">
    <w:nsid w:val="01920259"/>
    <w:multiLevelType w:val="singleLevel"/>
    <w:tmpl w:val="01920259"/>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iYzdmZTkxNTQ5NWUyYmY3NTJmYmMyOGUwNWZlOWEifQ=="/>
  </w:docVars>
  <w:rsids>
    <w:rsidRoot w:val="00B03CCD"/>
    <w:rsid w:val="000C01CC"/>
    <w:rsid w:val="000D7702"/>
    <w:rsid w:val="00261065"/>
    <w:rsid w:val="002C5C1D"/>
    <w:rsid w:val="002D0E5A"/>
    <w:rsid w:val="002E5443"/>
    <w:rsid w:val="0032196C"/>
    <w:rsid w:val="004C12FF"/>
    <w:rsid w:val="00550ABE"/>
    <w:rsid w:val="005B023C"/>
    <w:rsid w:val="00600322"/>
    <w:rsid w:val="006137D7"/>
    <w:rsid w:val="00634FA8"/>
    <w:rsid w:val="0063613A"/>
    <w:rsid w:val="006E2034"/>
    <w:rsid w:val="007251DC"/>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A6632"/>
    <w:rsid w:val="00BB66F7"/>
    <w:rsid w:val="00BF5A85"/>
    <w:rsid w:val="00C307F6"/>
    <w:rsid w:val="00C96B11"/>
    <w:rsid w:val="00CC6B99"/>
    <w:rsid w:val="00D10F3F"/>
    <w:rsid w:val="00D56720"/>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0E5F7E"/>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81760F"/>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77639EC"/>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75034A"/>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56821D6"/>
    <w:rsid w:val="764F62AB"/>
    <w:rsid w:val="765C45EC"/>
    <w:rsid w:val="768A7619"/>
    <w:rsid w:val="76D96B3A"/>
    <w:rsid w:val="772E1EBA"/>
    <w:rsid w:val="77EB79F7"/>
    <w:rsid w:val="78F7F382"/>
    <w:rsid w:val="796D60A4"/>
    <w:rsid w:val="79A031D5"/>
    <w:rsid w:val="7A1525F7"/>
    <w:rsid w:val="7A671CAE"/>
    <w:rsid w:val="7B420052"/>
    <w:rsid w:val="7B861484"/>
    <w:rsid w:val="7BD06A28"/>
    <w:rsid w:val="7C3A7C0B"/>
    <w:rsid w:val="7C5248E4"/>
    <w:rsid w:val="7C566698"/>
    <w:rsid w:val="7C5866A3"/>
    <w:rsid w:val="7D7406BB"/>
    <w:rsid w:val="7DE94331"/>
    <w:rsid w:val="7F446A19"/>
    <w:rsid w:val="7F7452B9"/>
    <w:rsid w:val="9667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9"/>
    <w:pPr>
      <w:keepNext/>
      <w:keepLines w:val="0"/>
      <w:spacing w:beforeLines="0" w:beforeAutospacing="0" w:afterLines="0" w:afterAutospacing="0" w:line="600" w:lineRule="exact"/>
      <w:outlineLvl w:val="1"/>
    </w:pPr>
    <w:rPr>
      <w:rFonts w:ascii="Times New Roman" w:hAnsi="Times New Roman" w:eastAsia="楷体"/>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rPr>
  </w:style>
  <w:style w:type="paragraph" w:styleId="4">
    <w:name w:val="Balloon Text"/>
    <w:basedOn w:val="1"/>
    <w:link w:val="18"/>
    <w:qFormat/>
    <w:uiPriority w:val="0"/>
    <w:rPr>
      <w:sz w:val="18"/>
      <w:szCs w:val="18"/>
    </w:rPr>
  </w:style>
  <w:style w:type="paragraph" w:styleId="5">
    <w:name w:val="footer"/>
    <w:basedOn w:val="1"/>
    <w:next w:val="6"/>
    <w:qFormat/>
    <w:uiPriority w:val="0"/>
    <w:pPr>
      <w:tabs>
        <w:tab w:val="center" w:pos="4153"/>
        <w:tab w:val="right" w:pos="8306"/>
      </w:tabs>
      <w:snapToGrid w:val="0"/>
    </w:pPr>
    <w:rPr>
      <w:sz w:val="18"/>
      <w:szCs w:val="18"/>
    </w:rPr>
  </w:style>
  <w:style w:type="paragraph" w:customStyle="1" w:styleId="6">
    <w:name w:val="索引 51"/>
    <w:basedOn w:val="1"/>
    <w:next w:val="1"/>
    <w:qFormat/>
    <w:uiPriority w:val="99"/>
    <w:pPr>
      <w:ind w:left="1680"/>
    </w:p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14396</Words>
  <Characters>20554</Characters>
  <Lines>179</Lines>
  <Paragraphs>50</Paragraphs>
  <TotalTime>13</TotalTime>
  <ScaleCrop>false</ScaleCrop>
  <LinksUpToDate>false</LinksUpToDate>
  <CharactersWithSpaces>22184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Administrator</cp:lastModifiedBy>
  <dcterms:modified xsi:type="dcterms:W3CDTF">2025-09-18T03:24:16Z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2491B6AF633F0C97E85BCB68436FEE4B</vt:lpwstr>
  </property>
  <property fmtid="{D5CDD505-2E9C-101B-9397-08002B2CF9AE}" pid="4" name="KSOTemplateDocerSaveRecord">
    <vt:lpwstr>eyJoZGlkIjoiMDUwMjYyMTAwZTM5NTcxOGVhNzI3YWZjMDRhMjZkZDEifQ==</vt:lpwstr>
  </property>
</Properties>
</file>