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垫江县最低生活保障服务中心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贯彻执行社会救助政策，负责全县城乡居民最低生活保障、特困人员救助供养、临时救助、等工作；负责贯彻执行全县儿童福利、孤弃儿童保障、儿童收养、儿童救助保护政策，健全农村留守儿童关爱保护体系和困境儿童保障机制。</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垫江县最低生活保障服务中心为县政府工作单位，机构规格：事业副科级。从预算单位构成看，我单位为民政局下属二级单位，无下属机构。</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2024年度收入总计195.37万元，支出总计195.37</w:t>
      </w:r>
      <w:r>
        <w:rPr>
          <w:rFonts w:hint="default" w:ascii="Times New Roman" w:hAnsi="Times New Roman" w:eastAsia="方正仿宋_GBK" w:cs="Times New Roman"/>
          <w:sz w:val="32"/>
          <w:szCs w:val="32"/>
          <w:shd w:val="clear" w:color="auto" w:fill="FFFFFF"/>
        </w:rPr>
        <w:t>万元。收、支与2023年度相比，减少19.77万元，下降9.2%，主要原因是本单位职工调出。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2024年度收入合计195.37万元，与2023年度相比，减少19.77万元，下降9.2%，主要原因是人员调出，人员经费和公用经费减少。其中：财政拨款收入</w:t>
      </w:r>
      <w:r>
        <w:rPr>
          <w:rFonts w:hint="default" w:ascii="Times New Roman" w:hAnsi="Times New Roman" w:eastAsia="方正仿宋_GBK" w:cs="Times New Roman"/>
          <w:sz w:val="32"/>
          <w:szCs w:val="32"/>
        </w:rPr>
        <w:t>195.37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195.37</w:t>
      </w:r>
      <w:r>
        <w:rPr>
          <w:rFonts w:hint="default" w:ascii="Times New Roman" w:hAnsi="Times New Roman" w:eastAsia="方正仿宋_GBK" w:cs="Times New Roman"/>
          <w:sz w:val="32"/>
          <w:szCs w:val="32"/>
          <w:shd w:val="clear" w:color="auto" w:fill="FFFFFF"/>
        </w:rPr>
        <w:t>万元，与2023年度相比，减少19.77万元，下降9.2%，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其中：基本支出</w:t>
      </w:r>
      <w:r>
        <w:rPr>
          <w:rFonts w:hint="default" w:ascii="Times New Roman" w:hAnsi="Times New Roman" w:eastAsia="方正仿宋_GBK" w:cs="Times New Roman"/>
          <w:sz w:val="32"/>
          <w:szCs w:val="32"/>
        </w:rPr>
        <w:t>195.37</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2024年度财政拨款收、支总计195.37万元。与2023年相比，财政拨款收、支总计各减少19.77万元，下降9.2%。主要原因是人员调出，节省开支，严控公用经费支出。</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195.37</w:t>
      </w:r>
      <w:r>
        <w:rPr>
          <w:rFonts w:hint="default" w:ascii="Times New Roman" w:hAnsi="Times New Roman" w:eastAsia="方正仿宋_GBK" w:cs="Times New Roman"/>
          <w:sz w:val="32"/>
          <w:szCs w:val="32"/>
          <w:shd w:val="clear" w:color="auto" w:fill="FFFFFF"/>
        </w:rPr>
        <w:t>万元，与2023年度相比，减少19.77万元，下降9.2%。主要原因是人员调出，人员经费和公用经费减少。较年初预算数增加18.24万元，增长10.3%。主要原因是政策性补缴2022-2023年社保费用；职工薪级晋升，工资追加，绩效考核追加。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195.37</w:t>
      </w:r>
      <w:r>
        <w:rPr>
          <w:rFonts w:hint="default" w:ascii="Times New Roman" w:hAnsi="Times New Roman" w:eastAsia="方正仿宋_GBK" w:cs="Times New Roman"/>
          <w:sz w:val="32"/>
          <w:szCs w:val="32"/>
          <w:shd w:val="clear" w:color="auto" w:fill="FFFFFF"/>
        </w:rPr>
        <w:t>万元，与2023年度相比，减少19.77万元，下降9.2%。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较年初预算数增加18.24万元，增长10.3%。主要原因是政策性补缴2022-2023年社保费用；职工薪级晋升，工资追加，绩效考核追加。</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，较年初预算数减少0.57万元，下降100.0%，主要原因是本单位2024年无培训方面的开支，对指标做了调剂。</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174.64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89.4%</w:t>
      </w:r>
      <w:r>
        <w:rPr>
          <w:rFonts w:hint="default" w:ascii="Times New Roman" w:hAnsi="Times New Roman" w:eastAsia="方正仿宋_GBK" w:cs="Times New Roman"/>
          <w:sz w:val="32"/>
          <w:szCs w:val="32"/>
          <w:shd w:val="clear" w:color="auto" w:fill="FFFFFF"/>
        </w:rPr>
        <w:t>，较年初预算数增加13.61万元，增长8.5%，主要原因是政策性补缴2022-2023年社保费用。</w:t>
      </w:r>
      <w:r>
        <w:rPr>
          <w:rFonts w:hint="default" w:ascii="Times New Roman" w:hAnsi="Times New Roman" w:eastAsia="方正仿宋_GBK" w:cs="Times New Roman"/>
          <w:kern w:val="0"/>
          <w:sz w:val="32"/>
          <w:szCs w:val="32"/>
          <w:shd w:val="clear" w:fill="FFFFFF"/>
          <w:lang w:val="en-US" w:eastAsia="zh-CN" w:bidi="ar"/>
        </w:rPr>
        <w:t>社会保障与就业支出主要用于职工的工资福利支出。</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8.39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shd w:val="clear" w:color="auto" w:fill="FFFFFF"/>
        </w:rPr>
        <w:t>，较年初预算数增加1.33万元，增长18.8%，</w:t>
      </w:r>
      <w:r>
        <w:rPr>
          <w:rFonts w:hint="default" w:ascii="Times New Roman" w:hAnsi="Times New Roman" w:eastAsia="方正仿宋_GBK" w:cs="Times New Roman"/>
          <w:kern w:val="0"/>
          <w:sz w:val="32"/>
          <w:szCs w:val="32"/>
          <w:shd w:val="clear" w:fill="FFFFFF"/>
          <w:lang w:val="en-US" w:eastAsia="zh-CN" w:bidi="ar"/>
        </w:rPr>
        <w:t>主要原因是职工薪级晋升，工资增加，缴费基数增加。卫生健康支出主要用于缴纳职工医疗保险。</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（4）住房保障支出12.34</w:t>
      </w:r>
      <w:r>
        <w:rPr>
          <w:rFonts w:hint="default" w:ascii="Times New Roman" w:hAnsi="Times New Roman" w:eastAsia="方正仿宋_GBK" w:cs="Times New Roman"/>
          <w:sz w:val="32"/>
          <w:szCs w:val="32"/>
          <w:shd w:val="clear" w:color="auto" w:fill="FFFFFF"/>
        </w:rPr>
        <w:t>万元，占6.3%</w:t>
      </w:r>
      <w:r>
        <w:rPr>
          <w:rFonts w:hint="default" w:ascii="Times New Roman" w:hAnsi="Times New Roman" w:eastAsia="方正仿宋_GBK" w:cs="Times New Roman"/>
          <w:sz w:val="32"/>
          <w:szCs w:val="32"/>
          <w:shd w:val="clear" w:color="auto" w:fill="FFFFFF"/>
        </w:rPr>
        <w:t>，较年初预算数增加3.87万元，增长45.7%，主要原因是补缴职工住房公积金。</w:t>
      </w:r>
      <w:r>
        <w:rPr>
          <w:rFonts w:hint="default" w:ascii="Times New Roman" w:hAnsi="Times New Roman" w:eastAsia="方正仿宋_GBK" w:cs="Times New Roman"/>
          <w:sz w:val="32"/>
          <w:szCs w:val="32"/>
          <w:shd w:val="clear" w:color="auto" w:fill="FFFFFF"/>
          <w:lang w:val="en-US" w:eastAsia="zh-CN"/>
        </w:rPr>
        <w:t>住房保障支出主要用于缴纳职工住房公积金。</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195.37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188.71</w:t>
      </w:r>
      <w:r>
        <w:rPr>
          <w:rFonts w:hint="default" w:ascii="Times New Roman" w:hAnsi="Times New Roman" w:eastAsia="方正仿宋_GBK" w:cs="Times New Roman"/>
          <w:sz w:val="32"/>
          <w:szCs w:val="32"/>
          <w:shd w:val="clear" w:color="auto" w:fill="FFFFFF"/>
        </w:rPr>
        <w:t>万元，与2023年度相比，减少6.64万元，下降3.4%，主要原因是人员调出。人员经费用途主要包括基本工资、津贴补贴、奖金、其他社会保障缴费、伙食补助费、绩效工资、机关事业单位基本养老保险缴费、职业年金缴费、其他工资福利支出、职工住房公积金、离退休费等。公用经费</w:t>
      </w:r>
      <w:r>
        <w:rPr>
          <w:rFonts w:hint="default" w:ascii="Times New Roman" w:hAnsi="Times New Roman" w:eastAsia="方正仿宋_GBK" w:cs="Times New Roman"/>
          <w:sz w:val="32"/>
          <w:szCs w:val="32"/>
        </w:rPr>
        <w:t>6.66</w:t>
      </w:r>
      <w:r>
        <w:rPr>
          <w:rFonts w:hint="default" w:ascii="Times New Roman" w:hAnsi="Times New Roman" w:eastAsia="方正仿宋_GBK" w:cs="Times New Roman"/>
          <w:sz w:val="32"/>
          <w:szCs w:val="32"/>
          <w:shd w:val="clear" w:color="auto" w:fill="FFFFFF"/>
        </w:rPr>
        <w:t>万元，与2023年度相比，减少13.14万元，下降66.4%，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公用经费用途主要包括办公费、印刷费、水费、电费、邮电费、差旅费、维修(护)费、会议费、培训费、公务接待费、专用材料费、劳务费、工会经费、公务用车运行维护费、其他交通费、其他商品和服务支出。</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w:t>
      </w:r>
      <w:r>
        <w:rPr>
          <w:rFonts w:hint="default" w:ascii="Times New Roman" w:hAnsi="Times New Roman" w:eastAsia="方正仿宋_GBK" w:cs="Times New Roman"/>
          <w:sz w:val="32"/>
          <w:szCs w:val="32"/>
          <w:shd w:val="clear" w:color="auto" w:fill="FFFFFF"/>
        </w:rPr>
        <w:t>万元，年末结转结余0.00</w:t>
      </w:r>
      <w:r>
        <w:rPr>
          <w:rFonts w:hint="default" w:ascii="Times New Roman" w:hAnsi="Times New Roman" w:eastAsia="方正仿宋_GBK" w:cs="Times New Roman"/>
          <w:sz w:val="32"/>
          <w:szCs w:val="32"/>
          <w:shd w:val="clear" w:color="auto" w:fill="FFFFFF"/>
        </w:rPr>
        <w:t>万元。本年收入0.00</w:t>
      </w:r>
      <w:r>
        <w:rPr>
          <w:rFonts w:hint="default" w:ascii="Times New Roman" w:hAnsi="Times New Roman" w:eastAsia="方正仿宋_GBK" w:cs="Times New Roman"/>
          <w:sz w:val="32"/>
          <w:szCs w:val="32"/>
          <w:shd w:val="clear" w:color="auto" w:fill="FFFFFF"/>
        </w:rPr>
        <w:t>万元，与2023年度相比，无增减，主要原因是本年度无政府性基金预算财政拨款收入。</w:t>
      </w:r>
      <w:r>
        <w:rPr>
          <w:rFonts w:hint="default" w:ascii="Times New Roman" w:hAnsi="Times New Roman" w:eastAsia="方正仿宋_GBK" w:cs="Times New Roman"/>
          <w:sz w:val="32"/>
          <w:szCs w:val="32"/>
          <w:shd w:val="clear" w:color="auto" w:fill="FFFFFF"/>
        </w:rPr>
        <w:t>本年支出0.00</w:t>
      </w:r>
      <w:r>
        <w:rPr>
          <w:rFonts w:hint="default" w:ascii="Times New Roman" w:hAnsi="Times New Roman" w:eastAsia="方正仿宋_GBK" w:cs="Times New Roman"/>
          <w:sz w:val="32"/>
          <w:szCs w:val="32"/>
          <w:shd w:val="clear" w:color="auto" w:fill="FFFFFF"/>
        </w:rPr>
        <w:t>万元，与2023年度相比，无增减，主要原因是本年度无政府性基金预算财政拨款支出。本单位2024年度无政府性基金预算财政拨款收支。</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2024年度“三公”经费支出共计0.00万元，较年初预算数无增减，主要原因是本单位2024年度未发生“三公”经费支出。较上年支出数无增减，主要原因是本单位2024年度未发生“三公”经费支出。</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N/>
        <w:bidi w:val="0"/>
        <w:adjustRightInd w:val="0"/>
        <w:snapToGrid w:val="0"/>
        <w:spacing w:beforeAutospacing="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keepNext w:val="0"/>
        <w:keepLines w:val="0"/>
        <w:pageBreakBefore w:val="0"/>
        <w:widowControl/>
        <w:kinsoku/>
        <w:wordWrap/>
        <w:overflowPunct/>
        <w:topLinePunct w:val="0"/>
        <w:autoSpaceDN/>
        <w:bidi w:val="0"/>
        <w:adjustRightInd w:val="0"/>
        <w:snapToGrid w:val="0"/>
        <w:spacing w:beforeAutospacing="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万元，与2023年度相比，无增减，主要原因是本年度未发生会议费支出。本年度培训费支出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万元，与2023年度相比，无变化，主要原因是本年度未发生培训费支出。</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根据预算绩效管理要求，我单位属垫江县民政局下属单位，2024年未开展项目自评，涉及项目支出资金0万元。</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1"/>
        <w:keepNext w:val="0"/>
        <w:keepLines w:val="0"/>
        <w:pageBreakBefore w:val="0"/>
        <w:widowControl/>
        <w:kinsoku/>
        <w:wordWrap/>
        <w:overflowPunct/>
        <w:topLinePunct w:val="0"/>
        <w:autoSpaceDE w:val="0"/>
        <w:autoSpaceDN/>
        <w:bidi w:val="0"/>
        <w:spacing w:beforeAutospacing="0" w:afterAutospacing="0" w:line="240" w:lineRule="auto"/>
        <w:ind w:firstLine="643" w:firstLineChars="200"/>
        <w:jc w:val="both"/>
        <w:textAlignment w:val="auto"/>
        <w:rPr>
          <w:rFonts w:hint="default" w:ascii="Times New Roman" w:hAnsi="Times New Roman" w:eastAsia="楷体" w:cs="Times New Roman"/>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bookmarkStart w:id="0" w:name="_GoBack"/>
      <w:bookmarkEnd w:id="0"/>
      <w:r>
        <w:rPr>
          <w:rStyle w:val="10"/>
          <w:rFonts w:hint="default" w:ascii="Times New Roman" w:hAnsi="Times New Roman" w:eastAsia="楷体" w:cs="Times New Roman"/>
          <w:sz w:val="32"/>
          <w:szCs w:val="32"/>
          <w:shd w:val="clear" w:color="auto" w:fill="FFFFFF"/>
        </w:rPr>
        <w:t>）</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N/>
        <w:bidi w:val="0"/>
        <w:spacing w:before="0" w:beforeAutospacing="0" w:after="0" w:afterAutospacing="0" w:line="240" w:lineRule="auto"/>
        <w:ind w:firstLine="643" w:firstLineChars="200"/>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本单位决算公开信息反馈和联系方式：罗老师，023-74668513。</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垫江县最低生活保障服务中心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垫江县最低生活保障服务中心</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195.37</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195.37</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垫江县最低生活保障服务中心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195.37</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195.37</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137.52</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137.52</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37.12</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24.71</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垫江县最低生活保障服务中心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垫江县最低生活保障服务中心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195.37</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137.52</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137.52</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37.12</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24.71</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垫江县最低生活保障服务中心</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188.71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188.71</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垫江县最低生活保障服务中心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垫江县最低生活保障服务中心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垫江县最低生活保障服务中心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8162E"/>
    <w:rsid w:val="002B254B"/>
    <w:rsid w:val="00466C9B"/>
    <w:rsid w:val="00550ABE"/>
    <w:rsid w:val="00770383"/>
    <w:rsid w:val="007819D4"/>
    <w:rsid w:val="007B419D"/>
    <w:rsid w:val="007B7C4B"/>
    <w:rsid w:val="007D3D39"/>
    <w:rsid w:val="008B3DEF"/>
    <w:rsid w:val="00994AF7"/>
    <w:rsid w:val="009B67B8"/>
    <w:rsid w:val="009D2B67"/>
    <w:rsid w:val="00A0188E"/>
    <w:rsid w:val="00A566F9"/>
    <w:rsid w:val="00AF2751"/>
    <w:rsid w:val="00B03CCD"/>
    <w:rsid w:val="00BE2B89"/>
    <w:rsid w:val="00C10E9E"/>
    <w:rsid w:val="00C20C3E"/>
    <w:rsid w:val="00CF2ACF"/>
    <w:rsid w:val="00DF5F54"/>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9D156D"/>
    <w:rsid w:val="08BA052C"/>
    <w:rsid w:val="08DB07BA"/>
    <w:rsid w:val="0969353F"/>
    <w:rsid w:val="098305D0"/>
    <w:rsid w:val="0A3317EA"/>
    <w:rsid w:val="0A5C4B69"/>
    <w:rsid w:val="0A86124A"/>
    <w:rsid w:val="0AB54CC0"/>
    <w:rsid w:val="0B156E0E"/>
    <w:rsid w:val="0B9335CE"/>
    <w:rsid w:val="0BF2311A"/>
    <w:rsid w:val="0BF46804"/>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F617CB"/>
    <w:rsid w:val="13871C70"/>
    <w:rsid w:val="13A71CB4"/>
    <w:rsid w:val="13AF1D43"/>
    <w:rsid w:val="13CE1647"/>
    <w:rsid w:val="13FD55AB"/>
    <w:rsid w:val="14200702"/>
    <w:rsid w:val="163A6CEE"/>
    <w:rsid w:val="173708E3"/>
    <w:rsid w:val="17BD1420"/>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A27623"/>
    <w:rsid w:val="2FCA4B37"/>
    <w:rsid w:val="2FE029D7"/>
    <w:rsid w:val="2FF06E00"/>
    <w:rsid w:val="2FF44402"/>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0F1A78"/>
    <w:rsid w:val="3D2757A1"/>
    <w:rsid w:val="3D3D4FC4"/>
    <w:rsid w:val="3DA366D4"/>
    <w:rsid w:val="3DDF3AB1"/>
    <w:rsid w:val="3E1D0952"/>
    <w:rsid w:val="3E42660A"/>
    <w:rsid w:val="3E7555B1"/>
    <w:rsid w:val="3E787ED9"/>
    <w:rsid w:val="3F032E93"/>
    <w:rsid w:val="3F0527E5"/>
    <w:rsid w:val="3F2C36A8"/>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1728A"/>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34148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950E18"/>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5AD977D"/>
    <w:rsid w:val="764F62AB"/>
    <w:rsid w:val="765C45EC"/>
    <w:rsid w:val="768A7619"/>
    <w:rsid w:val="772E1EBA"/>
    <w:rsid w:val="781926BC"/>
    <w:rsid w:val="796D60A4"/>
    <w:rsid w:val="79A031D5"/>
    <w:rsid w:val="7A1525F7"/>
    <w:rsid w:val="7B0809D2"/>
    <w:rsid w:val="7B420052"/>
    <w:rsid w:val="7BD06A28"/>
    <w:rsid w:val="7C3A7C0B"/>
    <w:rsid w:val="7C5248E4"/>
    <w:rsid w:val="7C566698"/>
    <w:rsid w:val="7C5866A3"/>
    <w:rsid w:val="7D7406BB"/>
    <w:rsid w:val="7DE94331"/>
    <w:rsid w:val="7F446A19"/>
    <w:rsid w:val="7F7452B9"/>
    <w:rsid w:val="7FEB90E8"/>
    <w:rsid w:val="FF53FF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1989</Words>
  <Characters>11340</Characters>
  <Lines>1</Lines>
  <Paragraphs>1</Paragraphs>
  <TotalTime>40</TotalTime>
  <ScaleCrop>false</ScaleCrop>
  <LinksUpToDate>false</LinksUpToDate>
  <CharactersWithSpaces>13303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mz303</cp:lastModifiedBy>
  <dcterms:modified xsi:type="dcterms:W3CDTF">2025-09-18T09:48:56Z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38011AB115E3A08D1264CB6807F72214</vt:lpwstr>
  </property>
  <property fmtid="{D5CDD505-2E9C-101B-9397-08002B2CF9AE}" pid="4" name="KSOTemplateDocerSaveRecord">
    <vt:lpwstr>eyJoZGlkIjoiMDUwMjYyMTAwZTM5NTcxOGVhNzI3YWZjMDRhMjZkZDEifQ==</vt:lpwstr>
  </property>
</Properties>
</file>