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42" w:rsidRDefault="00773B70">
      <w:pPr>
        <w:rPr>
          <w:rFonts w:ascii="方正楷体_GBK" w:eastAsia="方正楷体_GBK" w:hAnsi="方正小标宋_GBK" w:cs="方正小标宋_GBK"/>
          <w:bCs/>
          <w:color w:val="000000"/>
          <w:sz w:val="32"/>
          <w:szCs w:val="32"/>
        </w:rPr>
      </w:pPr>
      <w:r>
        <w:rPr>
          <w:rFonts w:ascii="方正楷体_GBK" w:eastAsia="方正楷体_GBK" w:hAnsi="方正小标宋_GBK" w:cs="方正小标宋_GBK" w:hint="eastAsia"/>
          <w:bCs/>
          <w:color w:val="000000"/>
          <w:sz w:val="32"/>
          <w:szCs w:val="32"/>
        </w:rPr>
        <w:t>附件1</w:t>
      </w:r>
    </w:p>
    <w:p w:rsidR="00496C42" w:rsidRDefault="00773B70">
      <w:pPr>
        <w:ind w:firstLineChars="200" w:firstLine="800"/>
        <w:jc w:val="center"/>
        <w:rPr>
          <w:rFonts w:ascii="方正小标宋_GBK" w:eastAsia="方正小标宋_GBK" w:hAnsi="方正小标宋_GBK" w:cs="方正小标宋_GBK"/>
          <w:bCs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0"/>
        </w:rPr>
        <w:t>垫江县能繁母猪养殖保险实施方案</w:t>
      </w:r>
    </w:p>
    <w:p w:rsidR="00CD0E56" w:rsidRDefault="00CD0E56">
      <w:pPr>
        <w:widowControl w:val="0"/>
        <w:adjustRightInd/>
        <w:spacing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>一、保险</w:t>
      </w: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对象</w:t>
      </w:r>
    </w:p>
    <w:p w:rsidR="00496C42" w:rsidRDefault="00773B70">
      <w:pPr>
        <w:widowControl w:val="0"/>
        <w:adjustRightInd/>
        <w:spacing w:line="400" w:lineRule="exact"/>
        <w:ind w:firstLineChars="200" w:firstLine="640"/>
        <w:jc w:val="both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对符合下列条件的</w:t>
      </w:r>
      <w:r w:rsidR="00EA0E30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养殖户可作为能繁母猪保险的保险对象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 xml:space="preserve"> </w:t>
      </w:r>
    </w:p>
    <w:p w:rsidR="00CD0E56" w:rsidRDefault="00CD0E56" w:rsidP="00CD0E56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能繁母猪存栏量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头以上，未达到此饲养规模的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养殖户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可由村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（社）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集体经济组织统一组织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投保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 xml:space="preserve"> </w:t>
      </w:r>
    </w:p>
    <w:p w:rsidR="00CD0E56" w:rsidRDefault="00CD0E56" w:rsidP="00CD0E56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管理制度健全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饲养圈舍卫生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能够保证饲养质量；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 xml:space="preserve"> </w:t>
      </w:r>
    </w:p>
    <w:p w:rsidR="00CD0E56" w:rsidRPr="00EA0E30" w:rsidRDefault="00CD0E56" w:rsidP="00CD0E56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EA0E30">
        <w:rPr>
          <w:rFonts w:ascii="Times New Roman" w:eastAsia="方正仿宋_GBK" w:hAnsi="Times New Roman" w:cs="Times New Roman" w:hint="eastAsia"/>
          <w:bCs/>
          <w:sz w:val="32"/>
          <w:szCs w:val="32"/>
        </w:rPr>
        <w:t>3.</w:t>
      </w:r>
      <w:r w:rsidRPr="00EA0E30">
        <w:rPr>
          <w:rFonts w:ascii="Times New Roman" w:eastAsia="方正仿宋_GBK" w:hAnsi="Times New Roman" w:cs="Times New Roman" w:hint="eastAsia"/>
          <w:bCs/>
          <w:sz w:val="32"/>
          <w:szCs w:val="32"/>
        </w:rPr>
        <w:t>饲养场所在当地洪水水位线以上的非蓄洪、行洪区。</w:t>
      </w:r>
    </w:p>
    <w:p w:rsidR="00CD0E56" w:rsidRPr="00EA0E30" w:rsidRDefault="00EA0E30" w:rsidP="00EA0E30">
      <w:pPr>
        <w:widowControl w:val="0"/>
        <w:adjustRightInd/>
        <w:spacing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 w:rsidRPr="00EA0E30"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二、保险标的</w:t>
      </w:r>
    </w:p>
    <w:p w:rsidR="00EA0E30" w:rsidRDefault="00EA0E3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符合下列条件的能繁母猪可作为保险标的：</w:t>
      </w:r>
    </w:p>
    <w:p w:rsidR="00496C42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投保人应将符合投保条件的能繁母猪全部投保；</w:t>
      </w:r>
    </w:p>
    <w:p w:rsidR="00496C42" w:rsidRPr="00EA0E30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EA0E30"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 w:rsidRPr="00EA0E30">
        <w:rPr>
          <w:rFonts w:ascii="Times New Roman" w:eastAsia="方正仿宋_GBK" w:hAnsi="Times New Roman" w:cs="Times New Roman" w:hint="eastAsia"/>
          <w:bCs/>
          <w:sz w:val="32"/>
          <w:szCs w:val="32"/>
        </w:rPr>
        <w:t>.</w:t>
      </w:r>
      <w:r w:rsidRPr="00EA0E30">
        <w:rPr>
          <w:rFonts w:ascii="Times New Roman" w:eastAsia="方正仿宋_GBK" w:hAnsi="Times New Roman" w:cs="Times New Roman"/>
          <w:bCs/>
          <w:sz w:val="32"/>
          <w:szCs w:val="32"/>
        </w:rPr>
        <w:t>投保的能繁母猪</w:t>
      </w:r>
      <w:r w:rsidRPr="00EA0E30">
        <w:rPr>
          <w:rFonts w:ascii="Times New Roman" w:eastAsia="方正仿宋_GBK" w:hAnsi="Times New Roman" w:cs="Times New Roman" w:hint="eastAsia"/>
          <w:bCs/>
          <w:sz w:val="32"/>
          <w:szCs w:val="32"/>
        </w:rPr>
        <w:t>品种</w:t>
      </w:r>
      <w:r w:rsidRPr="00EA0E30">
        <w:rPr>
          <w:rFonts w:ascii="Times New Roman" w:eastAsia="方正仿宋_GBK" w:hAnsi="Times New Roman" w:cs="Times New Roman"/>
          <w:bCs/>
          <w:sz w:val="32"/>
          <w:szCs w:val="32"/>
        </w:rPr>
        <w:t>必须在当地饲养</w:t>
      </w:r>
      <w:r w:rsidRPr="00EA0E30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Pr="00EA0E30">
        <w:rPr>
          <w:rFonts w:ascii="Times New Roman" w:eastAsia="方正仿宋_GBK" w:hAnsi="Times New Roman" w:cs="Times New Roman"/>
          <w:bCs/>
          <w:sz w:val="32"/>
          <w:szCs w:val="32"/>
        </w:rPr>
        <w:t>年以上；</w:t>
      </w:r>
    </w:p>
    <w:p w:rsidR="00496C42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投保时能繁母猪在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月龄以上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周岁以下；</w:t>
      </w:r>
    </w:p>
    <w:p w:rsidR="00EA0E30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4</w:t>
      </w:r>
      <w:r w:rsidRPr="00EA0E30">
        <w:rPr>
          <w:rFonts w:ascii="Times New Roman" w:eastAsia="方正仿宋_GBK" w:hAnsi="Times New Roman" w:cs="Times New Roman" w:hint="eastAsia"/>
          <w:bCs/>
          <w:sz w:val="32"/>
          <w:szCs w:val="32"/>
        </w:rPr>
        <w:t>.</w:t>
      </w:r>
      <w:r w:rsidRPr="00EA0E30">
        <w:rPr>
          <w:rFonts w:ascii="Times New Roman" w:eastAsia="方正仿宋_GBK" w:hAnsi="Times New Roman" w:cs="Times New Roman"/>
          <w:bCs/>
          <w:sz w:val="32"/>
          <w:szCs w:val="32"/>
        </w:rPr>
        <w:t>经畜牧部门验明无伤残、无</w:t>
      </w:r>
      <w:r w:rsidR="00EA0E30">
        <w:rPr>
          <w:rFonts w:ascii="Times New Roman" w:eastAsia="方正仿宋_GBK" w:hAnsi="Times New Roman" w:cs="Times New Roman" w:hint="eastAsia"/>
          <w:bCs/>
          <w:sz w:val="32"/>
          <w:szCs w:val="32"/>
        </w:rPr>
        <w:t>本保险责任范围内的疾病，</w:t>
      </w:r>
      <w:r w:rsidRPr="00EA0E30">
        <w:rPr>
          <w:rFonts w:ascii="Times New Roman" w:eastAsia="方正仿宋_GBK" w:hAnsi="Times New Roman" w:cs="Times New Roman"/>
          <w:bCs/>
          <w:sz w:val="32"/>
          <w:szCs w:val="32"/>
        </w:rPr>
        <w:t>营养良好，</w:t>
      </w:r>
      <w:r w:rsidR="00EA0E30">
        <w:rPr>
          <w:rFonts w:ascii="Times New Roman" w:eastAsia="方正仿宋_GBK" w:hAnsi="Times New Roman" w:cs="Times New Roman" w:hint="eastAsia"/>
          <w:bCs/>
          <w:sz w:val="32"/>
          <w:szCs w:val="32"/>
        </w:rPr>
        <w:t>饲养管理正常；</w:t>
      </w:r>
    </w:p>
    <w:p w:rsidR="00496C42" w:rsidRDefault="00EA0E3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FF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5.</w:t>
      </w:r>
      <w:r w:rsidR="00773B70" w:rsidRPr="00EA0E30">
        <w:rPr>
          <w:rFonts w:ascii="Times New Roman" w:eastAsia="方正仿宋_GBK" w:hAnsi="Times New Roman" w:cs="Times New Roman"/>
          <w:bCs/>
          <w:sz w:val="32"/>
          <w:szCs w:val="32"/>
        </w:rPr>
        <w:t>有按免疫</w:t>
      </w:r>
      <w:r w:rsidRPr="00EA0E30">
        <w:rPr>
          <w:rFonts w:ascii="Times New Roman" w:eastAsia="方正仿宋_GBK" w:hAnsi="Times New Roman" w:cs="Times New Roman"/>
          <w:bCs/>
          <w:sz w:val="32"/>
          <w:szCs w:val="32"/>
        </w:rPr>
        <w:t>程序</w:t>
      </w:r>
      <w:r w:rsidR="00773B70" w:rsidRPr="00EA0E30">
        <w:rPr>
          <w:rFonts w:ascii="Times New Roman" w:eastAsia="方正仿宋_GBK" w:hAnsi="Times New Roman" w:cs="Times New Roman"/>
          <w:bCs/>
          <w:sz w:val="32"/>
          <w:szCs w:val="32"/>
        </w:rPr>
        <w:t>接种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的</w:t>
      </w:r>
      <w:r w:rsidR="00773B70" w:rsidRPr="00EA0E30">
        <w:rPr>
          <w:rFonts w:ascii="Times New Roman" w:eastAsia="方正仿宋_GBK" w:hAnsi="Times New Roman" w:cs="Times New Roman"/>
          <w:bCs/>
          <w:sz w:val="32"/>
          <w:szCs w:val="32"/>
        </w:rPr>
        <w:t>记录，具有能识别身份的统一标识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；</w:t>
      </w:r>
    </w:p>
    <w:p w:rsidR="00496C42" w:rsidRDefault="00EA0E3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6</w:t>
      </w:r>
      <w:r w:rsidR="00773B70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 w:rsidR="00773B70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符合财金〔</w:t>
      </w:r>
      <w:r w:rsidR="00773B70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2008</w:t>
      </w:r>
      <w:r w:rsidR="00773B70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〕</w:t>
      </w:r>
      <w:r w:rsidR="00773B70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27</w:t>
      </w:r>
      <w:r w:rsidR="00773B70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号文件及其他保险监管法律法规规定。</w:t>
      </w:r>
    </w:p>
    <w:p w:rsidR="00496C42" w:rsidRDefault="00773B70">
      <w:pPr>
        <w:widowControl w:val="0"/>
        <w:adjustRightInd/>
        <w:spacing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>二、保险责任与责任免除</w:t>
      </w:r>
    </w:p>
    <w:p w:rsidR="00496C42" w:rsidRDefault="00714327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714327">
        <w:rPr>
          <w:rFonts w:ascii="方正楷体_GBK" w:eastAsia="方正楷体_GBK" w:hAnsi="Times New Roman" w:cs="Times New Roman" w:hint="eastAsia"/>
          <w:bCs/>
          <w:color w:val="000000"/>
          <w:sz w:val="32"/>
          <w:szCs w:val="32"/>
        </w:rPr>
        <w:t>（一）保险责任。</w:t>
      </w:r>
      <w:r w:rsidR="00773B70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财政补贴能繁母猪保险的保险责任为重大病害、自然灾害和意外事故导致的投保个体直接死亡。具体责任如下：</w:t>
      </w:r>
    </w:p>
    <w:p w:rsidR="00496C42" w:rsidRPr="00714327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714327"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重大病害包括：猪丹毒、猪肺疫、猪水泡病、猪链球菌、猪乙型脑炎、附红细胞体病、伪狂犬病、猪细小病毒、猪传染性萎缩性鼻炎、猪支原体肺炎、旋毛虫病、猪囊尾蚴病、猪副伤寒、猪圆环病毒病、猪传染性胃肠炎、猪魏氏梭菌病、口蹄疫、猪瘟、高致病性蓝耳病</w:t>
      </w:r>
      <w:r w:rsidRPr="00714327">
        <w:rPr>
          <w:rFonts w:ascii="Times New Roman" w:eastAsia="方正仿宋_GBK" w:hAnsi="Times New Roman" w:cs="Times New Roman" w:hint="eastAsia"/>
          <w:bCs/>
          <w:sz w:val="32"/>
          <w:szCs w:val="32"/>
        </w:rPr>
        <w:t>等</w:t>
      </w:r>
      <w:r w:rsidRPr="00714327">
        <w:rPr>
          <w:rFonts w:ascii="Times New Roman" w:eastAsia="方正仿宋_GBK" w:hAnsi="Times New Roman" w:cs="Times New Roman"/>
          <w:bCs/>
          <w:sz w:val="32"/>
          <w:szCs w:val="32"/>
        </w:rPr>
        <w:t>及其强制免疫副反应。</w:t>
      </w:r>
    </w:p>
    <w:p w:rsidR="00496C42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自然灾害包括：暴雨、洪水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政府行蓄洪除外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、风灾、雷</w:t>
      </w:r>
      <w:r w:rsidR="00714327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击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、地震、冰雹、冻灾。</w:t>
      </w:r>
    </w:p>
    <w:p w:rsidR="00496C42" w:rsidRPr="00081C7B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意外事故包括：泥石流、山体滑坡、火灾、爆炸、建筑物</w:t>
      </w:r>
      <w:r w:rsidRPr="00081C7B">
        <w:rPr>
          <w:rFonts w:ascii="Times New Roman" w:eastAsia="方正仿宋_GBK" w:hAnsi="Times New Roman" w:cs="Times New Roman"/>
          <w:bCs/>
          <w:sz w:val="32"/>
          <w:szCs w:val="32"/>
        </w:rPr>
        <w:t>倒塌、空中运行物体坠落。</w:t>
      </w:r>
    </w:p>
    <w:p w:rsidR="00496C42" w:rsidRPr="00081C7B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081C7B">
        <w:rPr>
          <w:rFonts w:ascii="Times New Roman" w:eastAsia="方正仿宋_GBK" w:hAnsi="Times New Roman" w:cs="Times New Roman"/>
          <w:bCs/>
          <w:sz w:val="32"/>
          <w:szCs w:val="32"/>
        </w:rPr>
        <w:t>当投保能繁母猪发生高传染性疫病由政府实施强制扑杀时，保险经办机构应对投保人进行赔偿，赔偿金额中可相应扣减政府扑杀专项补贴。</w:t>
      </w:r>
    </w:p>
    <w:p w:rsidR="00496C42" w:rsidRDefault="00714327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714327">
        <w:rPr>
          <w:rFonts w:ascii="方正楷体_GBK" w:eastAsia="方正楷体_GBK" w:hAnsi="Times New Roman" w:cs="Times New Roman" w:hint="eastAsia"/>
          <w:bCs/>
          <w:color w:val="000000"/>
          <w:sz w:val="32"/>
          <w:szCs w:val="32"/>
        </w:rPr>
        <w:t>（二）责任免除。</w:t>
      </w:r>
      <w:r w:rsidR="00773B70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在保险期限内，下列原因造成的损失、费用，保险经办机构不负责赔偿：</w:t>
      </w:r>
    </w:p>
    <w:p w:rsidR="00496C42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投保人及其家庭成员、被保</w:t>
      </w:r>
      <w:r w:rsidR="00714327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险人及其家庭成员、投保人或被保险人雇用人员的故意行为、管理不善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；</w:t>
      </w:r>
    </w:p>
    <w:p w:rsidR="00496C42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政府强制扑杀</w:t>
      </w:r>
      <w:r w:rsidR="00714327"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以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外的其他行政行为或司法行为；</w:t>
      </w:r>
    </w:p>
    <w:p w:rsidR="00496C42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其他不属于能繁母猪保险责任范围内的损失、费用。</w:t>
      </w:r>
    </w:p>
    <w:p w:rsidR="00496C42" w:rsidRDefault="00773B70">
      <w:pPr>
        <w:widowControl w:val="0"/>
        <w:adjustRightInd/>
        <w:spacing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color w:val="0000FF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  <w:t>三、政策标准</w:t>
      </w:r>
    </w:p>
    <w:p w:rsidR="00496C42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保险金额和保费补贴标准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能繁母猪保险金额为每头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000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元，保费为每头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120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元。保费补贴标准为中央及地方各级财政补贴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96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头，投保人自行负担保费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头。</w:t>
      </w:r>
    </w:p>
    <w:p w:rsidR="00496C42" w:rsidRPr="005B757A" w:rsidRDefault="00773B70">
      <w:pPr>
        <w:adjustRightInd/>
        <w:snapToGrid/>
        <w:spacing w:line="4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5B757A"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 w:rsidRPr="005B757A">
        <w:rPr>
          <w:rFonts w:ascii="Times New Roman" w:eastAsia="方正仿宋_GBK" w:hAnsi="Times New Roman" w:cs="Times New Roman" w:hint="eastAsia"/>
          <w:bCs/>
          <w:sz w:val="32"/>
          <w:szCs w:val="32"/>
        </w:rPr>
        <w:t>.</w:t>
      </w:r>
      <w:r w:rsidRPr="005B757A">
        <w:rPr>
          <w:rFonts w:ascii="Times New Roman" w:eastAsia="方正仿宋_GBK" w:hAnsi="Times New Roman" w:cs="Times New Roman"/>
          <w:bCs/>
          <w:sz w:val="32"/>
          <w:szCs w:val="32"/>
        </w:rPr>
        <w:t>保险期限</w:t>
      </w:r>
      <w:r w:rsidRPr="005B757A">
        <w:rPr>
          <w:rFonts w:ascii="Times New Roman" w:eastAsia="方正仿宋_GBK" w:hAnsi="Times New Roman" w:cs="Times New Roman" w:hint="eastAsia"/>
          <w:bCs/>
          <w:sz w:val="32"/>
          <w:szCs w:val="32"/>
        </w:rPr>
        <w:t>。</w:t>
      </w:r>
      <w:r w:rsidRPr="005B757A">
        <w:rPr>
          <w:rFonts w:ascii="Times New Roman" w:eastAsia="方正仿宋_GBK" w:hAnsi="Times New Roman" w:cs="Times New Roman"/>
          <w:bCs/>
          <w:sz w:val="32"/>
          <w:szCs w:val="32"/>
        </w:rPr>
        <w:t>保险期限为</w:t>
      </w:r>
      <w:r w:rsidRPr="005B757A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Pr="005B757A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Pr="005B757A">
        <w:rPr>
          <w:rFonts w:ascii="Times New Roman" w:eastAsia="方正仿宋_GBK" w:hAnsi="Times New Roman" w:cs="Times New Roman" w:hint="eastAsia"/>
          <w:bCs/>
          <w:sz w:val="32"/>
          <w:szCs w:val="32"/>
        </w:rPr>
        <w:t>，</w:t>
      </w:r>
      <w:r w:rsidRPr="005B757A">
        <w:rPr>
          <w:rFonts w:ascii="Times New Roman" w:eastAsia="方正仿宋_GBK" w:hAnsi="Times New Roman" w:cs="Times New Roman"/>
          <w:bCs/>
          <w:sz w:val="32"/>
          <w:szCs w:val="32"/>
        </w:rPr>
        <w:t>以保险单载明的起讫时间为准</w:t>
      </w:r>
      <w:r w:rsidRPr="005B757A">
        <w:rPr>
          <w:rFonts w:ascii="Times New Roman" w:eastAsia="方正仿宋_GBK" w:hAnsi="Times New Roman" w:cs="Times New Roman" w:hint="eastAsia"/>
          <w:bCs/>
          <w:sz w:val="32"/>
          <w:szCs w:val="32"/>
        </w:rPr>
        <w:t>。</w:t>
      </w:r>
    </w:p>
    <w:p w:rsidR="00496C42" w:rsidRDefault="00773B70">
      <w:pPr>
        <w:adjustRightInd/>
        <w:snapToGrid/>
        <w:spacing w:line="400" w:lineRule="exact"/>
        <w:ind w:firstLineChars="200" w:firstLine="640"/>
        <w:rPr>
          <w:rFonts w:ascii="方正仿宋_GBK" w:eastAsia="方正仿宋_GBK" w:hAnsi="Times New Roman"/>
          <w:spacing w:val="-4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保险规模。</w:t>
      </w:r>
      <w:r>
        <w:rPr>
          <w:rFonts w:ascii="方正仿宋_GBK" w:eastAsia="方正仿宋_GBK" w:hAnsi="Times New Roman" w:hint="eastAsia"/>
          <w:spacing w:val="-4"/>
          <w:sz w:val="32"/>
          <w:szCs w:val="32"/>
        </w:rPr>
        <w:t>根据投保情况据实结算。</w:t>
      </w:r>
    </w:p>
    <w:p w:rsidR="005B757A" w:rsidRPr="004D05C0" w:rsidRDefault="00773B70" w:rsidP="004D05C0">
      <w:pPr>
        <w:widowControl w:val="0"/>
        <w:adjustRightInd/>
        <w:spacing w:line="4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bookmarkStart w:id="0" w:name="_GoBack"/>
      <w:r w:rsidRPr="004D05C0"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四、</w:t>
      </w:r>
      <w:r w:rsidR="005B757A" w:rsidRPr="004D05C0"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赔偿处理</w:t>
      </w:r>
    </w:p>
    <w:p w:rsidR="005B757A" w:rsidRPr="005B757A" w:rsidRDefault="005B757A" w:rsidP="00D93067">
      <w:pPr>
        <w:adjustRightInd/>
        <w:snapToGrid/>
        <w:spacing w:line="400" w:lineRule="exact"/>
        <w:ind w:firstLineChars="200" w:firstLine="632"/>
        <w:rPr>
          <w:rFonts w:ascii="方正仿宋_GBK" w:eastAsia="方正仿宋_GBK" w:hAnsi="Times New Roman"/>
          <w:spacing w:val="-4"/>
          <w:sz w:val="32"/>
          <w:szCs w:val="32"/>
        </w:rPr>
      </w:pPr>
      <w:r w:rsidRPr="005B757A">
        <w:rPr>
          <w:rFonts w:ascii="方正仿宋_GBK" w:eastAsia="方正仿宋_GBK" w:hAnsi="Times New Roman" w:hint="eastAsia"/>
          <w:spacing w:val="-4"/>
          <w:sz w:val="32"/>
          <w:szCs w:val="32"/>
        </w:rPr>
        <w:t>1.赔偿金额=单位保额×死亡数量</w:t>
      </w:r>
    </w:p>
    <w:p w:rsidR="005B757A" w:rsidRPr="005B757A" w:rsidRDefault="005B757A" w:rsidP="00D93067">
      <w:pPr>
        <w:adjustRightInd/>
        <w:snapToGrid/>
        <w:spacing w:line="400" w:lineRule="exact"/>
        <w:ind w:firstLineChars="200" w:firstLine="632"/>
        <w:rPr>
          <w:rFonts w:ascii="方正仿宋_GBK" w:eastAsia="方正仿宋_GBK" w:hAnsi="Times New Roman"/>
          <w:spacing w:val="-4"/>
          <w:sz w:val="32"/>
          <w:szCs w:val="32"/>
        </w:rPr>
      </w:pPr>
      <w:r w:rsidRPr="005B757A">
        <w:rPr>
          <w:rFonts w:ascii="方正仿宋_GBK" w:eastAsia="方正仿宋_GBK" w:hAnsi="Times New Roman" w:hint="eastAsia"/>
          <w:spacing w:val="-4"/>
          <w:sz w:val="32"/>
          <w:szCs w:val="32"/>
        </w:rPr>
        <w:lastRenderedPageBreak/>
        <w:t>2.发生政府强制扑杀事故的，赔偿金额=（单位保额-</w:t>
      </w:r>
      <w:r w:rsidR="00297602">
        <w:rPr>
          <w:rFonts w:ascii="方正仿宋_GBK" w:eastAsia="方正仿宋_GBK" w:hAnsi="Times New Roman" w:hint="eastAsia"/>
          <w:spacing w:val="-4"/>
          <w:sz w:val="32"/>
          <w:szCs w:val="32"/>
        </w:rPr>
        <w:t>每</w:t>
      </w:r>
      <w:r w:rsidRPr="005B757A">
        <w:rPr>
          <w:rFonts w:ascii="方正仿宋_GBK" w:eastAsia="方正仿宋_GBK" w:hAnsi="Times New Roman" w:hint="eastAsia"/>
          <w:spacing w:val="-4"/>
          <w:sz w:val="32"/>
          <w:szCs w:val="32"/>
        </w:rPr>
        <w:t>头政府扑杀专项补贴资金）×扑杀数量</w:t>
      </w:r>
    </w:p>
    <w:p w:rsidR="00496C42" w:rsidRPr="00400815" w:rsidRDefault="005B757A" w:rsidP="00D93067">
      <w:pPr>
        <w:adjustRightInd/>
        <w:snapToGrid/>
        <w:spacing w:line="400" w:lineRule="exact"/>
        <w:ind w:firstLineChars="200" w:firstLine="632"/>
        <w:rPr>
          <w:rFonts w:ascii="方正黑体_GBK" w:eastAsia="方正黑体_GBK" w:hAnsi="Times New Roman"/>
          <w:spacing w:val="-4"/>
          <w:sz w:val="32"/>
          <w:szCs w:val="32"/>
        </w:rPr>
      </w:pPr>
      <w:r w:rsidRPr="00400815">
        <w:rPr>
          <w:rFonts w:ascii="方正黑体_GBK" w:eastAsia="方正黑体_GBK" w:hAnsi="Times New Roman" w:hint="eastAsia"/>
          <w:spacing w:val="-4"/>
          <w:sz w:val="32"/>
          <w:szCs w:val="32"/>
        </w:rPr>
        <w:t>五、</w:t>
      </w:r>
      <w:r w:rsidR="00773B70" w:rsidRPr="00400815">
        <w:rPr>
          <w:rFonts w:ascii="方正黑体_GBK" w:eastAsia="方正黑体_GBK" w:hAnsi="Times New Roman" w:hint="eastAsia"/>
          <w:spacing w:val="-4"/>
          <w:sz w:val="32"/>
          <w:szCs w:val="32"/>
        </w:rPr>
        <w:t>其他</w:t>
      </w:r>
    </w:p>
    <w:p w:rsidR="00496C42" w:rsidRPr="00290A5B" w:rsidRDefault="00773B70" w:rsidP="00D93067">
      <w:pPr>
        <w:adjustRightInd/>
        <w:snapToGrid/>
        <w:spacing w:line="400" w:lineRule="exact"/>
        <w:ind w:firstLineChars="200" w:firstLine="632"/>
        <w:rPr>
          <w:rFonts w:ascii="方正仿宋_GBK" w:eastAsia="方正仿宋_GBK" w:hAnsi="Times New Roman"/>
          <w:spacing w:val="-4"/>
          <w:sz w:val="32"/>
          <w:szCs w:val="32"/>
        </w:rPr>
      </w:pPr>
      <w:r w:rsidRPr="00290A5B">
        <w:rPr>
          <w:rFonts w:ascii="方正仿宋_GBK" w:eastAsia="方正仿宋_GBK" w:hAnsi="Times New Roman" w:hint="eastAsia"/>
          <w:spacing w:val="-4"/>
          <w:sz w:val="32"/>
          <w:szCs w:val="32"/>
        </w:rPr>
        <w:t>未尽事宜严格按照承保机构向银保监机构报备条款执行。</w:t>
      </w:r>
      <w:bookmarkEnd w:id="0"/>
    </w:p>
    <w:p w:rsidR="00496C42" w:rsidRDefault="00496C42">
      <w:pPr>
        <w:spacing w:line="400" w:lineRule="exact"/>
      </w:pPr>
    </w:p>
    <w:p w:rsidR="00496C42" w:rsidRDefault="00496C42">
      <w:pPr>
        <w:spacing w:line="400" w:lineRule="exact"/>
      </w:pPr>
    </w:p>
    <w:sectPr w:rsidR="00496C42" w:rsidSect="00496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44" w:rsidRDefault="00CF3244">
      <w:r>
        <w:separator/>
      </w:r>
    </w:p>
  </w:endnote>
  <w:endnote w:type="continuationSeparator" w:id="0">
    <w:p w:rsidR="00CF3244" w:rsidRDefault="00CF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44" w:rsidRDefault="00CF3244">
      <w:pPr>
        <w:spacing w:after="0"/>
      </w:pPr>
      <w:r>
        <w:separator/>
      </w:r>
    </w:p>
  </w:footnote>
  <w:footnote w:type="continuationSeparator" w:id="0">
    <w:p w:rsidR="00CF3244" w:rsidRDefault="00CF32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F49"/>
    <w:rsid w:val="000626EC"/>
    <w:rsid w:val="00081C7B"/>
    <w:rsid w:val="001009D1"/>
    <w:rsid w:val="00134CD2"/>
    <w:rsid w:val="00155241"/>
    <w:rsid w:val="001736BA"/>
    <w:rsid w:val="001E7DE6"/>
    <w:rsid w:val="00290A5B"/>
    <w:rsid w:val="00297602"/>
    <w:rsid w:val="00323B43"/>
    <w:rsid w:val="00354881"/>
    <w:rsid w:val="003D37D8"/>
    <w:rsid w:val="00400815"/>
    <w:rsid w:val="00426133"/>
    <w:rsid w:val="004358AB"/>
    <w:rsid w:val="00496C42"/>
    <w:rsid w:val="004D05C0"/>
    <w:rsid w:val="004F6F4E"/>
    <w:rsid w:val="00574DC0"/>
    <w:rsid w:val="00585D65"/>
    <w:rsid w:val="005B757A"/>
    <w:rsid w:val="005E2283"/>
    <w:rsid w:val="00613B0E"/>
    <w:rsid w:val="006A391B"/>
    <w:rsid w:val="006B5DB9"/>
    <w:rsid w:val="006D24DB"/>
    <w:rsid w:val="006F5FB0"/>
    <w:rsid w:val="00714327"/>
    <w:rsid w:val="00770E7D"/>
    <w:rsid w:val="00773B70"/>
    <w:rsid w:val="008B7726"/>
    <w:rsid w:val="009B326E"/>
    <w:rsid w:val="009B51F4"/>
    <w:rsid w:val="009E58BB"/>
    <w:rsid w:val="00A01186"/>
    <w:rsid w:val="00A15452"/>
    <w:rsid w:val="00AF78C3"/>
    <w:rsid w:val="00B5798F"/>
    <w:rsid w:val="00BB47C0"/>
    <w:rsid w:val="00C0473E"/>
    <w:rsid w:val="00C124C0"/>
    <w:rsid w:val="00CD0E56"/>
    <w:rsid w:val="00CF3244"/>
    <w:rsid w:val="00D31D50"/>
    <w:rsid w:val="00D44E75"/>
    <w:rsid w:val="00D87307"/>
    <w:rsid w:val="00D93067"/>
    <w:rsid w:val="00EA0E30"/>
    <w:rsid w:val="00EB13AA"/>
    <w:rsid w:val="00F10932"/>
    <w:rsid w:val="00F80E41"/>
    <w:rsid w:val="04E0000C"/>
    <w:rsid w:val="0B8C3B72"/>
    <w:rsid w:val="2DCB046C"/>
    <w:rsid w:val="640A357D"/>
    <w:rsid w:val="70EB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4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96C4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96C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C4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C4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96C4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2021-06-02T08:42:00Z</cp:lastPrinted>
  <dcterms:created xsi:type="dcterms:W3CDTF">2008-09-11T17:20:00Z</dcterms:created>
  <dcterms:modified xsi:type="dcterms:W3CDTF">2021-06-02T09:51:00Z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C2337E0C677746B88EB4EB443664E056</vt:lpwstr>
  </property>
</Properties>
</file>