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97" w:rsidRPr="003F3797" w:rsidRDefault="003F3797" w:rsidP="003F3797">
      <w:pPr>
        <w:shd w:val="clear" w:color="auto" w:fill="FFFFFF"/>
        <w:spacing w:after="0" w:line="400" w:lineRule="exact"/>
        <w:rPr>
          <w:rFonts w:ascii="方正楷体_GBK" w:eastAsia="方正楷体_GBK" w:hAnsi="方正小标宋_GBK" w:cs="方正小标宋_GBK" w:hint="eastAsia"/>
          <w:color w:val="000000"/>
          <w:sz w:val="32"/>
          <w:szCs w:val="30"/>
        </w:rPr>
      </w:pPr>
      <w:r w:rsidRPr="003F3797">
        <w:rPr>
          <w:rFonts w:ascii="方正楷体_GBK" w:eastAsia="方正楷体_GBK" w:hAnsi="方正小标宋_GBK" w:cs="方正小标宋_GBK" w:hint="eastAsia"/>
          <w:color w:val="000000"/>
          <w:sz w:val="32"/>
          <w:szCs w:val="30"/>
        </w:rPr>
        <w:t>附件3</w:t>
      </w:r>
    </w:p>
    <w:p w:rsidR="00080E5E" w:rsidRPr="00E90FCF" w:rsidRDefault="002D6219" w:rsidP="00E90FCF">
      <w:pPr>
        <w:shd w:val="clear" w:color="auto" w:fill="FFFFFF"/>
        <w:spacing w:after="0"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0"/>
        </w:rPr>
      </w:pPr>
      <w:r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垫江县</w:t>
      </w:r>
      <w:r w:rsidR="00080E5E"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水稻</w:t>
      </w:r>
      <w:r w:rsidR="003D5DAD"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种植</w:t>
      </w:r>
      <w:r w:rsidR="00080E5E"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保险</w:t>
      </w:r>
      <w:r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实施</w:t>
      </w:r>
      <w:r w:rsidR="00080E5E" w:rsidRPr="00E90FCF">
        <w:rPr>
          <w:rFonts w:ascii="方正小标宋_GBK" w:eastAsia="方正小标宋_GBK" w:hAnsi="方正小标宋_GBK" w:cs="方正小标宋_GBK" w:hint="eastAsia"/>
          <w:color w:val="000000"/>
          <w:sz w:val="36"/>
          <w:szCs w:val="30"/>
        </w:rPr>
        <w:t>方案</w:t>
      </w:r>
    </w:p>
    <w:p w:rsidR="00314F1C" w:rsidRPr="00E90FCF" w:rsidRDefault="00314F1C" w:rsidP="00E90FCF">
      <w:pPr>
        <w:shd w:val="clear" w:color="auto" w:fill="FFFFFF"/>
        <w:spacing w:after="0"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0"/>
          <w:szCs w:val="30"/>
        </w:rPr>
      </w:pP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一、保险对象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符合下列条件的种植户可作为水稻保险的保险对象：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水稻种植的龙头企业的生产基地、农民合作社和种植面积不低于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50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亩的种植大户；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以村（组）为单位，组织本村（组）种植户集体投保。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二、保险标的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符合下列条件种植的水稻（不含种植在家前屋后的零星土地及自留地、堤外地、行蓄洪区）可向保险公司投保：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水稻种植符合当地普遍采用的技术和规范要求；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水稻种植密度达到当地政府部门规定的标准；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3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播种的品种符合当地政府部门规定且已经种植一年以上；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4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生长正常；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投保人应将其所有的、符合上述条件种植的水稻地块全部投保，不得选择投保。间种或套种的其他作物，不属于保险合同的保险标的。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三、保险责任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在保险期间内，由于下列原因直接造成保险水稻的损失，且损失率达到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（含）以上的，保险人按照保险合同的约定负责赔偿：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）暴雨、洪水（政府行蓄洪除外）、内涝；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）风灾、冻灾、雹灾；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3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）稻瘟病、稻曲病、百叶枯病、螟虫、稻纵卷叶螟、稻飞虱等病虫害。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在保险期间内，由于旱灾原因直接造成保险水稻的损失，且损失率达到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30%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（含）以上的，保险人按照保险合同的约定负责赔偿。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四、保险期限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水稻种植保险期间从各季秧苗在田间移栽成活返青后开始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(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直播稻从种植齐苗后开始，每年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5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月份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)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，至保险水稻开始收割时止（每年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9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月份），具体起止时间以保险单载明为准，但不得超出保险单载明的保险期间范围。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lastRenderedPageBreak/>
        <w:t>五、保险金额、保险费率和保</w:t>
      </w:r>
      <w:r w:rsidR="00384840" w:rsidRPr="00E90FCF">
        <w:rPr>
          <w:rFonts w:ascii="方正黑体_GBK" w:eastAsia="方正黑体_GBK" w:hAnsi="方正黑体_GBK" w:cs="方正黑体_GBK" w:hint="eastAsia"/>
          <w:bCs/>
          <w:color w:val="000000"/>
          <w:sz w:val="30"/>
          <w:szCs w:val="30"/>
        </w:rPr>
        <w:t>险规模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结合我</w:t>
      </w:r>
      <w:r w:rsidR="0022575B"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县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水稻种植直接物化成本，以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低保障、广覆盖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为原则确定保障水平，全</w:t>
      </w:r>
      <w:r w:rsidR="007F777B"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县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范围内确定水稻种植保险的保险金额为</w:t>
      </w:r>
      <w:r w:rsidR="00680E35"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6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00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亩，费率为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6%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，保费</w:t>
      </w:r>
      <w:r w:rsidR="00680E35"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36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亩。</w:t>
      </w:r>
    </w:p>
    <w:p w:rsidR="00384840" w:rsidRPr="00CA76DB" w:rsidRDefault="00DB66F4" w:rsidP="00E90FCF">
      <w:pPr>
        <w:spacing w:after="0" w:line="4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保险</w:t>
      </w:r>
      <w:r w:rsidR="00FF70B0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规模。</w:t>
      </w:r>
      <w:r w:rsidR="00CA76DB" w:rsidRPr="00CA76DB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根据投保情况据实结算</w:t>
      </w:r>
      <w:r w:rsidR="00384840" w:rsidRPr="00CA76DB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六、保费补贴比例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按照投保则补、不保不补的原则，各级财政对投保水稻种植户给予保费补贴。水稻保险保费由中央财政补助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40%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保险费，市级和区县财政承担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35%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（其中市财政承担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，区县财政承担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10%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）保险费，种植业主承担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25%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保险费。</w:t>
      </w:r>
    </w:p>
    <w:p w:rsidR="00080E5E" w:rsidRPr="00E90FCF" w:rsidRDefault="00080E5E" w:rsidP="00E90FCF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E90FCF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七、赔偿处理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赔偿计算。保险水稻发生保险责任范围内的损失，保险人按照保险水稻不同生长期的最高赔偿标准、损失率及受损面积计算赔偿：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  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赔偿金额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不同生长期的最高赔偿标准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损失率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受损面积</w:t>
      </w:r>
    </w:p>
    <w:p w:rsidR="00080E5E" w:rsidRPr="00E90FCF" w:rsidRDefault="00080E5E" w:rsidP="00E90FCF">
      <w:pPr>
        <w:shd w:val="clear" w:color="auto" w:fill="FFFFFF"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损失率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单位面积植株损失数量（或平均损失产量）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E90FCF">
        <w:rPr>
          <w:rFonts w:ascii="Times New Roman" w:eastAsia="方正仿宋_GBK" w:hAnsi="Times New Roman" w:cs="Times New Roman"/>
          <w:color w:val="000000"/>
          <w:sz w:val="30"/>
          <w:szCs w:val="30"/>
        </w:rPr>
        <w:t>单位面积平均植株数量（或平均正常产量）</w:t>
      </w:r>
    </w:p>
    <w:p w:rsidR="00080E5E" w:rsidRPr="00E90FCF" w:rsidRDefault="00080E5E" w:rsidP="00E90FCF">
      <w:pPr>
        <w:widowControl w:val="0"/>
        <w:numPr>
          <w:ilvl w:val="0"/>
          <w:numId w:val="1"/>
        </w:numPr>
        <w:shd w:val="clear" w:color="auto" w:fill="FFFFFF"/>
        <w:adjustRightInd/>
        <w:snapToGrid/>
        <w:spacing w:after="0" w:line="400" w:lineRule="exact"/>
        <w:ind w:firstLineChars="200" w:firstLine="600"/>
        <w:rPr>
          <w:rFonts w:ascii="仿宋_GB2312" w:eastAsia="仿宋_GB2312" w:hAnsi="华文宋体"/>
          <w:color w:val="000000"/>
          <w:sz w:val="30"/>
          <w:szCs w:val="30"/>
        </w:rPr>
      </w:pPr>
      <w:r w:rsidRPr="00E90FCF">
        <w:rPr>
          <w:rFonts w:ascii="仿宋_GB2312" w:eastAsia="仿宋_GB2312" w:hAnsi="华文宋体" w:hint="eastAsia"/>
          <w:color w:val="000000"/>
          <w:sz w:val="30"/>
          <w:szCs w:val="30"/>
        </w:rPr>
        <w:t>不同生长期最高赔偿标准。</w:t>
      </w:r>
    </w:p>
    <w:p w:rsidR="00080E5E" w:rsidRPr="00E90FCF" w:rsidRDefault="00080E5E" w:rsidP="00E90FCF">
      <w:pPr>
        <w:shd w:val="clear" w:color="auto" w:fill="FFFFFF"/>
        <w:spacing w:after="0" w:line="400" w:lineRule="exact"/>
        <w:jc w:val="center"/>
        <w:rPr>
          <w:rFonts w:ascii="方正仿宋_GBK" w:eastAsia="方正仿宋_GBK" w:hAnsi="华文宋体" w:cs="宋体"/>
          <w:color w:val="000000"/>
          <w:sz w:val="30"/>
          <w:szCs w:val="30"/>
        </w:rPr>
      </w:pPr>
      <w:r w:rsidRPr="00E90FCF">
        <w:rPr>
          <w:rFonts w:ascii="方正仿宋_GBK" w:eastAsia="方正仿宋_GBK" w:hAnsi="华文宋体" w:cs="宋体" w:hint="eastAsia"/>
          <w:color w:val="000000"/>
          <w:sz w:val="30"/>
          <w:szCs w:val="30"/>
        </w:rPr>
        <w:t>水稻各生长阶段最高赔付标准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18"/>
        <w:gridCol w:w="4418"/>
      </w:tblGrid>
      <w:tr w:rsidR="00080E5E" w:rsidRPr="00E90FCF" w:rsidTr="003F3285">
        <w:trPr>
          <w:trHeight w:val="611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生长期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每亩最高赔偿标准</w:t>
            </w:r>
          </w:p>
        </w:tc>
      </w:tr>
      <w:tr w:rsidR="00080E5E" w:rsidRPr="00E90FCF" w:rsidTr="003F3285">
        <w:trPr>
          <w:trHeight w:val="626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移栽成活—分孽期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每亩保险金额×40%</w:t>
            </w:r>
          </w:p>
        </w:tc>
      </w:tr>
      <w:tr w:rsidR="00080E5E" w:rsidRPr="00E90FCF" w:rsidTr="003F3285">
        <w:trPr>
          <w:trHeight w:val="611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拨节期—抽穗期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每亩保险金额×70%</w:t>
            </w:r>
          </w:p>
        </w:tc>
      </w:tr>
      <w:tr w:rsidR="00080E5E" w:rsidRPr="00E90FCF" w:rsidTr="003F3285">
        <w:trPr>
          <w:trHeight w:val="611"/>
          <w:tblCellSpacing w:w="0" w:type="dxa"/>
          <w:jc w:val="center"/>
        </w:trPr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扬花灌浆期—成熟期</w:t>
            </w:r>
          </w:p>
        </w:tc>
        <w:tc>
          <w:tcPr>
            <w:tcW w:w="4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80E5E" w:rsidRPr="00E90FCF" w:rsidRDefault="00080E5E" w:rsidP="00E90FCF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E90FCF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每亩保险金额×100%</w:t>
            </w:r>
          </w:p>
        </w:tc>
      </w:tr>
    </w:tbl>
    <w:p w:rsidR="004358AB" w:rsidRPr="00E90FCF" w:rsidRDefault="00080E5E" w:rsidP="00E90FCF">
      <w:pPr>
        <w:shd w:val="clear" w:color="auto" w:fill="FFFFFF"/>
        <w:spacing w:after="0" w:line="400" w:lineRule="exact"/>
        <w:ind w:firstLineChars="200" w:firstLine="600"/>
        <w:rPr>
          <w:sz w:val="30"/>
          <w:szCs w:val="30"/>
        </w:rPr>
      </w:pP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3.</w:t>
      </w:r>
      <w:r w:rsidRPr="00E90FCF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发生保险事故时，保险单载明的保险面积小于其可保面积时，可以区分保险标的与非保险标的的，保险人以保险单载明的保险面积为赔偿计算标准；无法区分保险标的与非保险标的的，保险人按保险单载明的保险面积与可保面积的比例计算赔偿。</w:t>
      </w:r>
    </w:p>
    <w:sectPr w:rsidR="004358AB" w:rsidRPr="00E90F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3B" w:rsidRPr="0064405C" w:rsidRDefault="00C0533B" w:rsidP="00080E5E">
      <w:pPr>
        <w:spacing w:after="0"/>
        <w:rPr>
          <w:rFonts w:eastAsia="方正仿宋_GBK"/>
        </w:rPr>
      </w:pPr>
      <w:r>
        <w:separator/>
      </w:r>
    </w:p>
  </w:endnote>
  <w:endnote w:type="continuationSeparator" w:id="0">
    <w:p w:rsidR="00C0533B" w:rsidRPr="0064405C" w:rsidRDefault="00C0533B" w:rsidP="00080E5E">
      <w:pPr>
        <w:spacing w:after="0"/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3B" w:rsidRPr="0064405C" w:rsidRDefault="00C0533B" w:rsidP="00080E5E">
      <w:pPr>
        <w:spacing w:after="0"/>
        <w:rPr>
          <w:rFonts w:eastAsia="方正仿宋_GBK"/>
        </w:rPr>
      </w:pPr>
      <w:r>
        <w:separator/>
      </w:r>
    </w:p>
  </w:footnote>
  <w:footnote w:type="continuationSeparator" w:id="0">
    <w:p w:rsidR="00C0533B" w:rsidRPr="0064405C" w:rsidRDefault="00C0533B" w:rsidP="00080E5E">
      <w:pPr>
        <w:spacing w:after="0"/>
        <w:rPr>
          <w:rFonts w:eastAsia="方正仿宋_GBK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79A8"/>
    <w:multiLevelType w:val="singleLevel"/>
    <w:tmpl w:val="59DD79A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E5E"/>
    <w:rsid w:val="000966D5"/>
    <w:rsid w:val="00213238"/>
    <w:rsid w:val="0022575B"/>
    <w:rsid w:val="002D6219"/>
    <w:rsid w:val="00314F1C"/>
    <w:rsid w:val="00323B43"/>
    <w:rsid w:val="00384840"/>
    <w:rsid w:val="003D37D8"/>
    <w:rsid w:val="003D5DAD"/>
    <w:rsid w:val="003F3797"/>
    <w:rsid w:val="00426133"/>
    <w:rsid w:val="004358AB"/>
    <w:rsid w:val="004F5D7F"/>
    <w:rsid w:val="00612697"/>
    <w:rsid w:val="00680E35"/>
    <w:rsid w:val="006E7BBE"/>
    <w:rsid w:val="007F777B"/>
    <w:rsid w:val="008B7726"/>
    <w:rsid w:val="00A359DC"/>
    <w:rsid w:val="00A51D61"/>
    <w:rsid w:val="00AC7A91"/>
    <w:rsid w:val="00B7558A"/>
    <w:rsid w:val="00B77F7B"/>
    <w:rsid w:val="00BD6373"/>
    <w:rsid w:val="00BF0CE6"/>
    <w:rsid w:val="00C0533B"/>
    <w:rsid w:val="00C8236C"/>
    <w:rsid w:val="00C96042"/>
    <w:rsid w:val="00CA76DB"/>
    <w:rsid w:val="00CC3604"/>
    <w:rsid w:val="00D31D50"/>
    <w:rsid w:val="00D6343F"/>
    <w:rsid w:val="00D678BB"/>
    <w:rsid w:val="00D818B3"/>
    <w:rsid w:val="00DB66F4"/>
    <w:rsid w:val="00E90FCF"/>
    <w:rsid w:val="00EB5BB0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E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E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E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E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2021-05-31T01:22:00Z</dcterms:modified>
</cp:coreProperties>
</file>