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5C" w:rsidRDefault="0073605C" w:rsidP="0073605C">
      <w:pPr>
        <w:spacing w:after="0" w:line="400" w:lineRule="exact"/>
        <w:outlineLvl w:val="1"/>
        <w:rPr>
          <w:rFonts w:ascii="方正小标宋_GBK" w:eastAsia="方正小标宋_GBK" w:hAnsi="方正小标宋_GBK" w:cs="方正小标宋_GBK" w:hint="eastAsia"/>
          <w:color w:val="000000"/>
          <w:sz w:val="30"/>
          <w:szCs w:val="30"/>
        </w:rPr>
      </w:pPr>
      <w:r w:rsidRPr="00811C9D">
        <w:rPr>
          <w:rFonts w:ascii="方正楷体_GBK" w:eastAsia="方正楷体_GBK" w:hAnsi="宋体" w:cs="宋体" w:hint="eastAsia"/>
          <w:bCs/>
          <w:kern w:val="36"/>
          <w:sz w:val="32"/>
          <w:szCs w:val="32"/>
        </w:rPr>
        <w:t>附件</w:t>
      </w:r>
      <w:r>
        <w:rPr>
          <w:rFonts w:ascii="方正楷体_GBK" w:eastAsia="方正楷体_GBK" w:hAnsi="宋体" w:cs="宋体" w:hint="eastAsia"/>
          <w:bCs/>
          <w:kern w:val="36"/>
          <w:sz w:val="32"/>
          <w:szCs w:val="32"/>
        </w:rPr>
        <w:t>8</w:t>
      </w:r>
    </w:p>
    <w:p w:rsidR="0000280A" w:rsidRPr="0073605C" w:rsidRDefault="000B47BC" w:rsidP="002F0784">
      <w:pPr>
        <w:shd w:val="clear" w:color="auto" w:fill="FFFFFF"/>
        <w:spacing w:after="0" w:line="400" w:lineRule="exact"/>
        <w:ind w:firstLine="2160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 w:rsidRPr="0073605C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垫江县</w:t>
      </w:r>
      <w:r w:rsidR="0000280A" w:rsidRPr="0073605C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柑橘</w:t>
      </w:r>
      <w:r w:rsidRPr="0073605C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种植</w:t>
      </w:r>
      <w:r w:rsidR="0000280A" w:rsidRPr="0073605C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保险</w:t>
      </w:r>
      <w:r w:rsidRPr="0073605C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实施</w:t>
      </w:r>
      <w:r w:rsidR="0000280A" w:rsidRPr="0073605C">
        <w:rPr>
          <w:rFonts w:ascii="方正小标宋_GBK" w:eastAsia="方正小标宋_GBK" w:hAnsi="方正小标宋_GBK" w:cs="方正小标宋_GBK" w:hint="eastAsia"/>
          <w:color w:val="000000"/>
          <w:sz w:val="36"/>
          <w:szCs w:val="36"/>
        </w:rPr>
        <w:t>方案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00280A" w:rsidRPr="002B4F95" w:rsidRDefault="0000280A" w:rsidP="002B4F95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2B4F95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一、保险对象及条件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方案所指柑橘包括我市主要种植的柑、橘、橙、柚、柠檬等品种。各</w:t>
      </w:r>
      <w:r w:rsidR="00420406"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乡镇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种植柑橘的企业、种植大户、合作社符合以下条件均可参保：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（一）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柑橘种植集中成片种植面积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5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亩（含）以上；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（二）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柑橘树龄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45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年以下，且生长正常；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（三）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柑橘种植符合规范标准和技术管理要求；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（四）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非种植在堤内地、蓄洪区。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 xml:space="preserve"> 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投保人应将符合上述条件的种植柑橘全部投保，不得选择投保。</w:t>
      </w:r>
    </w:p>
    <w:p w:rsidR="0000280A" w:rsidRPr="002B4F95" w:rsidRDefault="0000280A" w:rsidP="002B4F95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2B4F95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二、保险金额及费率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柑橘保险全</w:t>
      </w:r>
      <w:r w:rsidR="00693242"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县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统一约定按种植面积参保（不以株数计算），种植面积由保险机构与投保人共同测量确定，乡镇农业部门复核，并将测</w:t>
      </w:r>
      <w:r w:rsidR="00693242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绘记录报农业主管部门备案。以株树计算进行参保的种植业主，需各</w:t>
      </w:r>
      <w:r w:rsidR="00693242"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乡镇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根据不同品种生产技术规范和当地的种植习惯折算成种植面积参保。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柑橘保险按照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“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保成本、广覆盖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”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的原则，结合我</w:t>
      </w:r>
      <w:r w:rsidR="000015F9"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县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柑橘种植接物化成本，全市范围内约定柑橘保险金额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1000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亩，费率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2%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，保费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20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元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亩。</w:t>
      </w:r>
    </w:p>
    <w:p w:rsidR="0000280A" w:rsidRPr="002B4F95" w:rsidRDefault="0000280A" w:rsidP="002B4F95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2B4F95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三、保费补助比例</w:t>
      </w:r>
      <w:r w:rsidR="00B214CE" w:rsidRPr="002B4F95">
        <w:rPr>
          <w:rFonts w:ascii="方正黑体_GBK" w:eastAsia="方正黑体_GBK" w:hAnsi="方正黑体_GBK" w:cs="方正黑体_GBK" w:hint="eastAsia"/>
          <w:bCs/>
          <w:color w:val="000000"/>
          <w:sz w:val="30"/>
          <w:szCs w:val="30"/>
        </w:rPr>
        <w:t>及保险规模</w:t>
      </w:r>
    </w:p>
    <w:p w:rsidR="0000280A" w:rsidRPr="002B4F95" w:rsidRDefault="00B214CE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2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 w:hint="eastAsia"/>
          <w:b/>
          <w:color w:val="000000"/>
          <w:sz w:val="30"/>
          <w:szCs w:val="30"/>
        </w:rPr>
        <w:t>1.</w:t>
      </w:r>
      <w:r w:rsidRPr="002B4F95">
        <w:rPr>
          <w:rFonts w:ascii="Times New Roman" w:eastAsia="方正仿宋_GBK" w:hAnsi="Times New Roman" w:cs="Times New Roman" w:hint="eastAsia"/>
          <w:b/>
          <w:color w:val="000000"/>
          <w:sz w:val="30"/>
          <w:szCs w:val="30"/>
        </w:rPr>
        <w:t>补助比例。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市级财政对按照规定组织投保柑橘保险的种植户给予保费补助。柑橘保险保费由市级财政补助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50%</w:t>
      </w:r>
      <w:r w:rsidR="000015F9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，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县财政补助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20%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，种植业主承担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30%</w:t>
      </w:r>
      <w:r w:rsidR="000015F9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。承保机构与种植业主签订的保单生效后，</w:t>
      </w:r>
      <w:r w:rsidR="0000280A"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县财政将保费补贴直接拨付给保险承办机构。</w:t>
      </w:r>
    </w:p>
    <w:p w:rsidR="00B214CE" w:rsidRPr="002B4F95" w:rsidRDefault="00B214CE" w:rsidP="002B4F95">
      <w:pPr>
        <w:spacing w:after="0" w:line="600" w:lineRule="exact"/>
        <w:ind w:firstLineChars="200" w:firstLine="602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 w:hint="eastAsia"/>
          <w:b/>
          <w:color w:val="000000"/>
          <w:sz w:val="30"/>
          <w:szCs w:val="30"/>
        </w:rPr>
        <w:t>2.</w:t>
      </w:r>
      <w:r w:rsidRPr="002B4F95">
        <w:rPr>
          <w:rFonts w:ascii="Times New Roman" w:eastAsia="方正仿宋_GBK" w:hAnsi="Times New Roman" w:cs="Times New Roman" w:hint="eastAsia"/>
          <w:b/>
          <w:color w:val="000000"/>
          <w:sz w:val="30"/>
          <w:szCs w:val="30"/>
        </w:rPr>
        <w:t>保险规模。</w:t>
      </w:r>
      <w:r w:rsidRPr="002B4F95"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2021</w:t>
      </w:r>
      <w:r w:rsidRPr="002B4F95"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年计划投保</w:t>
      </w:r>
      <w:r w:rsidRPr="002B4F95"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1</w:t>
      </w:r>
      <w:r w:rsidRPr="002B4F95">
        <w:rPr>
          <w:rFonts w:ascii="Times New Roman" w:eastAsia="方正仿宋_GBK" w:hAnsi="Times New Roman" w:cs="Times New Roman" w:hint="eastAsia"/>
          <w:bCs/>
          <w:color w:val="000000"/>
          <w:sz w:val="30"/>
          <w:szCs w:val="30"/>
        </w:rPr>
        <w:t>万亩，</w:t>
      </w:r>
      <w:r w:rsidRPr="002B4F95">
        <w:rPr>
          <w:rFonts w:ascii="方正仿宋_GBK" w:eastAsia="方正仿宋_GBK" w:hAnsi="Times New Roman" w:hint="eastAsia"/>
          <w:spacing w:val="-4"/>
          <w:sz w:val="30"/>
          <w:szCs w:val="30"/>
        </w:rPr>
        <w:t>以后年度以当年下发文件为准。</w:t>
      </w:r>
    </w:p>
    <w:p w:rsidR="0000280A" w:rsidRPr="002B4F95" w:rsidRDefault="0000280A" w:rsidP="002B4F95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2B4F95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四、保险期限及保险责任</w:t>
      </w:r>
    </w:p>
    <w:p w:rsidR="0000280A" w:rsidRPr="002B4F95" w:rsidRDefault="0000280A" w:rsidP="002B4F95">
      <w:pPr>
        <w:widowControl w:val="0"/>
        <w:adjustRightInd/>
        <w:snapToGrid/>
        <w:spacing w:after="0" w:line="400" w:lineRule="exact"/>
        <w:ind w:firstLineChars="200" w:firstLine="600"/>
        <w:jc w:val="both"/>
        <w:rPr>
          <w:rFonts w:ascii="方正楷体_GBK" w:eastAsia="方正楷体_GBK" w:hAnsi="方正楷体_GBK" w:cs="方正楷体_GBK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（一）保险期限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本保险责任期限为一年，自投保保单正式生效之日起至保险时间满一年时止。</w:t>
      </w:r>
    </w:p>
    <w:p w:rsidR="0000280A" w:rsidRPr="002B4F95" w:rsidRDefault="0000280A" w:rsidP="002B4F95">
      <w:pPr>
        <w:widowControl w:val="0"/>
        <w:adjustRightInd/>
        <w:snapToGrid/>
        <w:spacing w:after="0" w:line="400" w:lineRule="exact"/>
        <w:ind w:firstLineChars="200" w:firstLine="600"/>
        <w:jc w:val="both"/>
        <w:rPr>
          <w:rFonts w:ascii="方正楷体_GBK" w:eastAsia="方正楷体_GBK" w:hAnsi="方正楷体_GBK" w:cs="方正楷体_GBK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lastRenderedPageBreak/>
        <w:t>（二）保险责任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在保险期间内，由于下列原因直接造成保险柑橘树死亡、折枝、落花、落叶、落果、萎蔫等情况导致保险柑橘减产的，保险人应按照合同的约定负责赔偿：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旱灾、风灾、内涝、冻灾、雹灾、洪水（政府行蓄洪除外）、暴雨等人力无法抗拒的自然灾害；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2</w:t>
      </w:r>
      <w:r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.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非检疫性病虫害。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由于人为的故意破坏、管理不善、行政行为、司法行为、战争、军事行动、检疫性病虫害造成的损失保险人不负责赔偿责任。</w:t>
      </w:r>
    </w:p>
    <w:p w:rsidR="0000280A" w:rsidRPr="002B4F95" w:rsidRDefault="0000280A" w:rsidP="002B4F95">
      <w:pPr>
        <w:widowControl w:val="0"/>
        <w:adjustRightInd/>
        <w:spacing w:after="0" w:line="400" w:lineRule="exact"/>
        <w:ind w:firstLineChars="200" w:firstLine="600"/>
        <w:jc w:val="both"/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</w:pPr>
      <w:r w:rsidRPr="002B4F95">
        <w:rPr>
          <w:rFonts w:ascii="方正黑体_GBK" w:eastAsia="方正黑体_GBK" w:hAnsi="方正黑体_GBK" w:cs="方正黑体_GBK"/>
          <w:bCs/>
          <w:color w:val="000000"/>
          <w:sz w:val="30"/>
          <w:szCs w:val="30"/>
        </w:rPr>
        <w:t>五、保险理赔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保险柑橘发生保险责任范围内的损失，按以下方式计算赔偿：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赔款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每亩保险金额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受损面积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赔付比例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受损面积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=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种植面积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×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受损率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受损率为单位面积受损株树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/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单位面积种植株树，可采用抽样法确定。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赔付比例由投保柑橘受损程度确定：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（一）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柑橘树死亡的，赔付比例为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100%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。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方正楷体_GBK" w:eastAsia="方正楷体_GBK" w:hAnsi="方正楷体_GBK" w:cs="方正楷体_GBK"/>
          <w:color w:val="000000"/>
          <w:sz w:val="30"/>
          <w:szCs w:val="30"/>
        </w:rPr>
        <w:t>（二）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折枝、落花、落叶、落果、萎蔫等情况按照轻度、中度、重度三个受灾级别评价，确定相应的赔付比例，两种或两种以上症状造成的损失按照最严重的受灾级别赔付，不累加赔付。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1</w:t>
      </w:r>
      <w:r w:rsidRPr="002B4F95">
        <w:rPr>
          <w:rFonts w:ascii="Times New Roman" w:eastAsia="方正仿宋_GBK" w:hAnsi="Times New Roman" w:cs="Times New Roman"/>
          <w:color w:val="000000"/>
          <w:sz w:val="30"/>
          <w:szCs w:val="30"/>
        </w:rPr>
        <w:t>、折枝。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93"/>
        <w:gridCol w:w="5299"/>
        <w:gridCol w:w="2208"/>
      </w:tblGrid>
      <w:tr w:rsidR="0000280A" w:rsidRPr="002B4F95" w:rsidTr="003F3285">
        <w:trPr>
          <w:trHeight w:val="1117"/>
          <w:tblCellSpacing w:w="0" w:type="dxa"/>
          <w:jc w:val="center"/>
        </w:trPr>
        <w:tc>
          <w:tcPr>
            <w:tcW w:w="11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受灾</w:t>
            </w:r>
          </w:p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级别</w:t>
            </w:r>
          </w:p>
        </w:tc>
        <w:tc>
          <w:tcPr>
            <w:tcW w:w="52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ind w:firstLine="420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损失情况</w:t>
            </w:r>
          </w:p>
        </w:tc>
        <w:tc>
          <w:tcPr>
            <w:tcW w:w="22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赔付比例</w:t>
            </w:r>
          </w:p>
        </w:tc>
      </w:tr>
      <w:tr w:rsidR="0000280A" w:rsidRPr="002B4F95" w:rsidTr="003F3285">
        <w:trPr>
          <w:trHeight w:val="1081"/>
          <w:tblCellSpacing w:w="0" w:type="dxa"/>
          <w:jc w:val="center"/>
        </w:trPr>
        <w:tc>
          <w:tcPr>
            <w:tcW w:w="11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轻度</w:t>
            </w:r>
          </w:p>
        </w:tc>
        <w:tc>
          <w:tcPr>
            <w:tcW w:w="52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其树枝折断比例占整棵树30%以下，对其产量影响较小。</w:t>
            </w:r>
          </w:p>
        </w:tc>
        <w:tc>
          <w:tcPr>
            <w:tcW w:w="22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1%-10%</w:t>
            </w:r>
          </w:p>
        </w:tc>
      </w:tr>
      <w:tr w:rsidR="0000280A" w:rsidRPr="002B4F95" w:rsidTr="003F3285">
        <w:trPr>
          <w:trHeight w:val="1081"/>
          <w:tblCellSpacing w:w="0" w:type="dxa"/>
          <w:jc w:val="center"/>
        </w:trPr>
        <w:tc>
          <w:tcPr>
            <w:tcW w:w="11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中度</w:t>
            </w:r>
          </w:p>
        </w:tc>
        <w:tc>
          <w:tcPr>
            <w:tcW w:w="52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其树枝折断比例占整棵树30%-60%，对其产量影响较大。</w:t>
            </w:r>
          </w:p>
        </w:tc>
        <w:tc>
          <w:tcPr>
            <w:tcW w:w="22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10%-30%</w:t>
            </w:r>
          </w:p>
        </w:tc>
      </w:tr>
      <w:tr w:rsidR="0000280A" w:rsidRPr="002B4F95" w:rsidTr="003F3285">
        <w:trPr>
          <w:trHeight w:val="1081"/>
          <w:tblCellSpacing w:w="0" w:type="dxa"/>
          <w:jc w:val="center"/>
        </w:trPr>
        <w:tc>
          <w:tcPr>
            <w:tcW w:w="11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lastRenderedPageBreak/>
              <w:t>重度</w:t>
            </w:r>
          </w:p>
        </w:tc>
        <w:tc>
          <w:tcPr>
            <w:tcW w:w="52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其树枝折断比例占整棵树60%-100%，已严重影响了其生长和产量。</w:t>
            </w:r>
          </w:p>
        </w:tc>
        <w:tc>
          <w:tcPr>
            <w:tcW w:w="22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30%-50%</w:t>
            </w:r>
          </w:p>
        </w:tc>
      </w:tr>
      <w:tr w:rsidR="0000280A" w:rsidRPr="002B4F95" w:rsidTr="003F3285">
        <w:trPr>
          <w:trHeight w:val="973"/>
          <w:tblCellSpacing w:w="0" w:type="dxa"/>
          <w:jc w:val="center"/>
        </w:trPr>
        <w:tc>
          <w:tcPr>
            <w:tcW w:w="11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轻度</w:t>
            </w:r>
          </w:p>
        </w:tc>
        <w:tc>
          <w:tcPr>
            <w:tcW w:w="529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10%-30%花掉落；10%-20%叶片掉落；10%-30%的果掉落。</w:t>
            </w:r>
          </w:p>
        </w:tc>
        <w:tc>
          <w:tcPr>
            <w:tcW w:w="220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adjustRightInd/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1%-5％</w:t>
            </w:r>
          </w:p>
        </w:tc>
      </w:tr>
    </w:tbl>
    <w:p w:rsidR="0000280A" w:rsidRPr="002B4F95" w:rsidRDefault="0000280A" w:rsidP="002F0784">
      <w:pPr>
        <w:shd w:val="clear" w:color="auto" w:fill="FFFFFF"/>
        <w:spacing w:after="0" w:line="400" w:lineRule="exact"/>
        <w:ind w:firstLineChars="200" w:firstLine="600"/>
        <w:rPr>
          <w:rFonts w:ascii="方正仿宋_GBK" w:eastAsia="方正仿宋_GBK" w:hAnsi="华文宋体"/>
          <w:color w:val="000000"/>
          <w:sz w:val="30"/>
          <w:szCs w:val="30"/>
        </w:rPr>
      </w:pPr>
      <w:r w:rsidRPr="002B4F95">
        <w:rPr>
          <w:rFonts w:ascii="方正仿宋_GBK" w:eastAsia="方正仿宋_GBK" w:hAnsi="华文宋体" w:hint="eastAsia"/>
          <w:color w:val="000000"/>
          <w:sz w:val="30"/>
          <w:szCs w:val="30"/>
        </w:rPr>
        <w:t>2、落花、落叶、落果。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88"/>
        <w:gridCol w:w="5009"/>
        <w:gridCol w:w="2150"/>
      </w:tblGrid>
      <w:tr w:rsidR="0000280A" w:rsidRPr="002B4F95" w:rsidTr="003F3285">
        <w:trPr>
          <w:trHeight w:val="521"/>
          <w:tblCellSpacing w:w="0" w:type="dxa"/>
          <w:jc w:val="center"/>
        </w:trPr>
        <w:tc>
          <w:tcPr>
            <w:tcW w:w="15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受灾级别</w:t>
            </w:r>
          </w:p>
        </w:tc>
        <w:tc>
          <w:tcPr>
            <w:tcW w:w="50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损失情况</w:t>
            </w:r>
          </w:p>
        </w:tc>
        <w:tc>
          <w:tcPr>
            <w:tcW w:w="21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ind w:firstLine="165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赔付比例</w:t>
            </w:r>
          </w:p>
        </w:tc>
      </w:tr>
      <w:tr w:rsidR="0000280A" w:rsidRPr="002B4F95" w:rsidTr="003F3285">
        <w:trPr>
          <w:trHeight w:val="1008"/>
          <w:tblCellSpacing w:w="0" w:type="dxa"/>
          <w:jc w:val="center"/>
        </w:trPr>
        <w:tc>
          <w:tcPr>
            <w:tcW w:w="15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中度</w:t>
            </w:r>
          </w:p>
        </w:tc>
        <w:tc>
          <w:tcPr>
            <w:tcW w:w="50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30%-50%花掉落；20%-30%叶片掉落；30%-50%的果掉落。</w:t>
            </w:r>
          </w:p>
        </w:tc>
        <w:tc>
          <w:tcPr>
            <w:tcW w:w="21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5％-25%</w:t>
            </w:r>
          </w:p>
        </w:tc>
      </w:tr>
      <w:tr w:rsidR="0000280A" w:rsidRPr="002B4F95" w:rsidTr="003F3285">
        <w:trPr>
          <w:trHeight w:val="1016"/>
          <w:tblCellSpacing w:w="0" w:type="dxa"/>
          <w:jc w:val="center"/>
        </w:trPr>
        <w:tc>
          <w:tcPr>
            <w:tcW w:w="1588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重度</w:t>
            </w:r>
          </w:p>
        </w:tc>
        <w:tc>
          <w:tcPr>
            <w:tcW w:w="50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50%以上花掉落；30%以上叶片掉落；50%以上的果掉落。</w:t>
            </w:r>
          </w:p>
        </w:tc>
        <w:tc>
          <w:tcPr>
            <w:tcW w:w="215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25%-50%</w:t>
            </w:r>
          </w:p>
        </w:tc>
      </w:tr>
    </w:tbl>
    <w:p w:rsidR="0000280A" w:rsidRPr="002B4F95" w:rsidRDefault="0000280A" w:rsidP="002F0784">
      <w:pPr>
        <w:shd w:val="clear" w:color="auto" w:fill="FFFFFF"/>
        <w:spacing w:after="0" w:line="400" w:lineRule="exact"/>
        <w:ind w:firstLineChars="200" w:firstLine="600"/>
        <w:rPr>
          <w:rFonts w:ascii="方正仿宋_GBK" w:eastAsia="方正仿宋_GBK" w:hAnsi="华文宋体"/>
          <w:color w:val="000000"/>
          <w:sz w:val="30"/>
          <w:szCs w:val="30"/>
        </w:rPr>
      </w:pPr>
      <w:r w:rsidRPr="002B4F95">
        <w:rPr>
          <w:rFonts w:ascii="方正仿宋_GBK" w:eastAsia="方正仿宋_GBK" w:hAnsi="华文宋体" w:hint="eastAsia"/>
          <w:color w:val="000000"/>
          <w:sz w:val="30"/>
          <w:szCs w:val="30"/>
        </w:rPr>
        <w:t>3、萎蔫。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79"/>
        <w:gridCol w:w="4893"/>
        <w:gridCol w:w="2190"/>
      </w:tblGrid>
      <w:tr w:rsidR="0000280A" w:rsidRPr="002B4F95" w:rsidTr="003F3285">
        <w:trPr>
          <w:trHeight w:val="510"/>
          <w:tblCellSpacing w:w="0" w:type="dxa"/>
          <w:jc w:val="center"/>
        </w:trPr>
        <w:tc>
          <w:tcPr>
            <w:tcW w:w="16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受灾级别</w:t>
            </w:r>
          </w:p>
        </w:tc>
        <w:tc>
          <w:tcPr>
            <w:tcW w:w="489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损失情况</w:t>
            </w:r>
          </w:p>
        </w:tc>
        <w:tc>
          <w:tcPr>
            <w:tcW w:w="21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赔付比例</w:t>
            </w:r>
          </w:p>
        </w:tc>
      </w:tr>
      <w:tr w:rsidR="0000280A" w:rsidRPr="002B4F95" w:rsidTr="003F3285">
        <w:trPr>
          <w:trHeight w:val="721"/>
          <w:tblCellSpacing w:w="0" w:type="dxa"/>
          <w:jc w:val="center"/>
        </w:trPr>
        <w:tc>
          <w:tcPr>
            <w:tcW w:w="16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轻度</w:t>
            </w:r>
          </w:p>
        </w:tc>
        <w:tc>
          <w:tcPr>
            <w:tcW w:w="48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80A" w:rsidRPr="002B4F95" w:rsidRDefault="0000280A" w:rsidP="002F0784">
            <w:pPr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其嫩叶片卷曲，傍晚或清晨能及时恢复的，对树体影响不大。</w:t>
            </w:r>
          </w:p>
        </w:tc>
        <w:tc>
          <w:tcPr>
            <w:tcW w:w="21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00280A" w:rsidRPr="002B4F95" w:rsidTr="003F3285">
        <w:trPr>
          <w:trHeight w:val="662"/>
          <w:tblCellSpacing w:w="0" w:type="dxa"/>
          <w:jc w:val="center"/>
        </w:trPr>
        <w:tc>
          <w:tcPr>
            <w:tcW w:w="16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中度</w:t>
            </w:r>
          </w:p>
        </w:tc>
        <w:tc>
          <w:tcPr>
            <w:tcW w:w="48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80A" w:rsidRPr="002B4F95" w:rsidRDefault="0000280A" w:rsidP="002F0784">
            <w:pPr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其叶片卷曲，傍晚或清晨不能及时恢复的，对树体生长造成一定影响。</w:t>
            </w:r>
          </w:p>
        </w:tc>
        <w:tc>
          <w:tcPr>
            <w:tcW w:w="21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0-20%</w:t>
            </w:r>
          </w:p>
        </w:tc>
      </w:tr>
      <w:tr w:rsidR="0000280A" w:rsidRPr="002B4F95" w:rsidTr="003F3285">
        <w:trPr>
          <w:trHeight w:val="749"/>
          <w:tblCellSpacing w:w="0" w:type="dxa"/>
          <w:jc w:val="center"/>
        </w:trPr>
        <w:tc>
          <w:tcPr>
            <w:tcW w:w="167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重度</w:t>
            </w:r>
          </w:p>
        </w:tc>
        <w:tc>
          <w:tcPr>
            <w:tcW w:w="4893" w:type="dxa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280A" w:rsidRPr="002B4F95" w:rsidRDefault="0000280A" w:rsidP="002F0784">
            <w:pPr>
              <w:spacing w:after="0" w:line="400" w:lineRule="exact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其整树叶片卷曲，果子皱缩失水，枝条失水，严重影响其生长和产量。</w:t>
            </w:r>
          </w:p>
        </w:tc>
        <w:tc>
          <w:tcPr>
            <w:tcW w:w="219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280A" w:rsidRPr="002B4F95" w:rsidRDefault="0000280A" w:rsidP="002F0784">
            <w:pPr>
              <w:spacing w:after="0" w:line="400" w:lineRule="exact"/>
              <w:jc w:val="center"/>
              <w:rPr>
                <w:rFonts w:ascii="方正仿宋_GBK" w:eastAsia="方正仿宋_GBK" w:hAnsi="华文宋体"/>
                <w:color w:val="000000"/>
                <w:sz w:val="30"/>
                <w:szCs w:val="30"/>
              </w:rPr>
            </w:pPr>
            <w:r w:rsidRPr="002B4F95">
              <w:rPr>
                <w:rFonts w:ascii="方正仿宋_GBK" w:eastAsia="方正仿宋_GBK" w:hAnsi="华文宋体" w:hint="eastAsia"/>
                <w:color w:val="000000"/>
                <w:sz w:val="30"/>
                <w:szCs w:val="30"/>
              </w:rPr>
              <w:t>20%-50%</w:t>
            </w:r>
          </w:p>
        </w:tc>
      </w:tr>
    </w:tbl>
    <w:p w:rsidR="00414E44" w:rsidRPr="002B4F95" w:rsidRDefault="00414E44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保险柑橘发生保险责任范围内的损失后，一时难以确定损失时，可由县级以上农业技术部门鉴定或设立一个月的观察期，以鉴定结论或观察期后的定损结论为依据。</w:t>
      </w:r>
    </w:p>
    <w:p w:rsidR="0000280A" w:rsidRPr="002B4F95" w:rsidRDefault="0000280A" w:rsidP="002B4F95">
      <w:pPr>
        <w:widowControl w:val="0"/>
        <w:shd w:val="clear" w:color="auto" w:fill="FFFFFF"/>
        <w:adjustRightInd/>
        <w:spacing w:after="0" w:line="400" w:lineRule="exact"/>
        <w:ind w:firstLineChars="200" w:firstLine="600"/>
        <w:jc w:val="both"/>
        <w:rPr>
          <w:rFonts w:ascii="Times New Roman" w:eastAsia="方正仿宋_GBK" w:hAnsi="Times New Roman" w:cs="Times New Roman"/>
          <w:color w:val="000000"/>
          <w:sz w:val="30"/>
          <w:szCs w:val="30"/>
        </w:rPr>
      </w:pPr>
      <w:r w:rsidRPr="002B4F95">
        <w:rPr>
          <w:rFonts w:ascii="Times New Roman" w:eastAsia="方正仿宋_GBK" w:hAnsi="Times New Roman" w:cs="Times New Roman" w:hint="eastAsia"/>
          <w:color w:val="000000"/>
          <w:sz w:val="30"/>
          <w:szCs w:val="30"/>
        </w:rPr>
        <w:t>发生保险事故时，保险单载明的保险面积小于其可保面积时，可以区分保险标的与非保险标的的，以保险单载明的保险面积为赔偿计算标准；无法区分保险标的与非保险标的的，保险人按保险单载明的保险面积与可保面积的比例计算赔偿。保险单载明的保险面积大于可保面积时，以可保面积为赔偿计算标准。</w:t>
      </w:r>
    </w:p>
    <w:p w:rsidR="004358AB" w:rsidRPr="002B4F95" w:rsidRDefault="004358AB" w:rsidP="002F0784">
      <w:pPr>
        <w:spacing w:after="0" w:line="400" w:lineRule="exact"/>
        <w:rPr>
          <w:sz w:val="30"/>
          <w:szCs w:val="30"/>
        </w:rPr>
      </w:pPr>
    </w:p>
    <w:sectPr w:rsidR="004358AB" w:rsidRPr="002B4F9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D4" w:rsidRPr="0064405C" w:rsidRDefault="00447ED4" w:rsidP="0000280A">
      <w:pPr>
        <w:spacing w:after="0"/>
        <w:rPr>
          <w:rFonts w:eastAsia="方正仿宋_GBK"/>
        </w:rPr>
      </w:pPr>
      <w:r>
        <w:separator/>
      </w:r>
    </w:p>
  </w:endnote>
  <w:endnote w:type="continuationSeparator" w:id="0">
    <w:p w:rsidR="00447ED4" w:rsidRPr="0064405C" w:rsidRDefault="00447ED4" w:rsidP="0000280A">
      <w:pPr>
        <w:spacing w:after="0"/>
        <w:rPr>
          <w:rFonts w:eastAsia="方正仿宋_GBK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altName w:val="宋体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D4" w:rsidRPr="0064405C" w:rsidRDefault="00447ED4" w:rsidP="0000280A">
      <w:pPr>
        <w:spacing w:after="0"/>
        <w:rPr>
          <w:rFonts w:eastAsia="方正仿宋_GBK"/>
        </w:rPr>
      </w:pPr>
      <w:r>
        <w:separator/>
      </w:r>
    </w:p>
  </w:footnote>
  <w:footnote w:type="continuationSeparator" w:id="0">
    <w:p w:rsidR="00447ED4" w:rsidRPr="0064405C" w:rsidRDefault="00447ED4" w:rsidP="0000280A">
      <w:pPr>
        <w:spacing w:after="0"/>
        <w:rPr>
          <w:rFonts w:eastAsia="方正仿宋_GBK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15F9"/>
    <w:rsid w:val="0000280A"/>
    <w:rsid w:val="00022E23"/>
    <w:rsid w:val="00023683"/>
    <w:rsid w:val="000B47BC"/>
    <w:rsid w:val="001005F8"/>
    <w:rsid w:val="00112486"/>
    <w:rsid w:val="002B4F95"/>
    <w:rsid w:val="002F0784"/>
    <w:rsid w:val="00323B43"/>
    <w:rsid w:val="003376E9"/>
    <w:rsid w:val="003D37D8"/>
    <w:rsid w:val="00414E44"/>
    <w:rsid w:val="00420406"/>
    <w:rsid w:val="00426133"/>
    <w:rsid w:val="004358AB"/>
    <w:rsid w:val="00437C21"/>
    <w:rsid w:val="00447ED4"/>
    <w:rsid w:val="004B1CEE"/>
    <w:rsid w:val="006622C1"/>
    <w:rsid w:val="00693242"/>
    <w:rsid w:val="0073605C"/>
    <w:rsid w:val="008A7F45"/>
    <w:rsid w:val="008B7726"/>
    <w:rsid w:val="00B214CE"/>
    <w:rsid w:val="00BD413A"/>
    <w:rsid w:val="00D31D50"/>
    <w:rsid w:val="00DD3397"/>
    <w:rsid w:val="00E9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28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280A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280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280A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12</cp:revision>
  <dcterms:created xsi:type="dcterms:W3CDTF">2008-09-11T17:20:00Z</dcterms:created>
  <dcterms:modified xsi:type="dcterms:W3CDTF">2021-05-31T01:25:00Z</dcterms:modified>
</cp:coreProperties>
</file>