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b/>
          <w:w w:val="60"/>
          <w:sz w:val="106"/>
          <w:szCs w:val="106"/>
        </w:rPr>
      </w:pPr>
    </w:p>
    <w:p>
      <w:pPr>
        <w:overflowPunct w:val="0"/>
        <w:spacing w:line="600" w:lineRule="exact"/>
        <w:rPr>
          <w:szCs w:val="22"/>
        </w:rPr>
      </w:pPr>
      <w:r>
        <w:rPr>
          <w:rFonts w:ascii="Times New Roman" w:hAnsi="Times New Roman" w:eastAsia="方正仿宋_GBK" w:cs="Times New Roman"/>
          <w:kern w:val="2"/>
          <w:sz w:val="32"/>
          <w:szCs w:val="22"/>
          <w:lang w:val="en-US" w:eastAsia="zh-CN" w:bidi="ar-SA"/>
        </w:rPr>
        <w:pict>
          <v:shape id="艺术字 10" o:spid="_x0000_s1027" o:spt="136" type="#_x0000_t136" style="position:absolute;left:0pt;margin-left:92.15pt;margin-top:104.9pt;height:53.85pt;width:411pt;mso-position-horizontal-relative:page;mso-position-vertical-relative:margin;z-index:251662336;mso-width-relative:page;mso-height-relative:page;" fillcolor="#FF0000" filled="t" o:preferrelative="t" stroked="f" coordsize="21600,21600" adj="10800">
            <v:path/>
            <v:fill on="t" focussize="0,0"/>
            <v:stroke on="f"/>
            <v:imagedata gain="65536f" blacklevel="0f" gamma="0" o:title=""/>
            <o:lock v:ext="edit" position="f" selection="f" grouping="f" rotation="f" cropping="f" text="f" aspectratio="f"/>
            <v:textpath on="t" fitshape="t" fitpath="t" trim="t" xscale="f" string="垫江县市场监督管理局" style="font-family:方正小标宋_GBK;font-size:36pt;font-weight:bold;v-text-align:center;"/>
          </v:shape>
        </w:pict>
      </w:r>
    </w:p>
    <w:p>
      <w:pPr>
        <w:overflowPunct w:val="0"/>
        <w:jc w:val="center"/>
        <w:rPr>
          <w:rFonts w:ascii="方正仿宋_GBK"/>
          <w:szCs w:val="22"/>
        </w:rPr>
      </w:pPr>
    </w:p>
    <w:p>
      <w:pPr>
        <w:overflowPunct w:val="0"/>
        <w:jc w:val="center"/>
        <w:rPr>
          <w:rFonts w:ascii="方正仿宋_GBK"/>
          <w:szCs w:val="32"/>
        </w:rPr>
      </w:pPr>
    </w:p>
    <w:p>
      <w:pPr>
        <w:tabs>
          <w:tab w:val="left" w:pos="3792"/>
        </w:tabs>
        <w:overflowPunct w:val="0"/>
        <w:spacing w:line="600" w:lineRule="exact"/>
        <w:jc w:val="center"/>
        <w:rPr>
          <w:rFonts w:ascii="方正仿宋_GBK" w:hAnsi="方正仿宋_GBK" w:cs="方正仿宋_GBK"/>
          <w:color w:val="000000"/>
          <w:szCs w:val="32"/>
        </w:rPr>
      </w:pPr>
    </w:p>
    <w:p>
      <w:pPr>
        <w:tabs>
          <w:tab w:val="left" w:pos="3792"/>
        </w:tabs>
        <w:overflowPunct w:val="0"/>
        <w:spacing w:line="600" w:lineRule="exact"/>
        <w:jc w:val="center"/>
        <w:rPr>
          <w:rFonts w:ascii="方正仿宋_GBK" w:hAnsi="方正仿宋_GBK" w:cs="方正仿宋_GBK"/>
          <w:color w:val="000000"/>
          <w:szCs w:val="32"/>
        </w:rPr>
      </w:pPr>
    </w:p>
    <w:p>
      <w:pPr>
        <w:tabs>
          <w:tab w:val="left" w:pos="3792"/>
        </w:tabs>
        <w:overflowPunct w:val="0"/>
        <w:spacing w:line="600" w:lineRule="exact"/>
        <w:jc w:val="center"/>
        <w:rPr>
          <w:rFonts w:ascii="方正仿宋_GBK" w:hAnsi="方正仿宋_GBK" w:cs="方正仿宋_GBK"/>
          <w:color w:val="000000"/>
          <w:szCs w:val="32"/>
        </w:rPr>
      </w:pPr>
    </w:p>
    <w:p>
      <w:pPr>
        <w:tabs>
          <w:tab w:val="left" w:pos="3792"/>
        </w:tabs>
        <w:overflowPunct w:val="0"/>
        <w:spacing w:line="600" w:lineRule="exact"/>
        <w:jc w:val="center"/>
        <w:rPr>
          <w:szCs w:val="22"/>
        </w:rPr>
      </w:pPr>
      <w:r>
        <w:rPr>
          <w:rFonts w:hint="eastAsia" w:ascii="方正仿宋_GBK" w:hAnsi="方正仿宋_GBK" w:cs="方正仿宋_GBK"/>
          <w:color w:val="000000"/>
          <w:szCs w:val="32"/>
        </w:rPr>
        <w:t>垫江</w:t>
      </w:r>
      <w:r>
        <w:rPr>
          <w:color w:val="000000"/>
          <w:szCs w:val="32"/>
        </w:rPr>
        <w:t>市监</w:t>
      </w:r>
      <w:r>
        <w:rPr>
          <w:rFonts w:hint="eastAsia"/>
          <w:color w:val="000000"/>
          <w:szCs w:val="32"/>
        </w:rPr>
        <w:t>发</w:t>
      </w:r>
      <w:r>
        <w:rPr>
          <w:color w:val="000000"/>
          <w:szCs w:val="32"/>
        </w:rPr>
        <w:t>〔202</w:t>
      </w:r>
      <w:r>
        <w:rPr>
          <w:rFonts w:hint="eastAsia"/>
          <w:color w:val="000000"/>
          <w:szCs w:val="32"/>
        </w:rPr>
        <w:t>3</w:t>
      </w:r>
      <w:r>
        <w:rPr>
          <w:color w:val="000000"/>
          <w:szCs w:val="32"/>
        </w:rPr>
        <w:t>〕</w:t>
      </w:r>
      <w:r>
        <w:rPr>
          <w:rFonts w:hint="eastAsia"/>
          <w:color w:val="000000"/>
          <w:szCs w:val="32"/>
        </w:rPr>
        <w:t>55</w:t>
      </w:r>
      <w:r>
        <w:rPr>
          <w:color w:val="000000"/>
          <w:szCs w:val="32"/>
        </w:rPr>
        <w:t>号</w:t>
      </w:r>
      <w:r>
        <w:rPr>
          <w:rFonts w:ascii="方正仿宋_GBK" w:hAnsi="Times New Roman" w:eastAsia="方正仿宋_GBK" w:cs="Times New Roman"/>
          <w:kern w:val="2"/>
          <w:sz w:val="32"/>
          <w:szCs w:val="32"/>
          <w:lang w:val="en-US" w:eastAsia="zh-CN" w:bidi="ar-SA"/>
        </w:rPr>
        <mc:AlternateContent>
          <mc:Choice Requires="wps">
            <w:drawing>
              <wp:anchor distT="0" distB="0" distL="114300" distR="114300" simplePos="0" relativeHeight="251663360" behindDoc="0" locked="0" layoutInCell="1" allowOverlap="1">
                <wp:simplePos x="0" y="0"/>
                <wp:positionH relativeFrom="page">
                  <wp:posOffset>1028065</wp:posOffset>
                </wp:positionH>
                <wp:positionV relativeFrom="margin">
                  <wp:posOffset>3115945</wp:posOffset>
                </wp:positionV>
                <wp:extent cx="5615940" cy="635"/>
                <wp:effectExtent l="0" t="10795" r="3810" b="17145"/>
                <wp:wrapNone/>
                <wp:docPr id="4" name="Line 10"/>
                <wp:cNvGraphicFramePr/>
                <a:graphic xmlns:a="http://schemas.openxmlformats.org/drawingml/2006/main">
                  <a:graphicData uri="http://schemas.microsoft.com/office/word/2010/wordprocessingShape">
                    <wps:wsp>
                      <wps:cNvCnPr/>
                      <wps:spPr>
                        <a:xfrm>
                          <a:off x="0" y="0"/>
                          <a:ext cx="5615940"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Line 10" o:spid="_x0000_s1026" o:spt="20" style="position:absolute;left:0pt;margin-left:80.95pt;margin-top:245.35pt;height:0.05pt;width:442.2pt;mso-position-horizontal-relative:page;mso-position-vertical-relative:margin;z-index:251663360;mso-width-relative:page;mso-height-relative:page;" filled="f" stroked="t" coordsize="21600,21600" o:gfxdata="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u0K7toAAAAMAQAA&#10;DwAAAAAAAAABACAAAAAiAAAAZHJzL2Rvd25yZXYueG1sUEsBAhQAFAAAAAgAh07iQNmWHxPeAQAA&#10;3QMAAA4AAAAAAAAAAQAgAAAAKQEAAGRycy9lMm9Eb2MueG1sUEsFBgAAAAAGAAYAWQEAAHkFAAAA&#10;AA==&#10;">
                <v:fill on="f" focussize="0,0"/>
                <v:stroke weight="1.75pt" color="#FF0000" joinstyle="round"/>
                <v:imagedata o:title=""/>
                <o:lock v:ext="edit" aspectratio="f"/>
              </v:line>
            </w:pict>
          </mc:Fallback>
        </mc:AlternateContent>
      </w:r>
    </w:p>
    <w:p>
      <w:pPr>
        <w:overflowPunct w:val="0"/>
        <w:spacing w:line="594" w:lineRule="exact"/>
        <w:jc w:val="center"/>
        <w:rPr>
          <w:rFonts w:ascii="方正小标宋_GBK" w:eastAsia="方正小标宋_GBK"/>
          <w:b/>
          <w:sz w:val="44"/>
          <w:szCs w:val="44"/>
        </w:rPr>
      </w:pPr>
    </w:p>
    <w:p>
      <w:pPr>
        <w:overflowPunct w:val="0"/>
        <w:spacing w:line="594" w:lineRule="exact"/>
        <w:rPr>
          <w:rFonts w:ascii="方正小标宋_GBK" w:eastAsia="方正小标宋_GBK"/>
          <w:sz w:val="44"/>
          <w:szCs w:val="44"/>
        </w:rPr>
      </w:pPr>
    </w:p>
    <w:p>
      <w:pPr>
        <w:overflowPunct w:val="0"/>
        <w:adjustRightInd w:val="0"/>
        <w:snapToGrid w:val="0"/>
        <w:spacing w:line="594" w:lineRule="exact"/>
        <w:jc w:val="center"/>
        <w:rPr>
          <w:rFonts w:ascii="方正小标宋_GBK" w:eastAsia="方正小标宋_GBK"/>
          <w:b/>
          <w:sz w:val="44"/>
          <w:szCs w:val="44"/>
        </w:rPr>
      </w:pPr>
      <w:r>
        <w:rPr>
          <w:rFonts w:hint="eastAsia" w:ascii="方正小标宋_GBK" w:eastAsia="方正小标宋_GBK"/>
          <w:b/>
          <w:sz w:val="44"/>
          <w:szCs w:val="44"/>
        </w:rPr>
        <w:t>垫江县市场监督管理局</w:t>
      </w:r>
    </w:p>
    <w:p>
      <w:pPr>
        <w:overflowPunct w:val="0"/>
        <w:spacing w:line="594" w:lineRule="exact"/>
        <w:jc w:val="center"/>
        <w:rPr>
          <w:rFonts w:ascii="方正小标宋_GBK" w:eastAsia="方正小标宋_GBK"/>
          <w:b/>
          <w:sz w:val="44"/>
          <w:szCs w:val="44"/>
        </w:rPr>
      </w:pPr>
      <w:r>
        <w:rPr>
          <w:rFonts w:hint="eastAsia" w:ascii="方正小标宋_GBK" w:eastAsia="方正小标宋_GBK"/>
          <w:b/>
          <w:sz w:val="44"/>
          <w:szCs w:val="44"/>
        </w:rPr>
        <w:t>关于转发《重庆市市场监督管理局等8部门</w:t>
      </w:r>
    </w:p>
    <w:p>
      <w:pPr>
        <w:overflowPunct w:val="0"/>
        <w:spacing w:line="594" w:lineRule="exact"/>
        <w:jc w:val="center"/>
        <w:rPr>
          <w:rFonts w:ascii="方正小标宋_GBK" w:eastAsia="方正小标宋_GBK"/>
          <w:b/>
          <w:spacing w:val="-18"/>
          <w:sz w:val="44"/>
          <w:szCs w:val="44"/>
        </w:rPr>
      </w:pPr>
      <w:r>
        <w:rPr>
          <w:rFonts w:hint="eastAsia" w:ascii="方正小标宋_GBK" w:eastAsia="方正小标宋_GBK"/>
          <w:b/>
          <w:sz w:val="44"/>
          <w:szCs w:val="44"/>
        </w:rPr>
        <w:t>关于</w:t>
      </w:r>
      <w:r>
        <w:rPr>
          <w:rFonts w:hint="eastAsia" w:ascii="方正小标宋_GBK" w:eastAsia="方正小标宋_GBK"/>
          <w:b/>
          <w:spacing w:val="-18"/>
          <w:sz w:val="44"/>
          <w:szCs w:val="44"/>
        </w:rPr>
        <w:t>印发重庆市“个转企”工作实施方案的通知》的通知</w:t>
      </w:r>
    </w:p>
    <w:p>
      <w:pPr>
        <w:overflowPunct w:val="0"/>
        <w:spacing w:line="594" w:lineRule="exact"/>
        <w:jc w:val="center"/>
        <w:rPr>
          <w:rFonts w:ascii="方正小标宋_GBK" w:eastAsia="方正小标宋_GBK"/>
          <w:sz w:val="44"/>
          <w:szCs w:val="44"/>
        </w:rPr>
      </w:pPr>
    </w:p>
    <w:p>
      <w:pPr>
        <w:overflowPunct w:val="0"/>
        <w:spacing w:line="594" w:lineRule="exact"/>
        <w:rPr>
          <w:szCs w:val="32"/>
        </w:rPr>
      </w:pPr>
      <w:r>
        <w:rPr>
          <w:rFonts w:hint="eastAsia"/>
          <w:szCs w:val="32"/>
        </w:rPr>
        <w:t>各市场监管所，县局相关科室、局属相关单位</w:t>
      </w:r>
      <w:r>
        <w:rPr>
          <w:szCs w:val="32"/>
        </w:rPr>
        <w:t>：</w:t>
      </w:r>
    </w:p>
    <w:p>
      <w:pPr>
        <w:overflowPunct w:val="0"/>
        <w:spacing w:line="594" w:lineRule="exact"/>
        <w:ind w:firstLine="632" w:firstLineChars="200"/>
        <w:rPr>
          <w:szCs w:val="32"/>
        </w:rPr>
      </w:pPr>
      <w:r>
        <w:rPr>
          <w:rFonts w:hint="eastAsia"/>
          <w:szCs w:val="32"/>
        </w:rPr>
        <w:t>现将《重庆市市场监督管理局等8部门关于印发重庆市“个转企”工作实施方案的通知》（渝市监发〔2023〕35号）转发给你们，</w:t>
      </w:r>
      <w:r>
        <w:rPr>
          <w:rFonts w:hint="eastAsia"/>
        </w:rPr>
        <w:t>并提出以下要求，</w:t>
      </w:r>
      <w:r>
        <w:t>请</w:t>
      </w:r>
      <w:r>
        <w:rPr>
          <w:rFonts w:hint="eastAsia"/>
        </w:rPr>
        <w:t>一并遵照执行</w:t>
      </w:r>
      <w:r>
        <w:t>。</w:t>
      </w:r>
    </w:p>
    <w:p>
      <w:pPr>
        <w:overflowPunct w:val="0"/>
        <w:spacing w:line="594" w:lineRule="exact"/>
        <w:ind w:firstLine="652" w:firstLineChars="200"/>
        <w:rPr>
          <w:rFonts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一、提高思想认识，强化工作责任</w:t>
      </w:r>
    </w:p>
    <w:p>
      <w:pPr>
        <w:overflowPunct w:val="0"/>
        <w:spacing w:line="594" w:lineRule="exact"/>
        <w:ind w:firstLine="632" w:firstLineChars="200"/>
        <w:rPr>
          <w:szCs w:val="32"/>
        </w:rPr>
      </w:pPr>
      <w:r>
        <w:rPr>
          <w:rFonts w:hint="eastAsia"/>
          <w:szCs w:val="32"/>
        </w:rPr>
        <w:t>个体工商户的发展关系稳增长、促就业、惠民生大局。</w:t>
      </w:r>
      <w:r>
        <w:rPr>
          <w:szCs w:val="32"/>
        </w:rPr>
        <w:t>2022</w:t>
      </w:r>
      <w:r>
        <w:rPr>
          <w:rFonts w:hint="eastAsia"/>
          <w:szCs w:val="32"/>
        </w:rPr>
        <w:t>年</w:t>
      </w:r>
      <w:r>
        <w:rPr>
          <w:szCs w:val="32"/>
        </w:rPr>
        <w:t>10</w:t>
      </w:r>
      <w:r>
        <w:rPr>
          <w:rFonts w:hint="eastAsia"/>
          <w:szCs w:val="32"/>
        </w:rPr>
        <w:t>月，国务院颁布了《促进个体工商户发展条例》（国务院令第</w:t>
      </w:r>
      <w:r>
        <w:rPr>
          <w:szCs w:val="32"/>
        </w:rPr>
        <w:t>755</w:t>
      </w:r>
      <w:r>
        <w:rPr>
          <w:rFonts w:hint="eastAsia"/>
          <w:szCs w:val="32"/>
        </w:rPr>
        <w:t>号），该《条例》就个体工商户转型为企业进行了顶层设计和制度保障。“个转企”是一项系统工程，既需要个体工商户的积极参与，也需要各乡镇（街道）、县级部部门的协同配合，坚持政策引导、主体自愿原则，通过持续深化“放管服”改革、减税降费、创业补贴、融资帮扶、审慎监管等支持措施，统筹推进“个转企”专项工作。各单位要高度重视个体工商户培育发展和“个转企”工作，以落实</w:t>
      </w:r>
      <w:r>
        <w:rPr>
          <w:szCs w:val="32"/>
        </w:rPr>
        <w:t>2023</w:t>
      </w:r>
      <w:r>
        <w:rPr>
          <w:rFonts w:hint="eastAsia"/>
          <w:szCs w:val="32"/>
        </w:rPr>
        <w:t>年县政府工作报告中引导扶持“个转企、微升小、小升规、规改股、股上市”确定目标任务相结合，将推动“个转企”作为进一步优化营商环境、促进市场主体高质量发展的重要抓手，扎实推进、务求实效。</w:t>
      </w:r>
    </w:p>
    <w:p>
      <w:pPr>
        <w:overflowPunct w:val="0"/>
        <w:spacing w:line="594" w:lineRule="exact"/>
        <w:ind w:firstLine="652" w:firstLineChars="200"/>
        <w:rPr>
          <w:sz w:val="33"/>
          <w:szCs w:val="33"/>
        </w:rPr>
      </w:pPr>
      <w:r>
        <w:rPr>
          <w:rFonts w:hint="eastAsia" w:ascii="方正黑体_GBK" w:hAnsi="方正黑体_GBK" w:eastAsia="方正黑体_GBK" w:cs="方正黑体_GBK"/>
          <w:sz w:val="33"/>
          <w:szCs w:val="33"/>
        </w:rPr>
        <w:t>二、</w:t>
      </w:r>
      <w:r>
        <w:rPr>
          <w:rFonts w:ascii="方正黑体_GBK" w:hAnsi="方正黑体_GBK" w:eastAsia="方正黑体_GBK" w:cs="方正黑体_GBK"/>
          <w:sz w:val="33"/>
          <w:szCs w:val="33"/>
        </w:rPr>
        <w:t>强化政策梳理，注重实绩实效</w:t>
      </w:r>
    </w:p>
    <w:p>
      <w:pPr>
        <w:overflowPunct w:val="0"/>
        <w:spacing w:line="594" w:lineRule="exact"/>
        <w:ind w:firstLine="652" w:firstLineChars="200"/>
        <w:rPr>
          <w:sz w:val="33"/>
          <w:szCs w:val="33"/>
        </w:rPr>
      </w:pPr>
      <w:r>
        <w:rPr>
          <w:sz w:val="33"/>
          <w:szCs w:val="33"/>
        </w:rPr>
        <w:t>各单位</w:t>
      </w:r>
      <w:r>
        <w:rPr>
          <w:rFonts w:hint="eastAsia"/>
          <w:sz w:val="33"/>
          <w:szCs w:val="33"/>
        </w:rPr>
        <w:t>要聚焦个体工商户转型发展的关注点，以现行政策和本次工作方案的要求，引领和推动</w:t>
      </w:r>
      <w:r>
        <w:rPr>
          <w:rFonts w:hint="eastAsia"/>
          <w:szCs w:val="32"/>
        </w:rPr>
        <w:t>“个转企”市场主体的预期。要研究解决“个转企”工作中的难点堵点，及时指导个体工商户增强转型发展的信心。</w:t>
      </w:r>
      <w:r>
        <w:rPr>
          <w:rFonts w:hint="eastAsia"/>
          <w:sz w:val="33"/>
          <w:szCs w:val="33"/>
        </w:rPr>
        <w:t>要严格按照该工作实施方案的要求，全面落实简化转型</w:t>
      </w:r>
      <w:r>
        <w:rPr>
          <w:sz w:val="33"/>
          <w:szCs w:val="33"/>
        </w:rPr>
        <w:t>手续</w:t>
      </w:r>
      <w:r>
        <w:rPr>
          <w:rFonts w:hint="eastAsia"/>
          <w:sz w:val="33"/>
          <w:szCs w:val="33"/>
        </w:rPr>
        <w:t>、支持</w:t>
      </w:r>
      <w:r>
        <w:rPr>
          <w:sz w:val="33"/>
          <w:szCs w:val="33"/>
        </w:rPr>
        <w:t>生产经营延续</w:t>
      </w:r>
      <w:r>
        <w:rPr>
          <w:rFonts w:hint="eastAsia"/>
          <w:sz w:val="33"/>
          <w:szCs w:val="33"/>
        </w:rPr>
        <w:t>、实施包容</w:t>
      </w:r>
      <w:r>
        <w:rPr>
          <w:sz w:val="33"/>
          <w:szCs w:val="33"/>
        </w:rPr>
        <w:t>审慎</w:t>
      </w:r>
      <w:r>
        <w:rPr>
          <w:rFonts w:hint="eastAsia"/>
          <w:sz w:val="33"/>
          <w:szCs w:val="33"/>
        </w:rPr>
        <w:t>监管、建立全流程</w:t>
      </w:r>
      <w:r>
        <w:rPr>
          <w:sz w:val="33"/>
          <w:szCs w:val="33"/>
        </w:rPr>
        <w:t>服务</w:t>
      </w:r>
      <w:r>
        <w:rPr>
          <w:rFonts w:hint="eastAsia"/>
          <w:sz w:val="33"/>
          <w:szCs w:val="33"/>
        </w:rPr>
        <w:t>机制等具体</w:t>
      </w:r>
      <w:r>
        <w:rPr>
          <w:sz w:val="33"/>
          <w:szCs w:val="33"/>
        </w:rPr>
        <w:t>工作措施</w:t>
      </w:r>
      <w:r>
        <w:rPr>
          <w:rFonts w:hint="eastAsia"/>
          <w:sz w:val="33"/>
          <w:szCs w:val="33"/>
        </w:rPr>
        <w:t>，强化政策落地落实。</w:t>
      </w:r>
      <w:r>
        <w:rPr>
          <w:sz w:val="33"/>
          <w:szCs w:val="33"/>
        </w:rPr>
        <w:t>要进一步优化审批流程，提高办事效率，做到政策应享尽享快享。</w:t>
      </w:r>
    </w:p>
    <w:p>
      <w:pPr>
        <w:overflowPunct w:val="0"/>
        <w:spacing w:line="594" w:lineRule="exact"/>
        <w:ind w:firstLine="652" w:firstLineChars="200"/>
        <w:rPr>
          <w:rFonts w:ascii="方正黑体_GBK" w:hAnsi="方正黑体_GBK" w:eastAsia="方正黑体_GBK" w:cs="方正黑体_GBK"/>
          <w:sz w:val="33"/>
          <w:szCs w:val="33"/>
        </w:rPr>
      </w:pPr>
      <w:r>
        <w:rPr>
          <w:rFonts w:ascii="方正黑体_GBK" w:hAnsi="方正黑体_GBK" w:eastAsia="方正黑体_GBK" w:cs="方正黑体_GBK"/>
          <w:sz w:val="33"/>
          <w:szCs w:val="33"/>
        </w:rPr>
        <w:t>三、积极宣传引导，主动靠前服务</w:t>
      </w:r>
    </w:p>
    <w:p>
      <w:pPr>
        <w:overflowPunct w:val="0"/>
        <w:spacing w:line="594" w:lineRule="exact"/>
        <w:ind w:firstLine="652" w:firstLineChars="200"/>
        <w:rPr>
          <w:sz w:val="33"/>
          <w:szCs w:val="33"/>
        </w:rPr>
      </w:pPr>
      <w:r>
        <w:rPr>
          <w:sz w:val="33"/>
          <w:szCs w:val="33"/>
        </w:rPr>
        <w:t>各</w:t>
      </w:r>
      <w:r>
        <w:rPr>
          <w:rFonts w:hint="eastAsia"/>
          <w:sz w:val="33"/>
          <w:szCs w:val="33"/>
        </w:rPr>
        <w:t>市场监管所要</w:t>
      </w:r>
      <w:r>
        <w:rPr>
          <w:rFonts w:hint="eastAsia"/>
          <w:szCs w:val="32"/>
        </w:rPr>
        <w:t>深入街道、社区、园区、村（居）等，</w:t>
      </w:r>
      <w:r>
        <w:rPr>
          <w:rFonts w:hint="eastAsia"/>
          <w:sz w:val="33"/>
          <w:szCs w:val="33"/>
        </w:rPr>
        <w:t>加强“个转企”政策的</w:t>
      </w:r>
      <w:r>
        <w:rPr>
          <w:rFonts w:hint="eastAsia"/>
          <w:szCs w:val="32"/>
        </w:rPr>
        <w:t>宣贯，要对辖区内个体工商户进行全面摸排，对具备一定规模、符合条件和有</w:t>
      </w:r>
      <w:r>
        <w:rPr>
          <w:rFonts w:hint="eastAsia"/>
          <w:color w:val="000000"/>
          <w:szCs w:val="32"/>
        </w:rPr>
        <w:t>转型意愿的个体工商户进行</w:t>
      </w:r>
      <w:r>
        <w:rPr>
          <w:rFonts w:hint="eastAsia"/>
          <w:szCs w:val="32"/>
        </w:rPr>
        <w:t>纳入“个转企”</w:t>
      </w:r>
      <w:r>
        <w:rPr>
          <w:szCs w:val="32"/>
        </w:rPr>
        <w:t>重点</w:t>
      </w:r>
      <w:r>
        <w:rPr>
          <w:rFonts w:hint="eastAsia"/>
          <w:szCs w:val="32"/>
        </w:rPr>
        <w:t>培育库。</w:t>
      </w:r>
      <w:r>
        <w:rPr>
          <w:sz w:val="33"/>
          <w:szCs w:val="33"/>
        </w:rPr>
        <w:t>县</w:t>
      </w:r>
      <w:r>
        <w:rPr>
          <w:rFonts w:hint="eastAsia"/>
          <w:sz w:val="33"/>
          <w:szCs w:val="33"/>
        </w:rPr>
        <w:t>局要积极与县级</w:t>
      </w:r>
      <w:r>
        <w:rPr>
          <w:sz w:val="33"/>
          <w:szCs w:val="33"/>
        </w:rPr>
        <w:t>有关部门</w:t>
      </w:r>
      <w:r>
        <w:rPr>
          <w:rFonts w:hint="eastAsia"/>
          <w:sz w:val="33"/>
          <w:szCs w:val="33"/>
        </w:rPr>
        <w:t>和乡镇（街道）加强协作，并加强对</w:t>
      </w:r>
      <w:r>
        <w:rPr>
          <w:rFonts w:hint="eastAsia"/>
          <w:szCs w:val="32"/>
        </w:rPr>
        <w:t>“个转企”政策宣传推介和政策解读，提升政策知晓度，</w:t>
      </w:r>
      <w:r>
        <w:rPr>
          <w:rFonts w:hint="eastAsia"/>
          <w:sz w:val="33"/>
          <w:szCs w:val="33"/>
        </w:rPr>
        <w:t>根据</w:t>
      </w:r>
      <w:r>
        <w:rPr>
          <w:rFonts w:hint="eastAsia"/>
          <w:szCs w:val="32"/>
        </w:rPr>
        <w:t>“个转企”</w:t>
      </w:r>
      <w:r>
        <w:rPr>
          <w:szCs w:val="32"/>
        </w:rPr>
        <w:t>重点</w:t>
      </w:r>
      <w:r>
        <w:rPr>
          <w:rFonts w:hint="eastAsia"/>
          <w:szCs w:val="32"/>
        </w:rPr>
        <w:t>培育库人员类别对接落实政策兑现，进一步激发</w:t>
      </w:r>
      <w:r>
        <w:rPr>
          <w:rFonts w:hint="eastAsia"/>
          <w:spacing w:val="-6"/>
          <w:szCs w:val="32"/>
        </w:rPr>
        <w:t>个体工商户转型内生动力，破除“不愿转”“不能转”的问题，实现发展质量明显提高，主体结构更加优化</w:t>
      </w:r>
      <w:r>
        <w:rPr>
          <w:rFonts w:hint="eastAsia"/>
          <w:szCs w:val="32"/>
        </w:rPr>
        <w:t>。</w:t>
      </w:r>
    </w:p>
    <w:p>
      <w:pPr>
        <w:pStyle w:val="8"/>
        <w:overflowPunct w:val="0"/>
        <w:spacing w:before="0" w:beforeAutospacing="0" w:after="0" w:afterAutospacing="0" w:line="594" w:lineRule="exact"/>
        <w:ind w:firstLine="652" w:firstLineChars="200"/>
        <w:jc w:val="both"/>
        <w:rPr>
          <w:rFonts w:ascii="方正黑体_GBK" w:hAnsi="方正黑体_GBK" w:eastAsia="方正黑体_GBK" w:cs="方正黑体_GBK"/>
          <w:kern w:val="2"/>
          <w:sz w:val="33"/>
          <w:szCs w:val="33"/>
        </w:rPr>
      </w:pPr>
      <w:r>
        <w:rPr>
          <w:rFonts w:hint="eastAsia" w:ascii="方正黑体_GBK" w:hAnsi="方正黑体_GBK" w:eastAsia="方正黑体_GBK" w:cs="方正黑体_GBK"/>
          <w:kern w:val="2"/>
          <w:sz w:val="33"/>
          <w:szCs w:val="33"/>
        </w:rPr>
        <w:t>四、严格督导评估，确保落地见效</w:t>
      </w:r>
    </w:p>
    <w:p>
      <w:pPr>
        <w:pStyle w:val="8"/>
        <w:overflowPunct w:val="0"/>
        <w:spacing w:before="0" w:beforeAutospacing="0" w:after="0" w:afterAutospacing="0" w:line="594" w:lineRule="exact"/>
        <w:ind w:firstLine="632" w:firstLineChars="200"/>
        <w:jc w:val="both"/>
        <w:rPr>
          <w:rFonts w:ascii="方正仿宋_GBK" w:hAnsi="方正仿宋_GBK" w:cs="方正仿宋_GBK"/>
          <w:sz w:val="32"/>
        </w:rPr>
      </w:pPr>
      <w:r>
        <w:rPr>
          <w:rFonts w:hint="eastAsia" w:ascii="方正仿宋_GBK" w:hAnsi="方正仿宋_GBK" w:cs="方正仿宋_GBK"/>
          <w:sz w:val="32"/>
        </w:rPr>
        <w:t>个体工商户转型工作是促进全县市场主体高质量发展的重要抓手之一，今年已将“个转企比例”指标纳入“七张报表”中的经济报表赛马比拼，并将定期通报完成情况。县局将加强</w:t>
      </w:r>
      <w:r>
        <w:rPr>
          <w:rFonts w:hint="eastAsia"/>
          <w:sz w:val="32"/>
          <w:szCs w:val="32"/>
        </w:rPr>
        <w:t>政策措施落实效果的督查力度，跟踪评估政策落实情况，确保转型政策到位、措施到位、成效到位。在执行该工作方案中出现问题和重大情况，请及时向</w:t>
      </w:r>
      <w:r>
        <w:rPr>
          <w:rFonts w:hint="eastAsia" w:ascii="方正仿宋_GBK" w:hAnsi="方正仿宋_GBK" w:cs="方正仿宋_GBK"/>
          <w:sz w:val="32"/>
        </w:rPr>
        <w:t>县局反馈，便于统筹协调解决</w:t>
      </w:r>
      <w:r>
        <w:rPr>
          <w:rFonts w:hint="eastAsia"/>
          <w:sz w:val="32"/>
          <w:szCs w:val="32"/>
        </w:rPr>
        <w:t>。</w:t>
      </w:r>
    </w:p>
    <w:p>
      <w:pPr>
        <w:tabs>
          <w:tab w:val="left" w:pos="5895"/>
        </w:tabs>
        <w:overflowPunct w:val="0"/>
        <w:spacing w:line="594" w:lineRule="exact"/>
        <w:ind w:right="641" w:rightChars="203" w:firstLine="3720" w:firstLineChars="1200"/>
        <w:jc w:val="right"/>
        <w:rPr>
          <w:spacing w:val="-3"/>
          <w:szCs w:val="32"/>
        </w:rPr>
      </w:pPr>
    </w:p>
    <w:p>
      <w:pPr>
        <w:pStyle w:val="2"/>
        <w:overflowPunct w:val="0"/>
        <w:ind w:firstLine="3310"/>
        <w:rPr>
          <w:lang w:eastAsia="zh-CN"/>
        </w:rPr>
      </w:pPr>
    </w:p>
    <w:p>
      <w:pPr>
        <w:tabs>
          <w:tab w:val="left" w:pos="5895"/>
        </w:tabs>
        <w:overflowPunct w:val="0"/>
        <w:spacing w:line="594" w:lineRule="exact"/>
        <w:ind w:right="575" w:rightChars="182" w:firstLine="4436" w:firstLineChars="1404"/>
        <w:rPr>
          <w:bCs/>
          <w:snapToGrid w:val="0"/>
          <w:kern w:val="0"/>
          <w:szCs w:val="32"/>
        </w:rPr>
      </w:pPr>
      <w:r>
        <w:rPr>
          <w:rFonts w:hint="eastAsia"/>
          <w:bCs/>
          <w:snapToGrid w:val="0"/>
          <w:kern w:val="0"/>
          <w:szCs w:val="32"/>
        </w:rPr>
        <w:t>垫江县市场监督管理局</w:t>
      </w:r>
    </w:p>
    <w:p>
      <w:pPr>
        <w:overflowPunct w:val="0"/>
        <w:adjustRightInd w:val="0"/>
        <w:spacing w:line="594" w:lineRule="exact"/>
        <w:jc w:val="center"/>
        <w:rPr>
          <w:szCs w:val="32"/>
        </w:rPr>
      </w:pPr>
      <w:r>
        <w:rPr>
          <w:rFonts w:hint="eastAsia"/>
          <w:szCs w:val="32"/>
        </w:rPr>
        <w:t xml:space="preserve">                   </w:t>
      </w:r>
      <w:r>
        <w:rPr>
          <w:szCs w:val="32"/>
        </w:rPr>
        <w:t>2023</w:t>
      </w:r>
      <w:r>
        <w:rPr>
          <w:rFonts w:hint="eastAsia"/>
          <w:szCs w:val="32"/>
        </w:rPr>
        <w:t>年</w:t>
      </w:r>
      <w:r>
        <w:rPr>
          <w:szCs w:val="32"/>
        </w:rPr>
        <w:t>5</w:t>
      </w:r>
      <w:r>
        <w:rPr>
          <w:rFonts w:hint="eastAsia"/>
          <w:szCs w:val="32"/>
        </w:rPr>
        <w:t>月17日</w:t>
      </w:r>
    </w:p>
    <w:p>
      <w:pPr>
        <w:overflowPunct w:val="0"/>
        <w:spacing w:line="594" w:lineRule="exact"/>
        <w:ind w:firstLine="632" w:firstLineChars="200"/>
        <w:rPr>
          <w:rFonts w:hint="eastAsia"/>
          <w:szCs w:val="32"/>
        </w:rPr>
      </w:pPr>
      <w:r>
        <w:rPr>
          <w:rFonts w:hint="eastAsia"/>
          <w:szCs w:val="32"/>
        </w:rPr>
        <w:t>（联系人：谢</w:t>
      </w:r>
      <w:r>
        <w:rPr>
          <w:rFonts w:hint="eastAsia"/>
          <w:szCs w:val="32"/>
          <w:lang w:val="en-US" w:eastAsia="zh-CN"/>
        </w:rPr>
        <w:t>老师</w:t>
      </w:r>
      <w:r>
        <w:rPr>
          <w:rFonts w:hint="eastAsia"/>
          <w:szCs w:val="32"/>
        </w:rPr>
        <w:t>，联系电话：74513310）</w:t>
      </w:r>
    </w:p>
    <w:p>
      <w:pPr>
        <w:pStyle w:val="2"/>
        <w:rPr>
          <w:rFonts w:hint="eastAsia" w:eastAsia="宋体"/>
          <w:lang w:eastAsia="zh-CN"/>
        </w:rPr>
      </w:pPr>
      <w:r>
        <w:rPr>
          <w:rFonts w:hint="eastAsia" w:ascii="Times New Roman" w:hAnsi="Times New Roman" w:eastAsia="方正仿宋_GBK" w:cs="Times New Roman"/>
          <w:kern w:val="0"/>
          <w:sz w:val="32"/>
          <w:szCs w:val="32"/>
          <w:lang w:val="en-US" w:eastAsia="zh-CN" w:bidi="ar-SA"/>
        </w:rPr>
        <w:t>（此件公开发布）</w:t>
      </w:r>
      <w:bookmarkStart w:id="2" w:name="_GoBack"/>
      <w:bookmarkEnd w:id="2"/>
    </w:p>
    <w:p>
      <w:pPr>
        <w:overflowPunct w:val="0"/>
      </w:pPr>
      <w:r>
        <w:rPr>
          <w:rFonts w:ascii="Times New Roman" w:hAnsi="Times New Roman" w:eastAsia="方正仿宋_GBK" w:cs="Times New Roman"/>
          <w:kern w:val="2"/>
          <w:sz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111760</wp:posOffset>
                </wp:positionH>
                <wp:positionV relativeFrom="paragraph">
                  <wp:posOffset>352425</wp:posOffset>
                </wp:positionV>
                <wp:extent cx="4704080" cy="336931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4704080" cy="3369310"/>
                        </a:xfrm>
                        <a:prstGeom prst="rect">
                          <a:avLst/>
                        </a:prstGeom>
                        <a:noFill/>
                        <a:ln>
                          <a:noFill/>
                        </a:ln>
                      </wps:spPr>
                      <wps:txbx>
                        <w:txbxContent>
                          <w:p>
                            <w:pPr>
                              <w:spacing w:line="640" w:lineRule="exact"/>
                              <w:jc w:val="distribute"/>
                              <w:rPr>
                                <w:rFonts w:eastAsia="方正小标宋_GBK"/>
                                <w:bCs/>
                                <w:color w:val="FF0000"/>
                                <w:spacing w:val="23"/>
                                <w:w w:val="80"/>
                                <w:kern w:val="0"/>
                                <w:sz w:val="72"/>
                                <w:szCs w:val="72"/>
                              </w:rPr>
                            </w:pPr>
                            <w:r>
                              <w:rPr>
                                <w:rFonts w:hint="eastAsia" w:eastAsia="方正小标宋_GBK"/>
                                <w:bCs/>
                                <w:color w:val="FF0000"/>
                                <w:w w:val="80"/>
                                <w:kern w:val="0"/>
                                <w:sz w:val="52"/>
                                <w:szCs w:val="52"/>
                              </w:rPr>
                              <w:t>重庆市市场监督管理局</w:t>
                            </w:r>
                          </w:p>
                          <w:p>
                            <w:pPr>
                              <w:pStyle w:val="6"/>
                              <w:snapToGrid/>
                              <w:spacing w:line="640" w:lineRule="exact"/>
                              <w:jc w:val="distribute"/>
                              <w:rPr>
                                <w:rFonts w:eastAsia="方正小标宋_GBK"/>
                                <w:bCs/>
                                <w:color w:val="FF0000"/>
                                <w:w w:val="80"/>
                                <w:kern w:val="0"/>
                                <w:sz w:val="52"/>
                                <w:szCs w:val="52"/>
                              </w:rPr>
                            </w:pPr>
                            <w:r>
                              <w:rPr>
                                <w:rFonts w:hint="eastAsia" w:eastAsia="方正小标宋_GBK"/>
                                <w:bCs/>
                                <w:color w:val="FF0000"/>
                                <w:w w:val="80"/>
                                <w:kern w:val="0"/>
                                <w:sz w:val="52"/>
                                <w:szCs w:val="52"/>
                              </w:rPr>
                              <w:t>重庆市公安局</w:t>
                            </w:r>
                          </w:p>
                          <w:p>
                            <w:pPr>
                              <w:pStyle w:val="6"/>
                              <w:snapToGrid/>
                              <w:spacing w:line="640" w:lineRule="exact"/>
                              <w:jc w:val="distribute"/>
                              <w:rPr>
                                <w:rFonts w:eastAsia="方正小标宋_GBK"/>
                                <w:bCs/>
                                <w:color w:val="FF0000"/>
                                <w:w w:val="80"/>
                                <w:kern w:val="0"/>
                                <w:sz w:val="52"/>
                                <w:szCs w:val="52"/>
                              </w:rPr>
                            </w:pPr>
                            <w:r>
                              <w:rPr>
                                <w:rFonts w:hint="eastAsia" w:eastAsia="方正小标宋_GBK"/>
                                <w:bCs/>
                                <w:color w:val="FF0000"/>
                                <w:w w:val="80"/>
                                <w:kern w:val="0"/>
                                <w:sz w:val="52"/>
                                <w:szCs w:val="52"/>
                              </w:rPr>
                              <w:t>重庆市人力资源和社会保障局</w:t>
                            </w:r>
                          </w:p>
                          <w:p>
                            <w:pPr>
                              <w:pStyle w:val="6"/>
                              <w:snapToGrid/>
                              <w:spacing w:line="640" w:lineRule="exact"/>
                              <w:jc w:val="distribute"/>
                              <w:rPr>
                                <w:rFonts w:eastAsia="方正小标宋_GBK"/>
                                <w:bCs/>
                                <w:color w:val="FF0000"/>
                                <w:w w:val="80"/>
                                <w:kern w:val="0"/>
                                <w:sz w:val="52"/>
                                <w:szCs w:val="52"/>
                              </w:rPr>
                            </w:pPr>
                            <w:r>
                              <w:rPr>
                                <w:rFonts w:hint="eastAsia" w:eastAsia="方正小标宋_GBK"/>
                                <w:bCs/>
                                <w:color w:val="FF0000"/>
                                <w:w w:val="80"/>
                                <w:kern w:val="0"/>
                                <w:sz w:val="52"/>
                                <w:szCs w:val="52"/>
                              </w:rPr>
                              <w:t>重庆市农业农村委员会</w:t>
                            </w:r>
                          </w:p>
                          <w:p>
                            <w:pPr>
                              <w:pStyle w:val="6"/>
                              <w:snapToGrid/>
                              <w:spacing w:line="640" w:lineRule="exact"/>
                              <w:jc w:val="distribute"/>
                              <w:rPr>
                                <w:rFonts w:eastAsia="方正小标宋_GBK"/>
                                <w:bCs/>
                                <w:color w:val="FF0000"/>
                                <w:w w:val="80"/>
                                <w:kern w:val="0"/>
                                <w:sz w:val="52"/>
                                <w:szCs w:val="52"/>
                              </w:rPr>
                            </w:pPr>
                            <w:r>
                              <w:rPr>
                                <w:rFonts w:hint="eastAsia" w:eastAsia="方正小标宋_GBK"/>
                                <w:bCs/>
                                <w:color w:val="FF0000"/>
                                <w:w w:val="80"/>
                                <w:kern w:val="0"/>
                                <w:sz w:val="52"/>
                                <w:szCs w:val="52"/>
                              </w:rPr>
                              <w:t>重庆市卫生健康委员会</w:t>
                            </w:r>
                          </w:p>
                          <w:p>
                            <w:pPr>
                              <w:pStyle w:val="6"/>
                              <w:snapToGrid/>
                              <w:spacing w:line="640" w:lineRule="exact"/>
                              <w:jc w:val="distribute"/>
                              <w:rPr>
                                <w:rFonts w:eastAsia="方正小标宋_GBK"/>
                                <w:bCs/>
                                <w:color w:val="FF0000"/>
                                <w:w w:val="80"/>
                                <w:kern w:val="0"/>
                                <w:sz w:val="52"/>
                                <w:szCs w:val="52"/>
                              </w:rPr>
                            </w:pPr>
                            <w:r>
                              <w:rPr>
                                <w:rFonts w:hint="eastAsia" w:eastAsia="方正小标宋_GBK"/>
                                <w:bCs/>
                                <w:color w:val="FF0000"/>
                                <w:w w:val="80"/>
                                <w:kern w:val="0"/>
                                <w:sz w:val="52"/>
                                <w:szCs w:val="52"/>
                              </w:rPr>
                              <w:t>国家税务总局重庆市税务局</w:t>
                            </w:r>
                          </w:p>
                          <w:p>
                            <w:pPr>
                              <w:pStyle w:val="6"/>
                              <w:snapToGrid/>
                              <w:spacing w:line="640" w:lineRule="exact"/>
                              <w:jc w:val="distribute"/>
                              <w:rPr>
                                <w:rFonts w:eastAsia="方正小标宋_GBK"/>
                                <w:bCs/>
                                <w:color w:val="FF0000"/>
                                <w:w w:val="80"/>
                                <w:kern w:val="0"/>
                                <w:sz w:val="52"/>
                                <w:szCs w:val="52"/>
                              </w:rPr>
                            </w:pPr>
                            <w:r>
                              <w:rPr>
                                <w:rFonts w:hint="eastAsia" w:eastAsia="方正小标宋_GBK"/>
                                <w:bCs/>
                                <w:color w:val="FF0000"/>
                                <w:w w:val="80"/>
                                <w:kern w:val="0"/>
                                <w:sz w:val="52"/>
                                <w:szCs w:val="52"/>
                              </w:rPr>
                              <w:t>中国人民银行重庆营业管理部</w:t>
                            </w:r>
                          </w:p>
                          <w:p>
                            <w:pPr>
                              <w:pStyle w:val="6"/>
                              <w:snapToGrid/>
                              <w:spacing w:line="640" w:lineRule="exact"/>
                              <w:jc w:val="distribute"/>
                              <w:rPr>
                                <w:rFonts w:eastAsia="方正小标宋_GBK"/>
                                <w:bCs/>
                                <w:color w:val="FF0000"/>
                                <w:spacing w:val="-20"/>
                                <w:w w:val="80"/>
                                <w:kern w:val="0"/>
                                <w:sz w:val="52"/>
                                <w:szCs w:val="52"/>
                              </w:rPr>
                            </w:pPr>
                            <w:r>
                              <w:rPr>
                                <w:rFonts w:hint="eastAsia" w:eastAsia="方正小标宋_GBK"/>
                                <w:bCs/>
                                <w:color w:val="FF0000"/>
                                <w:spacing w:val="-20"/>
                                <w:w w:val="80"/>
                                <w:kern w:val="0"/>
                                <w:sz w:val="52"/>
                                <w:szCs w:val="52"/>
                              </w:rPr>
                              <w:t>中国银行保险监督管理委员会重庆监管局</w:t>
                            </w:r>
                          </w:p>
                          <w:p>
                            <w:pPr>
                              <w:pStyle w:val="6"/>
                              <w:snapToGrid/>
                              <w:spacing w:line="640" w:lineRule="exact"/>
                              <w:jc w:val="distribute"/>
                              <w:rPr>
                                <w:rFonts w:eastAsia="方正小标宋_GBK"/>
                                <w:bCs/>
                                <w:color w:val="FF0000"/>
                                <w:w w:val="80"/>
                                <w:kern w:val="0"/>
                                <w:sz w:val="52"/>
                                <w:szCs w:val="52"/>
                              </w:rPr>
                            </w:pPr>
                          </w:p>
                        </w:txbxContent>
                      </wps:txbx>
                      <wps:bodyPr upright="1"/>
                    </wps:wsp>
                  </a:graphicData>
                </a:graphic>
              </wp:anchor>
            </w:drawing>
          </mc:Choice>
          <mc:Fallback>
            <w:pict>
              <v:shape id="文本框 19" o:spid="_x0000_s1026" o:spt="202" type="#_x0000_t202" style="position:absolute;left:0pt;margin-left:8.8pt;margin-top:27.75pt;height:265.3pt;width:370.4pt;z-index:251660288;mso-width-relative:page;mso-height-relative:page;" filled="f" stroked="f" coordsize="21600,21600" o:gfxdata="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2oGKNUA&#10;AAAJAQAADwAAAAAAAAABACAAAAAiAAAAZHJzL2Rvd25yZXYueG1sUEsBAhQAFAAAAAgAh07iQAct&#10;+EqwAQAAUAMAAA4AAAAAAAAAAQAgAAAAJAEAAGRycy9lMm9Eb2MueG1sUEsFBgAAAAAGAAYAWQEA&#10;AEYFAAAAAA==&#10;">
                <v:fill on="f" focussize="0,0"/>
                <v:stroke on="f"/>
                <v:imagedata o:title=""/>
                <o:lock v:ext="edit" aspectratio="f"/>
                <v:textbox>
                  <w:txbxContent>
                    <w:p>
                      <w:pPr>
                        <w:spacing w:line="640" w:lineRule="exact"/>
                        <w:jc w:val="distribute"/>
                        <w:rPr>
                          <w:rFonts w:eastAsia="方正小标宋_GBK"/>
                          <w:bCs/>
                          <w:color w:val="FF0000"/>
                          <w:spacing w:val="23"/>
                          <w:w w:val="80"/>
                          <w:kern w:val="0"/>
                          <w:sz w:val="72"/>
                          <w:szCs w:val="72"/>
                        </w:rPr>
                      </w:pPr>
                      <w:r>
                        <w:rPr>
                          <w:rFonts w:hint="eastAsia" w:eastAsia="方正小标宋_GBK"/>
                          <w:bCs/>
                          <w:color w:val="FF0000"/>
                          <w:w w:val="80"/>
                          <w:kern w:val="0"/>
                          <w:sz w:val="52"/>
                          <w:szCs w:val="52"/>
                        </w:rPr>
                        <w:t>重庆市市场监督管理局</w:t>
                      </w:r>
                    </w:p>
                    <w:p>
                      <w:pPr>
                        <w:pStyle w:val="6"/>
                        <w:snapToGrid/>
                        <w:spacing w:line="640" w:lineRule="exact"/>
                        <w:jc w:val="distribute"/>
                        <w:rPr>
                          <w:rFonts w:eastAsia="方正小标宋_GBK"/>
                          <w:bCs/>
                          <w:color w:val="FF0000"/>
                          <w:w w:val="80"/>
                          <w:kern w:val="0"/>
                          <w:sz w:val="52"/>
                          <w:szCs w:val="52"/>
                        </w:rPr>
                      </w:pPr>
                      <w:r>
                        <w:rPr>
                          <w:rFonts w:hint="eastAsia" w:eastAsia="方正小标宋_GBK"/>
                          <w:bCs/>
                          <w:color w:val="FF0000"/>
                          <w:w w:val="80"/>
                          <w:kern w:val="0"/>
                          <w:sz w:val="52"/>
                          <w:szCs w:val="52"/>
                        </w:rPr>
                        <w:t>重庆市公安局</w:t>
                      </w:r>
                    </w:p>
                    <w:p>
                      <w:pPr>
                        <w:pStyle w:val="6"/>
                        <w:snapToGrid/>
                        <w:spacing w:line="640" w:lineRule="exact"/>
                        <w:jc w:val="distribute"/>
                        <w:rPr>
                          <w:rFonts w:eastAsia="方正小标宋_GBK"/>
                          <w:bCs/>
                          <w:color w:val="FF0000"/>
                          <w:w w:val="80"/>
                          <w:kern w:val="0"/>
                          <w:sz w:val="52"/>
                          <w:szCs w:val="52"/>
                        </w:rPr>
                      </w:pPr>
                      <w:r>
                        <w:rPr>
                          <w:rFonts w:hint="eastAsia" w:eastAsia="方正小标宋_GBK"/>
                          <w:bCs/>
                          <w:color w:val="FF0000"/>
                          <w:w w:val="80"/>
                          <w:kern w:val="0"/>
                          <w:sz w:val="52"/>
                          <w:szCs w:val="52"/>
                        </w:rPr>
                        <w:t>重庆市人力资源和社会保障局</w:t>
                      </w:r>
                    </w:p>
                    <w:p>
                      <w:pPr>
                        <w:pStyle w:val="6"/>
                        <w:snapToGrid/>
                        <w:spacing w:line="640" w:lineRule="exact"/>
                        <w:jc w:val="distribute"/>
                        <w:rPr>
                          <w:rFonts w:eastAsia="方正小标宋_GBK"/>
                          <w:bCs/>
                          <w:color w:val="FF0000"/>
                          <w:w w:val="80"/>
                          <w:kern w:val="0"/>
                          <w:sz w:val="52"/>
                          <w:szCs w:val="52"/>
                        </w:rPr>
                      </w:pPr>
                      <w:r>
                        <w:rPr>
                          <w:rFonts w:hint="eastAsia" w:eastAsia="方正小标宋_GBK"/>
                          <w:bCs/>
                          <w:color w:val="FF0000"/>
                          <w:w w:val="80"/>
                          <w:kern w:val="0"/>
                          <w:sz w:val="52"/>
                          <w:szCs w:val="52"/>
                        </w:rPr>
                        <w:t>重庆市农业农村委员会</w:t>
                      </w:r>
                    </w:p>
                    <w:p>
                      <w:pPr>
                        <w:pStyle w:val="6"/>
                        <w:snapToGrid/>
                        <w:spacing w:line="640" w:lineRule="exact"/>
                        <w:jc w:val="distribute"/>
                        <w:rPr>
                          <w:rFonts w:eastAsia="方正小标宋_GBK"/>
                          <w:bCs/>
                          <w:color w:val="FF0000"/>
                          <w:w w:val="80"/>
                          <w:kern w:val="0"/>
                          <w:sz w:val="52"/>
                          <w:szCs w:val="52"/>
                        </w:rPr>
                      </w:pPr>
                      <w:r>
                        <w:rPr>
                          <w:rFonts w:hint="eastAsia" w:eastAsia="方正小标宋_GBK"/>
                          <w:bCs/>
                          <w:color w:val="FF0000"/>
                          <w:w w:val="80"/>
                          <w:kern w:val="0"/>
                          <w:sz w:val="52"/>
                          <w:szCs w:val="52"/>
                        </w:rPr>
                        <w:t>重庆市卫生健康委员会</w:t>
                      </w:r>
                    </w:p>
                    <w:p>
                      <w:pPr>
                        <w:pStyle w:val="6"/>
                        <w:snapToGrid/>
                        <w:spacing w:line="640" w:lineRule="exact"/>
                        <w:jc w:val="distribute"/>
                        <w:rPr>
                          <w:rFonts w:eastAsia="方正小标宋_GBK"/>
                          <w:bCs/>
                          <w:color w:val="FF0000"/>
                          <w:w w:val="80"/>
                          <w:kern w:val="0"/>
                          <w:sz w:val="52"/>
                          <w:szCs w:val="52"/>
                        </w:rPr>
                      </w:pPr>
                      <w:r>
                        <w:rPr>
                          <w:rFonts w:hint="eastAsia" w:eastAsia="方正小标宋_GBK"/>
                          <w:bCs/>
                          <w:color w:val="FF0000"/>
                          <w:w w:val="80"/>
                          <w:kern w:val="0"/>
                          <w:sz w:val="52"/>
                          <w:szCs w:val="52"/>
                        </w:rPr>
                        <w:t>国家税务总局重庆市税务局</w:t>
                      </w:r>
                    </w:p>
                    <w:p>
                      <w:pPr>
                        <w:pStyle w:val="6"/>
                        <w:snapToGrid/>
                        <w:spacing w:line="640" w:lineRule="exact"/>
                        <w:jc w:val="distribute"/>
                        <w:rPr>
                          <w:rFonts w:eastAsia="方正小标宋_GBK"/>
                          <w:bCs/>
                          <w:color w:val="FF0000"/>
                          <w:w w:val="80"/>
                          <w:kern w:val="0"/>
                          <w:sz w:val="52"/>
                          <w:szCs w:val="52"/>
                        </w:rPr>
                      </w:pPr>
                      <w:r>
                        <w:rPr>
                          <w:rFonts w:hint="eastAsia" w:eastAsia="方正小标宋_GBK"/>
                          <w:bCs/>
                          <w:color w:val="FF0000"/>
                          <w:w w:val="80"/>
                          <w:kern w:val="0"/>
                          <w:sz w:val="52"/>
                          <w:szCs w:val="52"/>
                        </w:rPr>
                        <w:t>中国人民银行重庆营业管理部</w:t>
                      </w:r>
                    </w:p>
                    <w:p>
                      <w:pPr>
                        <w:pStyle w:val="6"/>
                        <w:snapToGrid/>
                        <w:spacing w:line="640" w:lineRule="exact"/>
                        <w:jc w:val="distribute"/>
                        <w:rPr>
                          <w:rFonts w:eastAsia="方正小标宋_GBK"/>
                          <w:bCs/>
                          <w:color w:val="FF0000"/>
                          <w:spacing w:val="-20"/>
                          <w:w w:val="80"/>
                          <w:kern w:val="0"/>
                          <w:sz w:val="52"/>
                          <w:szCs w:val="52"/>
                        </w:rPr>
                      </w:pPr>
                      <w:r>
                        <w:rPr>
                          <w:rFonts w:hint="eastAsia" w:eastAsia="方正小标宋_GBK"/>
                          <w:bCs/>
                          <w:color w:val="FF0000"/>
                          <w:spacing w:val="-20"/>
                          <w:w w:val="80"/>
                          <w:kern w:val="0"/>
                          <w:sz w:val="52"/>
                          <w:szCs w:val="52"/>
                        </w:rPr>
                        <w:t>中国银行保险监督管理委员会重庆监管局</w:t>
                      </w:r>
                    </w:p>
                    <w:p>
                      <w:pPr>
                        <w:pStyle w:val="6"/>
                        <w:snapToGrid/>
                        <w:spacing w:line="640" w:lineRule="exact"/>
                        <w:jc w:val="distribute"/>
                        <w:rPr>
                          <w:rFonts w:eastAsia="方正小标宋_GBK"/>
                          <w:bCs/>
                          <w:color w:val="FF0000"/>
                          <w:w w:val="80"/>
                          <w:kern w:val="0"/>
                          <w:sz w:val="52"/>
                          <w:szCs w:val="52"/>
                        </w:rPr>
                      </w:pPr>
                    </w:p>
                  </w:txbxContent>
                </v:textbox>
              </v:shape>
            </w:pict>
          </mc:Fallback>
        </mc:AlternateContent>
      </w:r>
    </w:p>
    <w:p>
      <w:pPr>
        <w:overflowPunct w:val="0"/>
      </w:pPr>
    </w:p>
    <w:p>
      <w:pPr>
        <w:overflowPunct w:val="0"/>
      </w:pPr>
    </w:p>
    <w:p>
      <w:pPr>
        <w:overflowPunct w:val="0"/>
        <w:adjustRightInd w:val="0"/>
        <w:snapToGrid w:val="0"/>
        <w:spacing w:line="600" w:lineRule="exact"/>
        <w:jc w:val="center"/>
        <w:rPr>
          <w:b/>
          <w:w w:val="60"/>
          <w:sz w:val="106"/>
          <w:szCs w:val="106"/>
        </w:rPr>
      </w:pPr>
      <w:r>
        <w:rPr>
          <w:rFonts w:ascii="Times New Roman" w:hAnsi="Times New Roman" w:eastAsia="方正仿宋_GBK" w:cs="Times New Roman"/>
          <w:kern w:val="2"/>
          <w:sz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4715510</wp:posOffset>
                </wp:positionH>
                <wp:positionV relativeFrom="paragraph">
                  <wp:posOffset>321945</wp:posOffset>
                </wp:positionV>
                <wp:extent cx="1205230" cy="1052830"/>
                <wp:effectExtent l="0" t="0" r="0" b="0"/>
                <wp:wrapSquare wrapText="bothSides"/>
                <wp:docPr id="3" name="文本框 20"/>
                <wp:cNvGraphicFramePr/>
                <a:graphic xmlns:a="http://schemas.openxmlformats.org/drawingml/2006/main">
                  <a:graphicData uri="http://schemas.microsoft.com/office/word/2010/wordprocessingShape">
                    <wps:wsp>
                      <wps:cNvSpPr txBox="1"/>
                      <wps:spPr>
                        <a:xfrm>
                          <a:off x="0" y="0"/>
                          <a:ext cx="1205230" cy="1052830"/>
                        </a:xfrm>
                        <a:prstGeom prst="rect">
                          <a:avLst/>
                        </a:prstGeom>
                        <a:noFill/>
                        <a:ln>
                          <a:noFill/>
                        </a:ln>
                      </wps:spPr>
                      <wps:txbx>
                        <w:txbxContent>
                          <w:p>
                            <w:pPr>
                              <w:rPr>
                                <w:sz w:val="110"/>
                                <w:szCs w:val="110"/>
                              </w:rPr>
                            </w:pPr>
                            <w:r>
                              <w:rPr>
                                <w:rFonts w:hAnsi="方正小标宋_GBK" w:eastAsia="方正小标宋_GBK"/>
                                <w:color w:val="FF0000"/>
                                <w:w w:val="80"/>
                                <w:sz w:val="90"/>
                                <w:szCs w:val="90"/>
                              </w:rPr>
                              <w:t>文件</w:t>
                            </w:r>
                          </w:p>
                        </w:txbxContent>
                      </wps:txbx>
                      <wps:bodyPr upright="1"/>
                    </wps:wsp>
                  </a:graphicData>
                </a:graphic>
              </wp:anchor>
            </w:drawing>
          </mc:Choice>
          <mc:Fallback>
            <w:pict>
              <v:shape id="文本框 20" o:spid="_x0000_s1026" o:spt="202" type="#_x0000_t202" style="position:absolute;left:0pt;margin-left:371.3pt;margin-top:25.35pt;height:82.9pt;width:94.9pt;mso-wrap-distance-bottom:0pt;mso-wrap-distance-left:9pt;mso-wrap-distance-right:9pt;mso-wrap-distance-top:0pt;z-index:251661312;mso-width-relative:page;mso-height-relative:page;" filled="f" stroked="f" coordsize="21600,21600" o:gfxdata="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67IZdgAAAAK&#10;AQAADwAAAAAAAAABACAAAAAiAAAAZHJzL2Rvd25yZXYueG1sUEsBAhQAFAAAAAgAh07iQOYMdQuq&#10;AQAAUAMAAA4AAAAAAAAAAQAgAAAAJwEAAGRycy9lMm9Eb2MueG1sUEsFBgAAAAAGAAYAWQEAAEMF&#10;AAAAAA==&#10;">
                <v:fill on="f" focussize="0,0"/>
                <v:stroke on="f"/>
                <v:imagedata o:title=""/>
                <o:lock v:ext="edit" aspectratio="f"/>
                <v:textbox>
                  <w:txbxContent>
                    <w:p>
                      <w:pPr>
                        <w:rPr>
                          <w:sz w:val="110"/>
                          <w:szCs w:val="110"/>
                        </w:rPr>
                      </w:pPr>
                      <w:r>
                        <w:rPr>
                          <w:rFonts w:hAnsi="方正小标宋_GBK" w:eastAsia="方正小标宋_GBK"/>
                          <w:color w:val="FF0000"/>
                          <w:w w:val="80"/>
                          <w:sz w:val="90"/>
                          <w:szCs w:val="90"/>
                        </w:rPr>
                        <w:t>文件</w:t>
                      </w:r>
                    </w:p>
                  </w:txbxContent>
                </v:textbox>
                <w10:wrap type="square"/>
              </v:shape>
            </w:pict>
          </mc:Fallback>
        </mc:AlternateContent>
      </w:r>
    </w:p>
    <w:p>
      <w:pPr>
        <w:overflowPunct w:val="0"/>
      </w:pPr>
    </w:p>
    <w:p>
      <w:pPr>
        <w:overflowPunct w:val="0"/>
        <w:rPr>
          <w:szCs w:val="32"/>
        </w:rPr>
      </w:pPr>
    </w:p>
    <w:p>
      <w:pPr>
        <w:overflowPunct w:val="0"/>
        <w:rPr>
          <w:szCs w:val="32"/>
        </w:rPr>
      </w:pPr>
    </w:p>
    <w:p>
      <w:pPr>
        <w:overflowPunct w:val="0"/>
        <w:rPr>
          <w:szCs w:val="32"/>
        </w:rPr>
      </w:pPr>
    </w:p>
    <w:p>
      <w:pPr>
        <w:overflowPunct w:val="0"/>
        <w:jc w:val="center"/>
        <w:rPr>
          <w:szCs w:val="32"/>
        </w:rPr>
      </w:pPr>
    </w:p>
    <w:p>
      <w:pPr>
        <w:pStyle w:val="6"/>
        <w:overflowPunct w:val="0"/>
        <w:rPr>
          <w:sz w:val="32"/>
          <w:szCs w:val="32"/>
        </w:rPr>
      </w:pPr>
    </w:p>
    <w:p>
      <w:pPr>
        <w:pStyle w:val="6"/>
        <w:overflowPunct w:val="0"/>
        <w:rPr>
          <w:sz w:val="32"/>
          <w:szCs w:val="32"/>
        </w:rPr>
      </w:pPr>
    </w:p>
    <w:p>
      <w:pPr>
        <w:overflowPunct w:val="0"/>
        <w:jc w:val="center"/>
        <w:rPr>
          <w:szCs w:val="32"/>
        </w:rPr>
      </w:pPr>
    </w:p>
    <w:p>
      <w:pPr>
        <w:overflowPunct w:val="0"/>
        <w:jc w:val="center"/>
      </w:pPr>
      <w:r>
        <w:rPr>
          <w:rFonts w:ascii="Times New Roman" w:hAnsi="Times New Roman" w:eastAsia="方正仿宋_GBK" w:cs="Times New Roman"/>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4495800</wp:posOffset>
                </wp:positionV>
                <wp:extent cx="5615940" cy="635"/>
                <wp:effectExtent l="0" t="0" r="0" b="0"/>
                <wp:wrapNone/>
                <wp:docPr id="1" name="直线 3"/>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6.55pt;margin-top:354pt;height:0.05pt;width:442.2pt;mso-position-horizontal-relative:page;mso-position-vertical-relative:margin;z-index:251659264;mso-width-relative:page;mso-height-relative:page;" filled="f" stroked="t" coordsize="21600,21600" o:gfxdata="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10;BQCk2AAAAAwBAAAPAAAAAAAAAAEAIAAAACIAAABkcnMvZG93bnJldi54bWxQSwECFAAUAAAACACH&#10;TuJAkmQkM+sBAADdAwAADgAAAAAAAAABACAAAAAnAQAAZHJzL2Uyb0RvYy54bWxQSwUGAAAAAAYA&#10;BgBZAQAAhAUAAAAA&#10;">
                <v:fill on="f" focussize="0,0"/>
                <v:stroke color="#FF0000" joinstyle="round"/>
                <v:imagedata o:title=""/>
                <o:lock v:ext="edit" aspectratio="f"/>
              </v:line>
            </w:pict>
          </mc:Fallback>
        </mc:AlternateContent>
      </w:r>
      <w:r>
        <w:rPr>
          <w:szCs w:val="32"/>
        </w:rPr>
        <w:t>渝市监发</w:t>
      </w:r>
      <w:r>
        <w:rPr>
          <w:color w:val="000000"/>
          <w:szCs w:val="32"/>
        </w:rPr>
        <w:t>〔2023〕3</w:t>
      </w:r>
      <w:r>
        <w:rPr>
          <w:rFonts w:hint="eastAsia"/>
          <w:color w:val="000000"/>
          <w:szCs w:val="32"/>
        </w:rPr>
        <w:t>5</w:t>
      </w:r>
      <w:r>
        <w:rPr>
          <w:color w:val="000000"/>
          <w:szCs w:val="32"/>
        </w:rPr>
        <w:t>号</w:t>
      </w:r>
    </w:p>
    <w:p>
      <w:pPr>
        <w:pStyle w:val="4"/>
        <w:overflowPunct w:val="0"/>
        <w:rPr>
          <w:rFonts w:ascii="Times New Roman"/>
          <w:sz w:val="32"/>
          <w:szCs w:val="32"/>
        </w:rPr>
      </w:pPr>
      <w:bookmarkStart w:id="0" w:name="zw"/>
      <w:bookmarkEnd w:id="0"/>
    </w:p>
    <w:p>
      <w:pPr>
        <w:overflowPunct w:val="0"/>
        <w:adjustRightInd w:val="0"/>
        <w:snapToGrid w:val="0"/>
        <w:spacing w:line="720" w:lineRule="atLeast"/>
        <w:jc w:val="center"/>
        <w:rPr>
          <w:rFonts w:eastAsia="方正小标宋_GBK"/>
          <w:sz w:val="44"/>
          <w:szCs w:val="44"/>
        </w:rPr>
      </w:pPr>
      <w:r>
        <w:rPr>
          <w:rFonts w:hint="eastAsia" w:eastAsia="方正小标宋_GBK"/>
          <w:sz w:val="44"/>
          <w:szCs w:val="44"/>
        </w:rPr>
        <w:t>重庆市市场监督管理局等8部门</w:t>
      </w:r>
    </w:p>
    <w:p>
      <w:pPr>
        <w:overflowPunct w:val="0"/>
        <w:adjustRightInd w:val="0"/>
        <w:snapToGrid w:val="0"/>
        <w:spacing w:line="720" w:lineRule="atLeast"/>
        <w:jc w:val="center"/>
        <w:rPr>
          <w:rFonts w:eastAsia="方正小标宋_GBK"/>
          <w:sz w:val="44"/>
          <w:szCs w:val="44"/>
        </w:rPr>
      </w:pPr>
      <w:r>
        <w:rPr>
          <w:rFonts w:hint="eastAsia" w:eastAsia="方正小标宋_GBK"/>
          <w:spacing w:val="-11"/>
          <w:sz w:val="44"/>
          <w:szCs w:val="44"/>
        </w:rPr>
        <w:t>关于印</w:t>
      </w:r>
      <w:r>
        <w:rPr>
          <w:rFonts w:hint="eastAsia" w:eastAsia="方正小标宋_GBK" w:cs="方正小标宋_GBK"/>
          <w:spacing w:val="-11"/>
          <w:sz w:val="44"/>
          <w:szCs w:val="44"/>
        </w:rPr>
        <w:t>发重庆市“个转企”工作</w:t>
      </w:r>
      <w:r>
        <w:rPr>
          <w:rFonts w:hint="eastAsia" w:eastAsia="方正小标宋_GBK"/>
          <w:spacing w:val="-11"/>
          <w:sz w:val="44"/>
          <w:szCs w:val="44"/>
        </w:rPr>
        <w:t>实施方案的</w:t>
      </w:r>
      <w:r>
        <w:rPr>
          <w:rFonts w:hint="eastAsia" w:eastAsia="方正小标宋_GBK"/>
          <w:sz w:val="44"/>
          <w:szCs w:val="44"/>
        </w:rPr>
        <w:t>通知</w:t>
      </w:r>
    </w:p>
    <w:p>
      <w:pPr>
        <w:kinsoku w:val="0"/>
        <w:overflowPunct w:val="0"/>
        <w:autoSpaceDE w:val="0"/>
        <w:autoSpaceDN w:val="0"/>
        <w:rPr>
          <w:bCs/>
          <w:snapToGrid w:val="0"/>
          <w:kern w:val="0"/>
          <w:szCs w:val="32"/>
        </w:rPr>
      </w:pPr>
    </w:p>
    <w:p>
      <w:pPr>
        <w:overflowPunct w:val="0"/>
        <w:adjustRightInd w:val="0"/>
        <w:rPr>
          <w:szCs w:val="32"/>
        </w:rPr>
      </w:pPr>
      <w:r>
        <w:rPr>
          <w:rFonts w:hint="eastAsia"/>
          <w:szCs w:val="32"/>
        </w:rPr>
        <w:t>各区县（自治县）市场监管、公安、人力社保、农业农村、卫生健康、税务部门，人民</w:t>
      </w:r>
      <w:r>
        <w:rPr>
          <w:szCs w:val="32"/>
        </w:rPr>
        <w:t>银行各中心支行</w:t>
      </w:r>
      <w:r>
        <w:rPr>
          <w:rFonts w:hint="eastAsia"/>
          <w:szCs w:val="32"/>
        </w:rPr>
        <w:t>、南川</w:t>
      </w:r>
      <w:r>
        <w:rPr>
          <w:szCs w:val="32"/>
        </w:rPr>
        <w:t>支行</w:t>
      </w:r>
      <w:r>
        <w:rPr>
          <w:rFonts w:hint="eastAsia"/>
          <w:szCs w:val="32"/>
        </w:rPr>
        <w:t>，</w:t>
      </w:r>
      <w:r>
        <w:rPr>
          <w:szCs w:val="32"/>
        </w:rPr>
        <w:t>各支行</w:t>
      </w:r>
      <w:r>
        <w:rPr>
          <w:rFonts w:hint="eastAsia"/>
          <w:szCs w:val="32"/>
        </w:rPr>
        <w:t>，</w:t>
      </w:r>
      <w:r>
        <w:rPr>
          <w:szCs w:val="32"/>
        </w:rPr>
        <w:t>各</w:t>
      </w:r>
      <w:r>
        <w:rPr>
          <w:rFonts w:hint="eastAsia"/>
          <w:szCs w:val="32"/>
        </w:rPr>
        <w:t>银保监分局，市级有关部门：</w:t>
      </w:r>
    </w:p>
    <w:p>
      <w:pPr>
        <w:kinsoku w:val="0"/>
        <w:overflowPunct w:val="0"/>
        <w:autoSpaceDE w:val="0"/>
        <w:autoSpaceDN w:val="0"/>
        <w:adjustRightInd w:val="0"/>
        <w:ind w:firstLine="632" w:firstLineChars="200"/>
        <w:rPr>
          <w:szCs w:val="32"/>
        </w:rPr>
      </w:pPr>
      <w:r>
        <w:rPr>
          <w:rFonts w:hint="eastAsia"/>
          <w:szCs w:val="32"/>
        </w:rPr>
        <w:t>依据《促进个体工商户发展条例》，按照市委市政府关于支持个体工商户发展的工作部署，重庆市市场监督管理局等</w:t>
      </w:r>
      <w:r>
        <w:rPr>
          <w:szCs w:val="32"/>
        </w:rPr>
        <w:t>8</w:t>
      </w:r>
      <w:r>
        <w:rPr>
          <w:rFonts w:hint="eastAsia"/>
          <w:szCs w:val="32"/>
        </w:rPr>
        <w:t>部门联合制定《重庆市“个转企”工作实施方案》，现印发给你们，请认真贯彻执行。</w:t>
      </w:r>
    </w:p>
    <w:p>
      <w:pPr>
        <w:tabs>
          <w:tab w:val="left" w:pos="5895"/>
        </w:tabs>
        <w:overflowPunct w:val="0"/>
        <w:ind w:right="575" w:rightChars="182" w:firstLine="3198" w:firstLineChars="1012"/>
        <w:rPr>
          <w:bCs/>
          <w:snapToGrid w:val="0"/>
          <w:kern w:val="0"/>
          <w:szCs w:val="32"/>
        </w:rPr>
      </w:pPr>
    </w:p>
    <w:p>
      <w:pPr>
        <w:tabs>
          <w:tab w:val="left" w:pos="5895"/>
        </w:tabs>
        <w:overflowPunct w:val="0"/>
        <w:ind w:right="575" w:rightChars="182" w:firstLine="3198" w:firstLineChars="1012"/>
        <w:jc w:val="distribute"/>
        <w:rPr>
          <w:bCs/>
          <w:snapToGrid w:val="0"/>
          <w:kern w:val="0"/>
          <w:szCs w:val="32"/>
        </w:rPr>
      </w:pPr>
      <w:r>
        <w:rPr>
          <w:rFonts w:hint="eastAsia"/>
          <w:bCs/>
          <w:snapToGrid w:val="0"/>
          <w:kern w:val="0"/>
          <w:szCs w:val="32"/>
        </w:rPr>
        <w:t>重庆市市场监督管理局</w:t>
      </w:r>
    </w:p>
    <w:p>
      <w:pPr>
        <w:tabs>
          <w:tab w:val="left" w:pos="5895"/>
        </w:tabs>
        <w:overflowPunct w:val="0"/>
        <w:ind w:right="575" w:rightChars="182" w:firstLine="3198" w:firstLineChars="1012"/>
        <w:jc w:val="distribute"/>
        <w:rPr>
          <w:bCs/>
          <w:snapToGrid w:val="0"/>
          <w:kern w:val="0"/>
          <w:szCs w:val="32"/>
        </w:rPr>
      </w:pPr>
      <w:r>
        <w:rPr>
          <w:rFonts w:hint="eastAsia"/>
          <w:bCs/>
          <w:snapToGrid w:val="0"/>
          <w:kern w:val="0"/>
          <w:szCs w:val="32"/>
        </w:rPr>
        <w:t>重庆市公安局</w:t>
      </w:r>
    </w:p>
    <w:p>
      <w:pPr>
        <w:tabs>
          <w:tab w:val="left" w:pos="5895"/>
        </w:tabs>
        <w:overflowPunct w:val="0"/>
        <w:ind w:right="575" w:rightChars="182" w:firstLine="3198" w:firstLineChars="1012"/>
        <w:jc w:val="distribute"/>
        <w:rPr>
          <w:bCs/>
          <w:snapToGrid w:val="0"/>
          <w:kern w:val="0"/>
          <w:szCs w:val="32"/>
        </w:rPr>
      </w:pPr>
      <w:r>
        <w:rPr>
          <w:rFonts w:hint="eastAsia"/>
          <w:bCs/>
          <w:snapToGrid w:val="0"/>
          <w:kern w:val="0"/>
          <w:szCs w:val="32"/>
        </w:rPr>
        <w:t>重庆市人力资源和社会保障局</w:t>
      </w:r>
    </w:p>
    <w:p>
      <w:pPr>
        <w:tabs>
          <w:tab w:val="left" w:pos="5895"/>
        </w:tabs>
        <w:overflowPunct w:val="0"/>
        <w:ind w:right="575" w:rightChars="182" w:firstLine="3198" w:firstLineChars="1012"/>
        <w:jc w:val="distribute"/>
        <w:rPr>
          <w:bCs/>
          <w:snapToGrid w:val="0"/>
          <w:kern w:val="0"/>
          <w:szCs w:val="32"/>
        </w:rPr>
      </w:pPr>
      <w:r>
        <w:rPr>
          <w:rFonts w:hint="eastAsia"/>
          <w:bCs/>
          <w:snapToGrid w:val="0"/>
          <w:kern w:val="0"/>
          <w:szCs w:val="32"/>
        </w:rPr>
        <w:t>重庆市农业农村委员会</w:t>
      </w:r>
    </w:p>
    <w:p>
      <w:pPr>
        <w:tabs>
          <w:tab w:val="left" w:pos="5895"/>
        </w:tabs>
        <w:overflowPunct w:val="0"/>
        <w:ind w:right="575" w:rightChars="182" w:firstLine="3198" w:firstLineChars="1012"/>
        <w:jc w:val="distribute"/>
        <w:rPr>
          <w:bCs/>
          <w:snapToGrid w:val="0"/>
          <w:kern w:val="0"/>
          <w:szCs w:val="32"/>
        </w:rPr>
      </w:pPr>
      <w:r>
        <w:rPr>
          <w:rFonts w:hint="eastAsia"/>
          <w:bCs/>
          <w:snapToGrid w:val="0"/>
          <w:kern w:val="0"/>
          <w:szCs w:val="32"/>
        </w:rPr>
        <w:t>重庆市卫生健康委员会</w:t>
      </w:r>
    </w:p>
    <w:p>
      <w:pPr>
        <w:tabs>
          <w:tab w:val="left" w:pos="5895"/>
        </w:tabs>
        <w:overflowPunct w:val="0"/>
        <w:ind w:right="575" w:rightChars="182" w:firstLine="3198" w:firstLineChars="1012"/>
        <w:jc w:val="distribute"/>
        <w:rPr>
          <w:bCs/>
          <w:snapToGrid w:val="0"/>
          <w:kern w:val="0"/>
          <w:szCs w:val="32"/>
        </w:rPr>
      </w:pPr>
      <w:r>
        <w:rPr>
          <w:rFonts w:hint="eastAsia"/>
          <w:bCs/>
          <w:snapToGrid w:val="0"/>
          <w:kern w:val="0"/>
          <w:szCs w:val="32"/>
        </w:rPr>
        <w:t>国家税务总局重庆市税务局</w:t>
      </w:r>
    </w:p>
    <w:p>
      <w:pPr>
        <w:tabs>
          <w:tab w:val="left" w:pos="5895"/>
        </w:tabs>
        <w:overflowPunct w:val="0"/>
        <w:ind w:right="575" w:rightChars="182" w:firstLine="3198" w:firstLineChars="1012"/>
        <w:jc w:val="distribute"/>
        <w:rPr>
          <w:bCs/>
          <w:snapToGrid w:val="0"/>
          <w:kern w:val="0"/>
          <w:szCs w:val="32"/>
        </w:rPr>
      </w:pPr>
      <w:r>
        <w:rPr>
          <w:rFonts w:hint="eastAsia"/>
          <w:bCs/>
          <w:snapToGrid w:val="0"/>
          <w:kern w:val="0"/>
          <w:szCs w:val="32"/>
        </w:rPr>
        <w:t>中国人民银行重庆营业管理部</w:t>
      </w:r>
    </w:p>
    <w:p>
      <w:pPr>
        <w:tabs>
          <w:tab w:val="left" w:pos="5895"/>
        </w:tabs>
        <w:overflowPunct w:val="0"/>
        <w:ind w:right="575" w:rightChars="182" w:firstLine="3186" w:firstLineChars="1350"/>
        <w:jc w:val="distribute"/>
        <w:rPr>
          <w:bCs/>
          <w:snapToGrid w:val="0"/>
          <w:spacing w:val="-40"/>
          <w:kern w:val="0"/>
          <w:szCs w:val="32"/>
        </w:rPr>
      </w:pPr>
      <w:r>
        <w:rPr>
          <w:rFonts w:hint="eastAsia"/>
          <w:bCs/>
          <w:snapToGrid w:val="0"/>
          <w:spacing w:val="-40"/>
          <w:kern w:val="0"/>
          <w:szCs w:val="32"/>
        </w:rPr>
        <w:t>中国银行保险监督管理委员会重庆监管局</w:t>
      </w:r>
    </w:p>
    <w:p>
      <w:pPr>
        <w:overflowPunct w:val="0"/>
        <w:adjustRightInd w:val="0"/>
        <w:jc w:val="center"/>
        <w:rPr>
          <w:szCs w:val="32"/>
        </w:rPr>
      </w:pPr>
      <w:r>
        <w:rPr>
          <w:rFonts w:hint="eastAsia"/>
          <w:szCs w:val="32"/>
        </w:rPr>
        <w:t xml:space="preserve">           </w:t>
      </w:r>
      <w:r>
        <w:rPr>
          <w:szCs w:val="32"/>
        </w:rPr>
        <w:t>2023</w:t>
      </w:r>
      <w:r>
        <w:rPr>
          <w:rFonts w:hint="eastAsia"/>
          <w:szCs w:val="32"/>
        </w:rPr>
        <w:t>年</w:t>
      </w:r>
      <w:r>
        <w:rPr>
          <w:szCs w:val="32"/>
        </w:rPr>
        <w:t>5</w:t>
      </w:r>
      <w:r>
        <w:rPr>
          <w:rFonts w:hint="eastAsia"/>
          <w:szCs w:val="32"/>
        </w:rPr>
        <w:t>月11日</w:t>
      </w:r>
    </w:p>
    <w:p>
      <w:pPr>
        <w:overflowPunct w:val="0"/>
        <w:jc w:val="left"/>
        <w:rPr>
          <w:rFonts w:eastAsia="方正小标宋_GBK"/>
          <w:szCs w:val="32"/>
        </w:rPr>
      </w:pPr>
      <w:r>
        <w:br w:type="page"/>
      </w:r>
    </w:p>
    <w:p>
      <w:pPr>
        <w:overflowPunct w:val="0"/>
        <w:adjustRightInd w:val="0"/>
        <w:snapToGrid w:val="0"/>
        <w:spacing w:line="720" w:lineRule="atLeast"/>
        <w:jc w:val="center"/>
        <w:rPr>
          <w:rFonts w:eastAsia="方正小标宋_GBK"/>
          <w:sz w:val="44"/>
          <w:szCs w:val="44"/>
        </w:rPr>
      </w:pPr>
      <w:r>
        <w:rPr>
          <w:rFonts w:hint="eastAsia" w:eastAsia="方正小标宋_GBK"/>
          <w:sz w:val="44"/>
          <w:szCs w:val="44"/>
        </w:rPr>
        <w:t>重庆市“个转企”工作实施方案</w:t>
      </w:r>
    </w:p>
    <w:p>
      <w:pPr>
        <w:overflowPunct w:val="0"/>
        <w:ind w:firstLine="632" w:firstLineChars="200"/>
        <w:rPr>
          <w:szCs w:val="32"/>
        </w:rPr>
      </w:pPr>
    </w:p>
    <w:p>
      <w:pPr>
        <w:overflowPunct w:val="0"/>
        <w:ind w:firstLine="632" w:firstLineChars="200"/>
        <w:rPr>
          <w:szCs w:val="32"/>
        </w:rPr>
      </w:pPr>
      <w:r>
        <w:rPr>
          <w:szCs w:val="32"/>
        </w:rPr>
        <w:t>为深入贯彻党中央、国务院关于扶持个体工商户发展的决策部署，落实《促进个体工商户发展条例》，促进个体工商户转型</w:t>
      </w:r>
      <w:r>
        <w:rPr>
          <w:rFonts w:hint="eastAsia"/>
          <w:szCs w:val="32"/>
        </w:rPr>
        <w:t>为企业</w:t>
      </w:r>
      <w:r>
        <w:rPr>
          <w:szCs w:val="32"/>
        </w:rPr>
        <w:t>（</w:t>
      </w:r>
      <w:r>
        <w:rPr>
          <w:rFonts w:hint="eastAsia"/>
          <w:szCs w:val="32"/>
        </w:rPr>
        <w:t>含</w:t>
      </w:r>
      <w:r>
        <w:rPr>
          <w:szCs w:val="32"/>
        </w:rPr>
        <w:t>公司、个人独资企业、</w:t>
      </w:r>
      <w:r>
        <w:rPr>
          <w:rFonts w:hint="eastAsia"/>
          <w:szCs w:val="32"/>
        </w:rPr>
        <w:t>合伙</w:t>
      </w:r>
      <w:r>
        <w:rPr>
          <w:szCs w:val="32"/>
        </w:rPr>
        <w:t>企业</w:t>
      </w:r>
      <w:r>
        <w:rPr>
          <w:rFonts w:hint="eastAsia"/>
          <w:szCs w:val="32"/>
        </w:rPr>
        <w:t>）</w:t>
      </w:r>
      <w:r>
        <w:rPr>
          <w:szCs w:val="32"/>
        </w:rPr>
        <w:t>（以下简称</w:t>
      </w:r>
      <w:r>
        <w:rPr>
          <w:rFonts w:hint="eastAsia"/>
          <w:szCs w:val="32"/>
        </w:rPr>
        <w:t>“</w:t>
      </w:r>
      <w:r>
        <w:rPr>
          <w:szCs w:val="32"/>
        </w:rPr>
        <w:t>个转企</w:t>
      </w:r>
      <w:r>
        <w:rPr>
          <w:rFonts w:hint="eastAsia"/>
          <w:szCs w:val="32"/>
        </w:rPr>
        <w:t>”</w:t>
      </w:r>
      <w:r>
        <w:rPr>
          <w:szCs w:val="32"/>
        </w:rPr>
        <w:t>），结合我市实际，制定本方案。</w:t>
      </w:r>
    </w:p>
    <w:p>
      <w:pPr>
        <w:overflowPunct w:val="0"/>
        <w:ind w:firstLine="632" w:firstLineChars="200"/>
        <w:rPr>
          <w:rFonts w:eastAsia="方正黑体_GBK"/>
          <w:szCs w:val="32"/>
        </w:rPr>
      </w:pPr>
      <w:r>
        <w:rPr>
          <w:rFonts w:eastAsia="方正黑体_GBK"/>
          <w:szCs w:val="32"/>
        </w:rPr>
        <w:t>一、总体要求</w:t>
      </w:r>
    </w:p>
    <w:p>
      <w:pPr>
        <w:overflowPunct w:val="0"/>
        <w:ind w:firstLine="632" w:firstLineChars="200"/>
        <w:rPr>
          <w:szCs w:val="32"/>
        </w:rPr>
      </w:pPr>
      <w:r>
        <w:rPr>
          <w:rFonts w:hint="eastAsia" w:eastAsia="方正楷体_GBK"/>
          <w:szCs w:val="32"/>
        </w:rPr>
        <w:t>（一）指导思想。</w:t>
      </w:r>
      <w:r>
        <w:rPr>
          <w:rFonts w:hint="eastAsia"/>
          <w:szCs w:val="32"/>
        </w:rPr>
        <w:t>以习近平新时代中国特色社会主义思想为指导，全面贯彻党的二十大精神，深入落实党中央国务院关于促进个体工商户发展的决策部署，以及市委市政府关于支持中小微企业和个体工商户发展，构建个体工商户分型分类培育政策体系的工作要求，</w:t>
      </w:r>
      <w:r>
        <w:rPr>
          <w:rFonts w:hint="eastAsia"/>
          <w:color w:val="000000"/>
          <w:szCs w:val="32"/>
        </w:rPr>
        <w:t>坚持“政策引导、主体自愿、分类指导、科学推进”的原则，</w:t>
      </w:r>
      <w:r>
        <w:rPr>
          <w:rFonts w:hint="eastAsia"/>
          <w:szCs w:val="32"/>
        </w:rPr>
        <w:t>通过改革创新破解制度性障碍、机制性梗阻和政策性堵点，畅通</w:t>
      </w:r>
      <w:r>
        <w:rPr>
          <w:szCs w:val="32"/>
        </w:rPr>
        <w:t>“</w:t>
      </w:r>
      <w:r>
        <w:rPr>
          <w:rFonts w:hint="eastAsia"/>
          <w:szCs w:val="32"/>
        </w:rPr>
        <w:t>个转企</w:t>
      </w:r>
      <w:r>
        <w:rPr>
          <w:szCs w:val="32"/>
        </w:rPr>
        <w:t>”</w:t>
      </w:r>
      <w:r>
        <w:rPr>
          <w:rFonts w:hint="eastAsia"/>
          <w:szCs w:val="32"/>
        </w:rPr>
        <w:t>各领域、各环节，</w:t>
      </w:r>
      <w:r>
        <w:rPr>
          <w:rFonts w:hint="eastAsia"/>
          <w:color w:val="000000"/>
          <w:szCs w:val="32"/>
        </w:rPr>
        <w:t>支持个体工商户转型升级，扩大经营规模、完善治理结构、提升市场竞争力</w:t>
      </w:r>
      <w:r>
        <w:rPr>
          <w:rFonts w:hint="eastAsia"/>
          <w:szCs w:val="32"/>
        </w:rPr>
        <w:t>，</w:t>
      </w:r>
      <w:r>
        <w:rPr>
          <w:rFonts w:hint="eastAsia"/>
          <w:color w:val="000000"/>
          <w:szCs w:val="32"/>
        </w:rPr>
        <w:t>促进市场主体高质量发展。</w:t>
      </w:r>
    </w:p>
    <w:p>
      <w:pPr>
        <w:overflowPunct w:val="0"/>
        <w:ind w:firstLine="632" w:firstLineChars="200"/>
        <w:rPr>
          <w:szCs w:val="32"/>
        </w:rPr>
      </w:pPr>
      <w:r>
        <w:rPr>
          <w:rFonts w:hint="eastAsia" w:eastAsia="方正楷体_GBK"/>
          <w:szCs w:val="32"/>
        </w:rPr>
        <w:t>（二）工作目标。</w:t>
      </w:r>
      <w:r>
        <w:rPr>
          <w:rFonts w:hint="eastAsia"/>
          <w:color w:val="000000"/>
          <w:szCs w:val="32"/>
        </w:rPr>
        <w:t>根据个体工商户行业特点、规模大小、转型意愿等，</w:t>
      </w:r>
      <w:r>
        <w:rPr>
          <w:rFonts w:hint="eastAsia"/>
          <w:szCs w:val="32"/>
        </w:rPr>
        <w:t>坚持问题导向、分工协作，</w:t>
      </w:r>
      <w:r>
        <w:rPr>
          <w:rFonts w:hint="eastAsia"/>
          <w:color w:val="000000"/>
          <w:szCs w:val="32"/>
        </w:rPr>
        <w:t>采取针对性措施，分类施策，有力有序推进。通过</w:t>
      </w:r>
      <w:r>
        <w:rPr>
          <w:rFonts w:hint="eastAsia"/>
          <w:szCs w:val="32"/>
        </w:rPr>
        <w:t>创新工作举措、加强部门协同，破解制度性障碍，着力解决“不能转”的问题；通过强化政策支持、优化服务供给，疏通政策性堵点，着力解决</w:t>
      </w:r>
      <w:r>
        <w:rPr>
          <w:szCs w:val="32"/>
        </w:rPr>
        <w:t>“</w:t>
      </w:r>
      <w:r>
        <w:rPr>
          <w:rFonts w:hint="eastAsia"/>
          <w:szCs w:val="32"/>
        </w:rPr>
        <w:t>不愿转</w:t>
      </w:r>
      <w:r>
        <w:rPr>
          <w:szCs w:val="32"/>
        </w:rPr>
        <w:t>”</w:t>
      </w:r>
      <w:r>
        <w:rPr>
          <w:rFonts w:hint="eastAsia"/>
          <w:szCs w:val="32"/>
        </w:rPr>
        <w:t>的问题；通过加大宣传力度、注重政策引导，建立转前、转中、转后服务机制，着力解决</w:t>
      </w:r>
      <w:r>
        <w:rPr>
          <w:szCs w:val="32"/>
        </w:rPr>
        <w:t>“</w:t>
      </w:r>
      <w:r>
        <w:rPr>
          <w:rFonts w:hint="eastAsia"/>
          <w:szCs w:val="32"/>
        </w:rPr>
        <w:t>不会转</w:t>
      </w:r>
      <w:r>
        <w:rPr>
          <w:szCs w:val="32"/>
        </w:rPr>
        <w:t>”</w:t>
      </w:r>
      <w:r>
        <w:rPr>
          <w:rFonts w:hint="eastAsia"/>
          <w:szCs w:val="32"/>
        </w:rPr>
        <w:t>的问题。充分尊重个体工商户意愿，大力激发</w:t>
      </w:r>
      <w:r>
        <w:rPr>
          <w:rFonts w:hint="eastAsia"/>
          <w:spacing w:val="-6"/>
          <w:szCs w:val="32"/>
        </w:rPr>
        <w:t>个体工商户内生动力，实现发展质量明显提高，主体结构更加优化</w:t>
      </w:r>
      <w:r>
        <w:rPr>
          <w:rFonts w:hint="eastAsia"/>
          <w:szCs w:val="32"/>
        </w:rPr>
        <w:t>。</w:t>
      </w:r>
    </w:p>
    <w:p>
      <w:pPr>
        <w:overflowPunct w:val="0"/>
        <w:ind w:firstLine="632" w:firstLineChars="200"/>
        <w:rPr>
          <w:rFonts w:eastAsia="方正黑体_GBK"/>
          <w:szCs w:val="32"/>
        </w:rPr>
      </w:pPr>
      <w:r>
        <w:rPr>
          <w:rFonts w:eastAsia="方正黑体_GBK"/>
          <w:szCs w:val="32"/>
        </w:rPr>
        <w:t>二、适用范围</w:t>
      </w:r>
    </w:p>
    <w:p>
      <w:pPr>
        <w:overflowPunct w:val="0"/>
        <w:ind w:firstLine="632" w:firstLineChars="200"/>
        <w:rPr>
          <w:szCs w:val="32"/>
        </w:rPr>
      </w:pPr>
      <w:r>
        <w:rPr>
          <w:rFonts w:hint="eastAsia"/>
          <w:szCs w:val="32"/>
        </w:rPr>
        <w:t>“个转企”适用范围为本市注册登记的个体工商户。重点对注册登记时间一年以上的下列类型进行培育：</w:t>
      </w:r>
    </w:p>
    <w:p>
      <w:pPr>
        <w:overflowPunct w:val="0"/>
        <w:ind w:firstLine="632" w:firstLineChars="200"/>
        <w:rPr>
          <w:szCs w:val="32"/>
        </w:rPr>
      </w:pPr>
      <w:r>
        <w:rPr>
          <w:rFonts w:hint="eastAsia"/>
          <w:szCs w:val="32"/>
        </w:rPr>
        <w:t>（一）按照国家统计局印发的《统计上大中小微型企业划分办</w:t>
      </w:r>
      <w:r>
        <w:rPr>
          <w:szCs w:val="32"/>
        </w:rPr>
        <w:t>法（2017）》，符合</w:t>
      </w:r>
      <w:r>
        <w:rPr>
          <w:rFonts w:hint="eastAsia"/>
          <w:szCs w:val="32"/>
        </w:rPr>
        <w:t>小微企业划分标准的个体工商户；</w:t>
      </w:r>
    </w:p>
    <w:p>
      <w:pPr>
        <w:overflowPunct w:val="0"/>
        <w:ind w:firstLine="632" w:firstLineChars="200"/>
        <w:rPr>
          <w:szCs w:val="32"/>
        </w:rPr>
      </w:pPr>
      <w:r>
        <w:rPr>
          <w:rFonts w:hint="eastAsia"/>
          <w:szCs w:val="32"/>
        </w:rPr>
        <w:t>（二）法律法规规定特定行业经营应具备企业组织形式，但目前未按相关要求登记的个体工商户；</w:t>
      </w:r>
    </w:p>
    <w:p>
      <w:pPr>
        <w:overflowPunct w:val="0"/>
        <w:ind w:firstLine="632" w:firstLineChars="200"/>
        <w:rPr>
          <w:szCs w:val="32"/>
        </w:rPr>
      </w:pPr>
      <w:r>
        <w:rPr>
          <w:rFonts w:hint="eastAsia"/>
          <w:szCs w:val="32"/>
        </w:rPr>
        <w:t>（三）在税务机关登记为一般纳税人的个体工商户；</w:t>
      </w:r>
    </w:p>
    <w:p>
      <w:pPr>
        <w:overflowPunct w:val="0"/>
        <w:ind w:firstLine="632" w:firstLineChars="200"/>
        <w:rPr>
          <w:szCs w:val="32"/>
        </w:rPr>
      </w:pPr>
      <w:r>
        <w:rPr>
          <w:rFonts w:hint="eastAsia"/>
          <w:szCs w:val="32"/>
        </w:rPr>
        <w:t>（四）其他有转型意愿的个体工商户。</w:t>
      </w:r>
    </w:p>
    <w:p>
      <w:pPr>
        <w:overflowPunct w:val="0"/>
        <w:ind w:firstLine="632" w:firstLineChars="200"/>
        <w:rPr>
          <w:szCs w:val="32"/>
        </w:rPr>
      </w:pPr>
      <w:r>
        <w:rPr>
          <w:rFonts w:hint="eastAsia"/>
          <w:szCs w:val="32"/>
        </w:rPr>
        <w:t>被标注为经营异常状态或被列入严重违法失信名单、失信被执行人名单库等情形的个体工商户，待上述情形消失后，再申请转型。</w:t>
      </w:r>
    </w:p>
    <w:p>
      <w:pPr>
        <w:overflowPunct w:val="0"/>
        <w:ind w:firstLine="632" w:firstLineChars="200"/>
        <w:rPr>
          <w:rFonts w:eastAsia="方正黑体_GBK"/>
          <w:szCs w:val="32"/>
        </w:rPr>
      </w:pPr>
      <w:r>
        <w:rPr>
          <w:rFonts w:hint="eastAsia" w:eastAsia="方正黑体_GBK"/>
          <w:szCs w:val="32"/>
        </w:rPr>
        <w:t>三、</w:t>
      </w:r>
      <w:r>
        <w:rPr>
          <w:rFonts w:eastAsia="方正黑体_GBK"/>
          <w:szCs w:val="32"/>
        </w:rPr>
        <w:t>办理流程</w:t>
      </w:r>
    </w:p>
    <w:p>
      <w:pPr>
        <w:overflowPunct w:val="0"/>
        <w:ind w:firstLine="632" w:firstLineChars="200"/>
        <w:rPr>
          <w:szCs w:val="32"/>
        </w:rPr>
      </w:pPr>
      <w:r>
        <w:rPr>
          <w:rFonts w:hint="eastAsia" w:eastAsia="方正楷体_GBK"/>
          <w:szCs w:val="32"/>
        </w:rPr>
        <w:t>（一）妥善处置债权债务。</w:t>
      </w:r>
      <w:r>
        <w:rPr>
          <w:szCs w:val="32"/>
        </w:rPr>
        <w:t>符合条件的个体工商户申请</w:t>
      </w:r>
      <w:r>
        <w:rPr>
          <w:rFonts w:hint="eastAsia"/>
          <w:szCs w:val="32"/>
        </w:rPr>
        <w:t>“</w:t>
      </w:r>
      <w:r>
        <w:rPr>
          <w:szCs w:val="32"/>
        </w:rPr>
        <w:t>个转企</w:t>
      </w:r>
      <w:r>
        <w:rPr>
          <w:rFonts w:hint="eastAsia"/>
          <w:szCs w:val="32"/>
        </w:rPr>
        <w:t>”</w:t>
      </w:r>
      <w:r>
        <w:rPr>
          <w:szCs w:val="32"/>
        </w:rPr>
        <w:t>，应当</w:t>
      </w:r>
      <w:r>
        <w:rPr>
          <w:rFonts w:hint="eastAsia"/>
          <w:szCs w:val="32"/>
        </w:rPr>
        <w:t>先</w:t>
      </w:r>
      <w:r>
        <w:rPr>
          <w:szCs w:val="32"/>
        </w:rPr>
        <w:t>结清依法应缴纳的税款，对原有债权债务作出妥善处理，不得损害他人的合法权益。</w:t>
      </w:r>
    </w:p>
    <w:p>
      <w:pPr>
        <w:overflowPunct w:val="0"/>
        <w:ind w:firstLine="632" w:firstLineChars="200"/>
        <w:rPr>
          <w:szCs w:val="32"/>
        </w:rPr>
      </w:pPr>
      <w:r>
        <w:rPr>
          <w:rFonts w:hint="eastAsia" w:eastAsia="方正楷体_GBK"/>
          <w:szCs w:val="32"/>
        </w:rPr>
        <w:t>（二）提出“个转企”申请。</w:t>
      </w:r>
      <w:r>
        <w:rPr>
          <w:rFonts w:hint="eastAsia"/>
          <w:szCs w:val="32"/>
        </w:rPr>
        <w:t>个体工商户经营者可通过线上平台或线下窗口向市场监管部门提交“个转企”申请。线上申请可登录“渝快办”，进入重庆市开办企业“一网通”或“</w:t>
      </w:r>
      <w:r>
        <w:rPr>
          <w:szCs w:val="32"/>
        </w:rPr>
        <w:t>E</w:t>
      </w:r>
      <w:r>
        <w:rPr>
          <w:rFonts w:hint="eastAsia"/>
          <w:szCs w:val="32"/>
        </w:rPr>
        <w:t>企办”，选择</w:t>
      </w:r>
      <w:r>
        <w:rPr>
          <w:szCs w:val="32"/>
        </w:rPr>
        <w:t xml:space="preserve"> “</w:t>
      </w:r>
      <w:r>
        <w:rPr>
          <w:rFonts w:hint="eastAsia"/>
          <w:szCs w:val="32"/>
        </w:rPr>
        <w:t>个转企”专区，按系统提示在线填报相关资料，提交</w:t>
      </w:r>
      <w:r>
        <w:rPr>
          <w:szCs w:val="32"/>
        </w:rPr>
        <w:t>“</w:t>
      </w:r>
      <w:r>
        <w:rPr>
          <w:rFonts w:hint="eastAsia"/>
          <w:szCs w:val="32"/>
        </w:rPr>
        <w:t>个转企</w:t>
      </w:r>
      <w:r>
        <w:rPr>
          <w:szCs w:val="32"/>
        </w:rPr>
        <w:t>”</w:t>
      </w:r>
      <w:r>
        <w:rPr>
          <w:rFonts w:hint="eastAsia"/>
          <w:szCs w:val="32"/>
        </w:rPr>
        <w:t>申请。线下申请可到各区县行政服务中心开办企业综合窗口，依据提交材料规范（附件</w:t>
      </w:r>
      <w:r>
        <w:rPr>
          <w:szCs w:val="32"/>
        </w:rPr>
        <w:t>1）提交申请。原个体工商户经营者应为转型后企业的投资人（合伙人、股东、发起人）。</w:t>
      </w:r>
    </w:p>
    <w:p>
      <w:pPr>
        <w:overflowPunct w:val="0"/>
        <w:ind w:firstLine="632" w:firstLineChars="200"/>
        <w:rPr>
          <w:szCs w:val="32"/>
        </w:rPr>
      </w:pPr>
      <w:r>
        <w:rPr>
          <w:rFonts w:eastAsia="方正楷体_GBK"/>
          <w:szCs w:val="32"/>
        </w:rPr>
        <w:t>（三）登记受理审查。</w:t>
      </w:r>
      <w:r>
        <w:rPr>
          <w:szCs w:val="32"/>
        </w:rPr>
        <w:t>市场监管部门收到申请人提交的申请材料后，应当在1个工作日内进行审查</w:t>
      </w:r>
      <w:r>
        <w:rPr>
          <w:kern w:val="0"/>
          <w:szCs w:val="32"/>
        </w:rPr>
        <w:t>，</w:t>
      </w:r>
      <w:r>
        <w:rPr>
          <w:szCs w:val="32"/>
        </w:rPr>
        <w:t>对申请材料齐全、符合法定形式的予以确认并当场登记，发放营业执照和《个体工商户转型为企业证明》（附件3）。</w:t>
      </w:r>
    </w:p>
    <w:p>
      <w:pPr>
        <w:overflowPunct w:val="0"/>
        <w:ind w:firstLine="632" w:firstLineChars="200"/>
        <w:rPr>
          <w:rFonts w:eastAsia="宋体" w:cs="宋体"/>
          <w:color w:val="333333"/>
          <w:kern w:val="0"/>
          <w:szCs w:val="32"/>
        </w:rPr>
      </w:pPr>
      <w:r>
        <w:rPr>
          <w:rFonts w:hint="eastAsia" w:eastAsia="方正楷体_GBK"/>
          <w:szCs w:val="32"/>
        </w:rPr>
        <w:t>（四）许可事项办理。</w:t>
      </w:r>
      <w:r>
        <w:rPr>
          <w:rFonts w:hint="eastAsia"/>
          <w:color w:val="000000"/>
          <w:szCs w:val="32"/>
        </w:rPr>
        <w:t>转型后企业名称未发生变化，涉及许可的实际生产经营条件（如实际经营地址、经营范围、企业负责人及质量管理人员等）不改变的，许可证（件）可继续沿用；仅名称发生变化的，市场监管部门出具《个体工商户转型为企业证明》后，相关部门依法办理变更手续。涉及</w:t>
      </w:r>
      <w:r>
        <w:rPr>
          <w:color w:val="000000"/>
          <w:szCs w:val="32"/>
        </w:rPr>
        <w:t>许可</w:t>
      </w:r>
      <w:r>
        <w:rPr>
          <w:rFonts w:hint="eastAsia"/>
          <w:color w:val="000000"/>
          <w:szCs w:val="32"/>
        </w:rPr>
        <w:t>的实际生产</w:t>
      </w:r>
      <w:r>
        <w:rPr>
          <w:color w:val="000000"/>
          <w:szCs w:val="32"/>
        </w:rPr>
        <w:t>经营条件发生</w:t>
      </w:r>
      <w:r>
        <w:rPr>
          <w:rFonts w:hint="eastAsia"/>
          <w:color w:val="000000"/>
          <w:szCs w:val="32"/>
        </w:rPr>
        <w:t>变更</w:t>
      </w:r>
      <w:r>
        <w:rPr>
          <w:color w:val="000000"/>
          <w:szCs w:val="32"/>
        </w:rPr>
        <w:t>的，</w:t>
      </w:r>
      <w:r>
        <w:rPr>
          <w:rFonts w:hint="eastAsia"/>
          <w:color w:val="000000"/>
          <w:szCs w:val="32"/>
        </w:rPr>
        <w:t>市场监管部门</w:t>
      </w:r>
      <w:r>
        <w:rPr>
          <w:color w:val="000000"/>
          <w:szCs w:val="32"/>
        </w:rPr>
        <w:t>应当一次性告知</w:t>
      </w:r>
      <w:r>
        <w:rPr>
          <w:rFonts w:hint="eastAsia"/>
          <w:color w:val="000000"/>
          <w:szCs w:val="32"/>
        </w:rPr>
        <w:t>申请人需</w:t>
      </w:r>
      <w:r>
        <w:rPr>
          <w:color w:val="000000"/>
          <w:szCs w:val="32"/>
        </w:rPr>
        <w:t>办理的</w:t>
      </w:r>
      <w:r>
        <w:rPr>
          <w:rFonts w:hint="eastAsia"/>
          <w:color w:val="000000"/>
          <w:szCs w:val="32"/>
        </w:rPr>
        <w:t>具体</w:t>
      </w:r>
      <w:r>
        <w:rPr>
          <w:color w:val="000000"/>
          <w:szCs w:val="32"/>
        </w:rPr>
        <w:t>事项及审批</w:t>
      </w:r>
      <w:r>
        <w:rPr>
          <w:rFonts w:hint="eastAsia"/>
          <w:color w:val="000000"/>
          <w:szCs w:val="32"/>
        </w:rPr>
        <w:t>机关，相关部门依法办理</w:t>
      </w:r>
      <w:r>
        <w:rPr>
          <w:color w:val="000000"/>
          <w:szCs w:val="32"/>
        </w:rPr>
        <w:t>。</w:t>
      </w:r>
      <w:r>
        <w:rPr>
          <w:rFonts w:hint="eastAsia"/>
          <w:color w:val="000000"/>
          <w:szCs w:val="32"/>
        </w:rPr>
        <w:t>备案</w:t>
      </w:r>
      <w:r>
        <w:rPr>
          <w:color w:val="000000"/>
          <w:szCs w:val="32"/>
        </w:rPr>
        <w:t>事项参照办理。</w:t>
      </w:r>
    </w:p>
    <w:p>
      <w:pPr>
        <w:overflowPunct w:val="0"/>
        <w:ind w:firstLine="632" w:firstLineChars="200"/>
        <w:rPr>
          <w:rFonts w:eastAsia="方正黑体_GBK"/>
          <w:szCs w:val="32"/>
        </w:rPr>
      </w:pPr>
      <w:r>
        <w:rPr>
          <w:rFonts w:hint="eastAsia" w:eastAsia="方正黑体_GBK"/>
          <w:szCs w:val="32"/>
        </w:rPr>
        <w:t>四、</w:t>
      </w:r>
      <w:r>
        <w:rPr>
          <w:rFonts w:eastAsia="方正黑体_GBK"/>
          <w:szCs w:val="32"/>
        </w:rPr>
        <w:t>工作措施</w:t>
      </w:r>
    </w:p>
    <w:p>
      <w:pPr>
        <w:overflowPunct w:val="0"/>
        <w:ind w:firstLine="632" w:firstLineChars="200"/>
        <w:rPr>
          <w:rFonts w:eastAsia="方正楷体_GBK"/>
          <w:szCs w:val="32"/>
        </w:rPr>
      </w:pPr>
      <w:r>
        <w:rPr>
          <w:rFonts w:eastAsia="方正楷体_GBK"/>
          <w:szCs w:val="32"/>
        </w:rPr>
        <w:t>（一）</w:t>
      </w:r>
      <w:r>
        <w:rPr>
          <w:rFonts w:hint="eastAsia" w:eastAsia="方正楷体_GBK"/>
          <w:szCs w:val="32"/>
        </w:rPr>
        <w:t>简化转型</w:t>
      </w:r>
      <w:r>
        <w:rPr>
          <w:rFonts w:eastAsia="方正楷体_GBK"/>
          <w:szCs w:val="32"/>
        </w:rPr>
        <w:t>手续</w:t>
      </w:r>
      <w:r>
        <w:rPr>
          <w:rFonts w:hint="eastAsia" w:eastAsia="方正楷体_GBK"/>
          <w:szCs w:val="32"/>
        </w:rPr>
        <w:t>。</w:t>
      </w:r>
    </w:p>
    <w:p>
      <w:pPr>
        <w:overflowPunct w:val="0"/>
        <w:ind w:firstLine="632" w:firstLineChars="200"/>
        <w:rPr>
          <w:szCs w:val="32"/>
        </w:rPr>
      </w:pPr>
      <w:r>
        <w:rPr>
          <w:szCs w:val="32"/>
        </w:rPr>
        <w:t>1．</w:t>
      </w:r>
      <w:r>
        <w:rPr>
          <w:rFonts w:hint="eastAsia"/>
          <w:szCs w:val="32"/>
        </w:rPr>
        <w:t>实行“个转企”注册登记“一窗受理、一网通办”，同步办理营业执照、刻制印章、申领发票、就业社保登记等相关业务，转型后企业可申领一套免费印章（含公章、财务章、发票章、法定代表人名章</w:t>
      </w:r>
      <w:r>
        <w:rPr>
          <w:szCs w:val="32"/>
        </w:rPr>
        <w:t>共4</w:t>
      </w:r>
      <w:r>
        <w:rPr>
          <w:rFonts w:hint="eastAsia"/>
          <w:szCs w:val="32"/>
        </w:rPr>
        <w:t>枚）。</w:t>
      </w:r>
      <w:r>
        <w:rPr>
          <w:rFonts w:eastAsia="方正楷体_GBK"/>
          <w:szCs w:val="32"/>
        </w:rPr>
        <w:t>（</w:t>
      </w:r>
      <w:r>
        <w:rPr>
          <w:rFonts w:hint="eastAsia" w:eastAsia="方正楷体_GBK"/>
          <w:szCs w:val="32"/>
        </w:rPr>
        <w:t>责任单位</w:t>
      </w:r>
      <w:r>
        <w:rPr>
          <w:rFonts w:eastAsia="方正楷体_GBK"/>
          <w:szCs w:val="32"/>
        </w:rPr>
        <w:t>：市市场监管局</w:t>
      </w:r>
      <w:r>
        <w:rPr>
          <w:rFonts w:hint="eastAsia" w:eastAsia="方正楷体_GBK"/>
          <w:szCs w:val="32"/>
        </w:rPr>
        <w:t>、市</w:t>
      </w:r>
      <w:r>
        <w:rPr>
          <w:rFonts w:eastAsia="方正楷体_GBK"/>
          <w:szCs w:val="32"/>
        </w:rPr>
        <w:t>人力社保局、市公安局、</w:t>
      </w:r>
      <w:r>
        <w:rPr>
          <w:rFonts w:hint="eastAsia" w:eastAsia="方正楷体_GBK"/>
          <w:szCs w:val="32"/>
        </w:rPr>
        <w:t>重庆市</w:t>
      </w:r>
      <w:r>
        <w:rPr>
          <w:rFonts w:eastAsia="方正楷体_GBK"/>
          <w:szCs w:val="32"/>
        </w:rPr>
        <w:t>税务局）</w:t>
      </w:r>
    </w:p>
    <w:p>
      <w:pPr>
        <w:overflowPunct w:val="0"/>
        <w:ind w:firstLine="632" w:firstLineChars="200"/>
        <w:rPr>
          <w:szCs w:val="32"/>
        </w:rPr>
      </w:pPr>
      <w:r>
        <w:rPr>
          <w:szCs w:val="32"/>
        </w:rPr>
        <w:t>2．</w:t>
      </w:r>
      <w:r>
        <w:rPr>
          <w:rFonts w:hint="eastAsia"/>
          <w:szCs w:val="32"/>
        </w:rPr>
        <w:t>个体工商户转型为企业后，允许继续使用原个体工商户统一社会信用代码，在符合《企业名称登记管理规定》等相关法律法规规定的前提下，最大限度保留原个体工商户字号及行业特点。转型后企业不改变住所（经营场所）的，办理注册登记时无需再提交住所（经营场所）使用证明。</w:t>
      </w:r>
      <w:r>
        <w:rPr>
          <w:rFonts w:eastAsia="方正楷体_GBK"/>
          <w:szCs w:val="32"/>
        </w:rPr>
        <w:t>（</w:t>
      </w:r>
      <w:r>
        <w:rPr>
          <w:rFonts w:hint="eastAsia" w:eastAsia="方正楷体_GBK"/>
          <w:szCs w:val="32"/>
        </w:rPr>
        <w:t>责任单位</w:t>
      </w:r>
      <w:r>
        <w:rPr>
          <w:rFonts w:eastAsia="方正楷体_GBK"/>
          <w:szCs w:val="32"/>
        </w:rPr>
        <w:t>：市市场监管局）</w:t>
      </w:r>
    </w:p>
    <w:p>
      <w:pPr>
        <w:overflowPunct w:val="0"/>
        <w:ind w:firstLine="632" w:firstLineChars="200"/>
        <w:rPr>
          <w:rFonts w:eastAsia="方正楷体_GBK"/>
          <w:szCs w:val="32"/>
        </w:rPr>
      </w:pPr>
      <w:r>
        <w:rPr>
          <w:rFonts w:eastAsia="方正楷体_GBK"/>
          <w:szCs w:val="32"/>
        </w:rPr>
        <w:t>（二）实行税费减免</w:t>
      </w:r>
      <w:r>
        <w:rPr>
          <w:rFonts w:hint="eastAsia" w:eastAsia="方正楷体_GBK"/>
          <w:szCs w:val="32"/>
        </w:rPr>
        <w:t>。</w:t>
      </w:r>
    </w:p>
    <w:p>
      <w:pPr>
        <w:overflowPunct w:val="0"/>
        <w:ind w:firstLine="632" w:firstLineChars="200"/>
        <w:rPr>
          <w:szCs w:val="32"/>
        </w:rPr>
      </w:pPr>
      <w:r>
        <w:rPr>
          <w:szCs w:val="32"/>
        </w:rPr>
        <w:t>3．</w:t>
      </w:r>
      <w:r>
        <w:rPr>
          <w:rFonts w:hint="eastAsia"/>
          <w:szCs w:val="32"/>
        </w:rPr>
        <w:t>转型后企业符合国家规定的小型微利企业条件，按照相关政策规定享受小型微利企业所得税优惠政策。转型后企业经认定属于国家需要重点扶持的高新技术企业，减按</w:t>
      </w:r>
      <w:r>
        <w:rPr>
          <w:szCs w:val="32"/>
        </w:rPr>
        <w:t>15%</w:t>
      </w:r>
      <w:r>
        <w:rPr>
          <w:rFonts w:hint="eastAsia"/>
          <w:szCs w:val="32"/>
        </w:rPr>
        <w:t>的税率征收企业所得税；转型后企业为开发新技术、新产品、新工艺发生的研究开发费用，可以按照相关政策规定在计算企业应纳税</w:t>
      </w:r>
      <w:r>
        <w:rPr>
          <w:szCs w:val="32"/>
        </w:rPr>
        <w:t>所得额时加计扣除。</w:t>
      </w:r>
      <w:r>
        <w:rPr>
          <w:rFonts w:eastAsia="方正楷体_GBK"/>
          <w:szCs w:val="32"/>
        </w:rPr>
        <w:t>（</w:t>
      </w:r>
      <w:r>
        <w:rPr>
          <w:rFonts w:hint="eastAsia" w:eastAsia="方正楷体_GBK"/>
          <w:szCs w:val="32"/>
        </w:rPr>
        <w:t>责任单位</w:t>
      </w:r>
      <w:r>
        <w:rPr>
          <w:rFonts w:eastAsia="方正楷体_GBK"/>
          <w:szCs w:val="32"/>
        </w:rPr>
        <w:t>：重庆市税务局）</w:t>
      </w:r>
    </w:p>
    <w:p>
      <w:pPr>
        <w:overflowPunct w:val="0"/>
        <w:ind w:firstLine="632" w:firstLineChars="200"/>
        <w:rPr>
          <w:rFonts w:eastAsia="方正楷体_GBK"/>
          <w:szCs w:val="32"/>
        </w:rPr>
      </w:pPr>
      <w:r>
        <w:rPr>
          <w:szCs w:val="32"/>
        </w:rPr>
        <w:t>4．2024年底前，转型后企业属增值税小规模纳税人、小型微利企业的，减按50%</w:t>
      </w:r>
      <w:r>
        <w:rPr>
          <w:rFonts w:hint="eastAsia"/>
          <w:szCs w:val="32"/>
        </w:rPr>
        <w:t>征收“六税两费”。</w:t>
      </w:r>
      <w:r>
        <w:rPr>
          <w:rFonts w:eastAsia="方正楷体_GBK"/>
          <w:szCs w:val="32"/>
        </w:rPr>
        <w:t>（</w:t>
      </w:r>
      <w:r>
        <w:rPr>
          <w:rFonts w:hint="eastAsia" w:eastAsia="方正楷体_GBK"/>
          <w:szCs w:val="32"/>
        </w:rPr>
        <w:t>责任单位</w:t>
      </w:r>
      <w:r>
        <w:rPr>
          <w:rFonts w:eastAsia="方正楷体_GBK"/>
          <w:szCs w:val="32"/>
        </w:rPr>
        <w:t>：重庆市税务局）</w:t>
      </w:r>
    </w:p>
    <w:p>
      <w:pPr>
        <w:overflowPunct w:val="0"/>
        <w:ind w:firstLine="632" w:firstLineChars="200"/>
        <w:rPr>
          <w:rFonts w:eastAsia="方正楷体_GBK"/>
          <w:szCs w:val="32"/>
        </w:rPr>
      </w:pPr>
      <w:r>
        <w:rPr>
          <w:szCs w:val="32"/>
        </w:rPr>
        <w:t>5．按月纳税的月销售额或营业额不超过10万元（按季度纳税的季度销售额或营业额不超过30万元）的缴纳义务人，免征教育费附加、地方教育附加。</w:t>
      </w:r>
      <w:r>
        <w:rPr>
          <w:rFonts w:eastAsia="方正楷体_GBK"/>
          <w:szCs w:val="32"/>
        </w:rPr>
        <w:t>（责任</w:t>
      </w:r>
      <w:r>
        <w:rPr>
          <w:rFonts w:hint="eastAsia" w:eastAsia="方正楷体_GBK"/>
          <w:szCs w:val="32"/>
        </w:rPr>
        <w:t>单位：重庆市税务局）</w:t>
      </w:r>
    </w:p>
    <w:p>
      <w:pPr>
        <w:overflowPunct w:val="0"/>
        <w:ind w:firstLine="632" w:firstLineChars="200"/>
        <w:rPr>
          <w:rFonts w:eastAsia="方正楷体_GBK"/>
          <w:szCs w:val="32"/>
        </w:rPr>
      </w:pPr>
      <w:r>
        <w:rPr>
          <w:szCs w:val="32"/>
        </w:rPr>
        <w:t>6</w:t>
      </w:r>
      <w:r>
        <w:rPr>
          <w:rFonts w:hint="eastAsia"/>
          <w:szCs w:val="32"/>
        </w:rPr>
        <w:t>．减免“个转企”资产转移费用，对纳税人在个体经营期间取得的固定资产，如果没有原始有效凭证证明其价值，可按照有资质的中介机构出具的评估报告确定的价值进行税务处理后，按规定进行固定资产核算和管理。转型前的个体工商户与转型后企业（仅限个人独资企业、一人有限责任公司）之间转移资产且投资人未发生变动的，具体指</w:t>
      </w:r>
      <w:r>
        <w:rPr>
          <w:szCs w:val="32"/>
        </w:rPr>
        <w:t>个体工商户将其名下的房屋、土地权属转回原经营者个人名下，个人再将其名下的</w:t>
      </w:r>
      <w:r>
        <w:rPr>
          <w:rFonts w:hint="eastAsia"/>
          <w:szCs w:val="32"/>
        </w:rPr>
        <w:t>房屋</w:t>
      </w:r>
      <w:r>
        <w:rPr>
          <w:szCs w:val="32"/>
        </w:rPr>
        <w:t>、土地权属转移到其设立的个人独资企业、一人有限责任公司，可按相关规定免征契税</w:t>
      </w:r>
      <w:r>
        <w:rPr>
          <w:rFonts w:hint="eastAsia"/>
          <w:szCs w:val="32"/>
        </w:rPr>
        <w:t>。</w:t>
      </w:r>
      <w:r>
        <w:rPr>
          <w:rFonts w:eastAsia="方正楷体_GBK"/>
          <w:szCs w:val="32"/>
        </w:rPr>
        <w:t>（</w:t>
      </w:r>
      <w:r>
        <w:rPr>
          <w:rFonts w:hint="eastAsia" w:eastAsia="方正楷体_GBK"/>
          <w:szCs w:val="32"/>
        </w:rPr>
        <w:t>责任单位</w:t>
      </w:r>
      <w:r>
        <w:rPr>
          <w:rFonts w:eastAsia="方正楷体_GBK"/>
          <w:szCs w:val="32"/>
        </w:rPr>
        <w:t>：重庆市税务局）</w:t>
      </w:r>
    </w:p>
    <w:p>
      <w:pPr>
        <w:overflowPunct w:val="0"/>
        <w:ind w:firstLine="632" w:firstLineChars="200"/>
        <w:rPr>
          <w:rFonts w:eastAsia="方正楷体_GBK"/>
          <w:szCs w:val="32"/>
        </w:rPr>
      </w:pPr>
      <w:r>
        <w:rPr>
          <w:rFonts w:eastAsia="方正楷体_GBK"/>
          <w:szCs w:val="32"/>
        </w:rPr>
        <w:t>（</w:t>
      </w:r>
      <w:r>
        <w:rPr>
          <w:rFonts w:hint="eastAsia" w:eastAsia="方正楷体_GBK"/>
          <w:szCs w:val="32"/>
        </w:rPr>
        <w:t>三</w:t>
      </w:r>
      <w:r>
        <w:rPr>
          <w:rFonts w:eastAsia="方正楷体_GBK"/>
          <w:szCs w:val="32"/>
        </w:rPr>
        <w:t>）给予就业创业补贴</w:t>
      </w:r>
      <w:r>
        <w:rPr>
          <w:rFonts w:hint="eastAsia" w:eastAsia="方正楷体_GBK"/>
          <w:szCs w:val="32"/>
        </w:rPr>
        <w:t>。</w:t>
      </w:r>
    </w:p>
    <w:p>
      <w:pPr>
        <w:overflowPunct w:val="0"/>
        <w:ind w:firstLine="632" w:firstLineChars="200"/>
        <w:rPr>
          <w:szCs w:val="32"/>
        </w:rPr>
      </w:pPr>
      <w:r>
        <w:rPr>
          <w:rFonts w:hint="eastAsia"/>
          <w:szCs w:val="32"/>
        </w:rPr>
        <w:t>符合条件的转型后企业属于以下情形的，可按规定享受就业创业补贴政策：</w:t>
      </w:r>
    </w:p>
    <w:p>
      <w:pPr>
        <w:overflowPunct w:val="0"/>
        <w:ind w:firstLine="632" w:firstLineChars="200"/>
        <w:rPr>
          <w:szCs w:val="32"/>
        </w:rPr>
      </w:pPr>
      <w:r>
        <w:rPr>
          <w:szCs w:val="32"/>
        </w:rPr>
        <w:t>7．符合吸纳重点群体就业等条件的小微企业，可申请最高300万元创业担保贷款，并获得贴息支持；登记失业的农村自主创业者等群体创办小微企业正常经营1年以上、3年以下，符合</w:t>
      </w:r>
      <w:r>
        <w:rPr>
          <w:spacing w:val="-6"/>
          <w:szCs w:val="32"/>
        </w:rPr>
        <w:t>带动就业要求，可享受一次性创业</w:t>
      </w:r>
      <w:r>
        <w:rPr>
          <w:rFonts w:hint="eastAsia"/>
          <w:spacing w:val="-6"/>
          <w:szCs w:val="32"/>
        </w:rPr>
        <w:t>补助。</w:t>
      </w:r>
      <w:r>
        <w:rPr>
          <w:rFonts w:eastAsia="方正楷体_GBK"/>
          <w:spacing w:val="-6"/>
          <w:szCs w:val="32"/>
        </w:rPr>
        <w:t>（</w:t>
      </w:r>
      <w:r>
        <w:rPr>
          <w:rFonts w:hint="eastAsia" w:eastAsia="方正楷体_GBK"/>
          <w:spacing w:val="-6"/>
          <w:szCs w:val="32"/>
        </w:rPr>
        <w:t>责任单位</w:t>
      </w:r>
      <w:r>
        <w:rPr>
          <w:rFonts w:eastAsia="方正楷体_GBK"/>
          <w:spacing w:val="-6"/>
          <w:szCs w:val="32"/>
        </w:rPr>
        <w:t>：市人力社保局）</w:t>
      </w:r>
    </w:p>
    <w:p>
      <w:pPr>
        <w:overflowPunct w:val="0"/>
        <w:ind w:firstLine="632" w:firstLineChars="200"/>
        <w:rPr>
          <w:szCs w:val="32"/>
        </w:rPr>
      </w:pPr>
      <w:r>
        <w:rPr>
          <w:szCs w:val="32"/>
        </w:rPr>
        <w:t>8．对吸纳应届高校毕业生稳定就业6个月以上的中小微企业，按规定给予2000元/人一次性吸纳就业补贴；对吸纳登记失业离校2年内高校毕业生、脱贫人口等就业困难人员稳定就业的用人单位，按单位实际为招用人员缴纳的职工养老保险、职工医疗保险、失业保险和工伤保险全额（不含个人应缴部分）给予社保补贴。</w:t>
      </w:r>
      <w:r>
        <w:rPr>
          <w:rFonts w:eastAsia="方正楷体_GBK"/>
          <w:szCs w:val="32"/>
        </w:rPr>
        <w:t>（</w:t>
      </w:r>
      <w:r>
        <w:rPr>
          <w:rFonts w:hint="eastAsia" w:eastAsia="方正楷体_GBK"/>
          <w:szCs w:val="32"/>
        </w:rPr>
        <w:t>责任单位</w:t>
      </w:r>
      <w:r>
        <w:rPr>
          <w:rFonts w:eastAsia="方正楷体_GBK"/>
          <w:szCs w:val="32"/>
        </w:rPr>
        <w:t>：市人力社保局）</w:t>
      </w:r>
    </w:p>
    <w:p>
      <w:pPr>
        <w:overflowPunct w:val="0"/>
        <w:ind w:firstLine="632" w:firstLineChars="200"/>
        <w:rPr>
          <w:rFonts w:eastAsia="方正楷体_GBK"/>
          <w:szCs w:val="32"/>
        </w:rPr>
      </w:pPr>
      <w:r>
        <w:rPr>
          <w:rFonts w:eastAsia="方正楷体_GBK"/>
          <w:szCs w:val="32"/>
        </w:rPr>
        <w:t>（</w:t>
      </w:r>
      <w:r>
        <w:rPr>
          <w:rFonts w:hint="eastAsia" w:eastAsia="方正楷体_GBK"/>
          <w:szCs w:val="32"/>
        </w:rPr>
        <w:t>四</w:t>
      </w:r>
      <w:r>
        <w:rPr>
          <w:rFonts w:eastAsia="方正楷体_GBK"/>
          <w:szCs w:val="32"/>
        </w:rPr>
        <w:t>）加大融资帮扶力度</w:t>
      </w:r>
      <w:r>
        <w:rPr>
          <w:rFonts w:hint="eastAsia" w:eastAsia="方正楷体_GBK"/>
          <w:szCs w:val="32"/>
        </w:rPr>
        <w:t>。</w:t>
      </w:r>
    </w:p>
    <w:p>
      <w:pPr>
        <w:overflowPunct w:val="0"/>
        <w:ind w:firstLine="632" w:firstLineChars="200"/>
        <w:rPr>
          <w:rFonts w:eastAsia="方正楷体_GBK"/>
          <w:szCs w:val="32"/>
        </w:rPr>
      </w:pPr>
      <w:r>
        <w:rPr>
          <w:rFonts w:hint="eastAsia"/>
          <w:szCs w:val="32"/>
        </w:rPr>
        <w:t>9．</w:t>
      </w:r>
      <w:r>
        <w:rPr>
          <w:szCs w:val="32"/>
        </w:rPr>
        <w:t>鼓励各金融机构根据转型后企业生产经营需求、现金流等特点，创新信贷产品和服务模式。指导金融机构持续开展</w:t>
      </w:r>
      <w:r>
        <w:rPr>
          <w:rFonts w:hint="eastAsia"/>
          <w:szCs w:val="32"/>
        </w:rPr>
        <w:t>“</w:t>
      </w:r>
      <w:r>
        <w:rPr>
          <w:szCs w:val="32"/>
        </w:rPr>
        <w:t>1+5+N</w:t>
      </w:r>
      <w:r>
        <w:rPr>
          <w:rFonts w:hint="eastAsia"/>
          <w:szCs w:val="32"/>
        </w:rPr>
        <w:t>”</w:t>
      </w:r>
      <w:r>
        <w:rPr>
          <w:rFonts w:hint="eastAsia" w:cs="方正仿宋_GBK"/>
          <w:szCs w:val="32"/>
        </w:rPr>
        <w:t>民营小微企业和个体工商户首贷续贷中心和金融服务港湾建设，延伸金融服务触角，</w:t>
      </w:r>
      <w:r>
        <w:rPr>
          <w:rFonts w:cs="方正仿宋_GBK"/>
          <w:szCs w:val="32"/>
        </w:rPr>
        <w:t>细化金融服务举措</w:t>
      </w:r>
      <w:r>
        <w:rPr>
          <w:rFonts w:hint="eastAsia" w:cs="方正仿宋_GBK"/>
          <w:szCs w:val="32"/>
        </w:rPr>
        <w:t>。</w:t>
      </w:r>
      <w:r>
        <w:rPr>
          <w:rFonts w:eastAsia="方正楷体_GBK"/>
          <w:szCs w:val="32"/>
        </w:rPr>
        <w:t>（</w:t>
      </w:r>
      <w:r>
        <w:rPr>
          <w:rFonts w:hint="eastAsia" w:eastAsia="方正楷体_GBK"/>
          <w:szCs w:val="32"/>
        </w:rPr>
        <w:t>责任单位</w:t>
      </w:r>
      <w:r>
        <w:rPr>
          <w:rFonts w:eastAsia="方正楷体_GBK"/>
          <w:szCs w:val="32"/>
        </w:rPr>
        <w:t>：人行重庆营管部、重庆银保监局）</w:t>
      </w:r>
    </w:p>
    <w:p>
      <w:pPr>
        <w:overflowPunct w:val="0"/>
        <w:ind w:firstLine="632" w:firstLineChars="200"/>
        <w:rPr>
          <w:rFonts w:cs="方正仿宋_GBK"/>
          <w:szCs w:val="32"/>
        </w:rPr>
      </w:pPr>
      <w:r>
        <w:rPr>
          <w:rFonts w:hint="eastAsia"/>
          <w:szCs w:val="32"/>
        </w:rPr>
        <w:t>1</w:t>
      </w:r>
      <w:r>
        <w:rPr>
          <w:szCs w:val="32"/>
        </w:rPr>
        <w:t>0</w:t>
      </w:r>
      <w:r>
        <w:rPr>
          <w:rFonts w:hint="eastAsia"/>
          <w:szCs w:val="32"/>
        </w:rPr>
        <w:t>．</w:t>
      </w:r>
      <w:r>
        <w:rPr>
          <w:rFonts w:hint="eastAsia" w:cs="方正仿宋_GBK"/>
          <w:szCs w:val="32"/>
        </w:rPr>
        <w:t>支持转型后企业运用“长江渝融通”普惠小微线上融资服务平台线上“扫码申贷”，提升融资便利度。支持转型后企业利用“信易贷·渝惠融”数字普惠金融服务平台在线测额、一键融资。</w:t>
      </w:r>
      <w:r>
        <w:rPr>
          <w:rFonts w:eastAsia="方正楷体_GBK"/>
          <w:szCs w:val="32"/>
        </w:rPr>
        <w:t>（</w:t>
      </w:r>
      <w:r>
        <w:rPr>
          <w:rFonts w:hint="eastAsia" w:eastAsia="方正楷体_GBK"/>
          <w:szCs w:val="32"/>
        </w:rPr>
        <w:t>责任单位</w:t>
      </w:r>
      <w:r>
        <w:rPr>
          <w:rFonts w:eastAsia="方正楷体_GBK"/>
          <w:szCs w:val="32"/>
        </w:rPr>
        <w:t>：人行重庆营管部、重庆银保监局）</w:t>
      </w:r>
    </w:p>
    <w:p>
      <w:pPr>
        <w:overflowPunct w:val="0"/>
        <w:ind w:firstLine="632" w:firstLineChars="200"/>
        <w:rPr>
          <w:szCs w:val="32"/>
        </w:rPr>
      </w:pPr>
      <w:r>
        <w:rPr>
          <w:rFonts w:hint="eastAsia" w:cs="方正仿宋_GBK"/>
          <w:szCs w:val="32"/>
        </w:rPr>
        <w:t>1</w:t>
      </w:r>
      <w:r>
        <w:rPr>
          <w:rFonts w:cs="方正仿宋_GBK"/>
          <w:szCs w:val="32"/>
        </w:rPr>
        <w:t>1</w:t>
      </w:r>
      <w:r>
        <w:rPr>
          <w:rFonts w:hint="eastAsia" w:cs="方正仿宋_GBK"/>
          <w:szCs w:val="32"/>
        </w:rPr>
        <w:t>．指导银行</w:t>
      </w:r>
      <w:r>
        <w:rPr>
          <w:rFonts w:cs="方正仿宋_GBK"/>
          <w:szCs w:val="32"/>
        </w:rPr>
        <w:t>等</w:t>
      </w:r>
      <w:r>
        <w:rPr>
          <w:rFonts w:hint="eastAsia" w:cs="方正仿宋_GBK"/>
          <w:szCs w:val="32"/>
        </w:rPr>
        <w:t>金融机构提高对“个转企”企业的信贷审批效率；在符合规定和风险可控的前提下，尽可能为“个转企”账户服务提供便利</w:t>
      </w:r>
      <w:r>
        <w:rPr>
          <w:rFonts w:hint="eastAsia"/>
          <w:szCs w:val="32"/>
        </w:rPr>
        <w:t>。</w:t>
      </w:r>
      <w:r>
        <w:rPr>
          <w:rFonts w:eastAsia="方正楷体_GBK"/>
          <w:szCs w:val="32"/>
        </w:rPr>
        <w:t>（</w:t>
      </w:r>
      <w:r>
        <w:rPr>
          <w:rFonts w:hint="eastAsia" w:eastAsia="方正楷体_GBK"/>
          <w:szCs w:val="32"/>
        </w:rPr>
        <w:t>责任单位</w:t>
      </w:r>
      <w:r>
        <w:rPr>
          <w:rFonts w:eastAsia="方正楷体_GBK"/>
          <w:szCs w:val="32"/>
        </w:rPr>
        <w:t>：人行重庆营管部、重庆银保监局）</w:t>
      </w:r>
    </w:p>
    <w:p>
      <w:pPr>
        <w:overflowPunct w:val="0"/>
        <w:ind w:firstLine="632" w:firstLineChars="200"/>
        <w:rPr>
          <w:rFonts w:eastAsia="方正楷体_GBK"/>
          <w:color w:val="000000"/>
          <w:szCs w:val="32"/>
        </w:rPr>
      </w:pPr>
      <w:r>
        <w:rPr>
          <w:rFonts w:eastAsia="方正楷体_GBK"/>
          <w:color w:val="000000"/>
          <w:szCs w:val="32"/>
        </w:rPr>
        <w:t>（</w:t>
      </w:r>
      <w:r>
        <w:rPr>
          <w:rFonts w:hint="eastAsia" w:eastAsia="方正楷体_GBK"/>
          <w:color w:val="000000"/>
          <w:szCs w:val="32"/>
        </w:rPr>
        <w:t>五</w:t>
      </w:r>
      <w:r>
        <w:rPr>
          <w:rFonts w:eastAsia="方正楷体_GBK"/>
          <w:color w:val="000000"/>
          <w:szCs w:val="32"/>
        </w:rPr>
        <w:t>）</w:t>
      </w:r>
      <w:r>
        <w:rPr>
          <w:rFonts w:hint="eastAsia" w:eastAsia="方正楷体_GBK"/>
          <w:color w:val="000000"/>
          <w:szCs w:val="32"/>
        </w:rPr>
        <w:t>支持</w:t>
      </w:r>
      <w:r>
        <w:rPr>
          <w:rFonts w:eastAsia="方正楷体_GBK"/>
          <w:color w:val="000000"/>
          <w:szCs w:val="32"/>
        </w:rPr>
        <w:t>生产经营延续</w:t>
      </w:r>
      <w:r>
        <w:rPr>
          <w:rFonts w:hint="eastAsia" w:eastAsia="方正楷体_GBK"/>
          <w:color w:val="000000"/>
          <w:szCs w:val="32"/>
        </w:rPr>
        <w:t>。</w:t>
      </w:r>
    </w:p>
    <w:p>
      <w:pPr>
        <w:overflowPunct w:val="0"/>
        <w:ind w:firstLine="632" w:firstLineChars="200"/>
        <w:rPr>
          <w:szCs w:val="32"/>
        </w:rPr>
      </w:pPr>
      <w:r>
        <w:rPr>
          <w:rFonts w:hint="eastAsia"/>
          <w:szCs w:val="32"/>
        </w:rPr>
        <w:t>1</w:t>
      </w:r>
      <w:r>
        <w:rPr>
          <w:szCs w:val="32"/>
        </w:rPr>
        <w:t>2</w:t>
      </w:r>
      <w:r>
        <w:rPr>
          <w:rFonts w:hint="eastAsia"/>
          <w:szCs w:val="32"/>
        </w:rPr>
        <w:t>．转型后企业原则上保留原个体工商户获得的各种荣誉称号，可继续沿用原个体工商户的银行对公账号，原征信记录继续</w:t>
      </w:r>
      <w:r>
        <w:rPr>
          <w:rFonts w:hint="eastAsia"/>
          <w:spacing w:val="-6"/>
          <w:szCs w:val="32"/>
        </w:rPr>
        <w:t>有效。</w:t>
      </w:r>
      <w:r>
        <w:rPr>
          <w:rFonts w:eastAsia="方正楷体_GBK"/>
          <w:spacing w:val="-6"/>
          <w:szCs w:val="32"/>
        </w:rPr>
        <w:t>（</w:t>
      </w:r>
      <w:r>
        <w:rPr>
          <w:rFonts w:hint="eastAsia" w:eastAsia="方正楷体_GBK"/>
          <w:spacing w:val="-6"/>
          <w:szCs w:val="32"/>
        </w:rPr>
        <w:t>责任单位</w:t>
      </w:r>
      <w:r>
        <w:rPr>
          <w:rFonts w:eastAsia="方正楷体_GBK"/>
          <w:spacing w:val="-6"/>
          <w:szCs w:val="32"/>
        </w:rPr>
        <w:t>：市市场监管局、人行重庆营管部</w:t>
      </w:r>
      <w:r>
        <w:rPr>
          <w:rFonts w:hint="eastAsia" w:eastAsia="方正楷体_GBK"/>
          <w:spacing w:val="-6"/>
          <w:szCs w:val="32"/>
        </w:rPr>
        <w:t>，市级有关部门</w:t>
      </w:r>
      <w:r>
        <w:rPr>
          <w:rFonts w:eastAsia="方正楷体_GBK"/>
          <w:spacing w:val="-6"/>
          <w:szCs w:val="32"/>
        </w:rPr>
        <w:t>）</w:t>
      </w:r>
    </w:p>
    <w:p>
      <w:pPr>
        <w:overflowPunct w:val="0"/>
        <w:ind w:firstLine="632" w:firstLineChars="200"/>
        <w:rPr>
          <w:szCs w:val="32"/>
        </w:rPr>
      </w:pPr>
      <w:r>
        <w:rPr>
          <w:szCs w:val="32"/>
        </w:rPr>
        <w:t xml:space="preserve">13.  </w:t>
      </w:r>
      <w:r>
        <w:rPr>
          <w:rFonts w:hint="eastAsia"/>
          <w:szCs w:val="32"/>
        </w:rPr>
        <w:t>支持将原个体工商户享有的专利权、商标权、名称权等依法转移至转型后企业名下，对原个体工商户与转型后企业的经营期限连续计算</w:t>
      </w:r>
      <w:r>
        <w:rPr>
          <w:rFonts w:eastAsia="方正楷体_GBK"/>
          <w:szCs w:val="32"/>
        </w:rPr>
        <w:t>。（</w:t>
      </w:r>
      <w:r>
        <w:rPr>
          <w:rFonts w:hint="eastAsia" w:eastAsia="方正楷体_GBK"/>
          <w:szCs w:val="32"/>
        </w:rPr>
        <w:t>责任单位</w:t>
      </w:r>
      <w:r>
        <w:rPr>
          <w:rFonts w:eastAsia="方正楷体_GBK"/>
          <w:szCs w:val="32"/>
        </w:rPr>
        <w:t>：市市场监管局</w:t>
      </w:r>
      <w:r>
        <w:rPr>
          <w:rFonts w:hint="eastAsia" w:eastAsia="方正楷体_GBK"/>
          <w:szCs w:val="32"/>
        </w:rPr>
        <w:t>，市级有关部门</w:t>
      </w:r>
      <w:r>
        <w:rPr>
          <w:rFonts w:eastAsia="方正楷体_GBK"/>
          <w:szCs w:val="32"/>
        </w:rPr>
        <w:t>）</w:t>
      </w:r>
    </w:p>
    <w:p>
      <w:pPr>
        <w:overflowPunct w:val="0"/>
        <w:ind w:firstLine="632" w:firstLineChars="200"/>
        <w:rPr>
          <w:rFonts w:eastAsia="方正楷体_GBK"/>
          <w:szCs w:val="32"/>
        </w:rPr>
      </w:pPr>
      <w:r>
        <w:rPr>
          <w:rFonts w:hint="eastAsia" w:eastAsia="方正楷体_GBK"/>
          <w:szCs w:val="32"/>
        </w:rPr>
        <w:t>（六）实施包容</w:t>
      </w:r>
      <w:r>
        <w:rPr>
          <w:rFonts w:eastAsia="方正楷体_GBK"/>
          <w:szCs w:val="32"/>
        </w:rPr>
        <w:t>审慎</w:t>
      </w:r>
      <w:r>
        <w:rPr>
          <w:rFonts w:hint="eastAsia" w:eastAsia="方正楷体_GBK"/>
          <w:szCs w:val="32"/>
        </w:rPr>
        <w:t>监管。</w:t>
      </w:r>
    </w:p>
    <w:p>
      <w:pPr>
        <w:overflowPunct w:val="0"/>
        <w:ind w:firstLine="632" w:firstLineChars="200"/>
        <w:rPr>
          <w:szCs w:val="32"/>
        </w:rPr>
      </w:pPr>
      <w:r>
        <w:rPr>
          <w:rFonts w:hint="eastAsia"/>
          <w:szCs w:val="32"/>
        </w:rPr>
        <w:t>1</w:t>
      </w:r>
      <w:r>
        <w:rPr>
          <w:szCs w:val="32"/>
        </w:rPr>
        <w:t>4</w:t>
      </w:r>
      <w:r>
        <w:rPr>
          <w:rFonts w:hint="eastAsia"/>
          <w:szCs w:val="32"/>
        </w:rPr>
        <w:t>．对</w:t>
      </w:r>
      <w:r>
        <w:rPr>
          <w:szCs w:val="32"/>
        </w:rPr>
        <w:t>转型后企业</w:t>
      </w:r>
      <w:r>
        <w:rPr>
          <w:rFonts w:hint="eastAsia"/>
          <w:szCs w:val="32"/>
        </w:rPr>
        <w:t>推行“观察期”和“触发式”监管，在转型</w:t>
      </w:r>
      <w:r>
        <w:rPr>
          <w:szCs w:val="32"/>
        </w:rPr>
        <w:t>1—2</w:t>
      </w:r>
      <w:r>
        <w:rPr>
          <w:rFonts w:hint="eastAsia"/>
          <w:szCs w:val="32"/>
        </w:rPr>
        <w:t>年</w:t>
      </w:r>
      <w:r>
        <w:rPr>
          <w:szCs w:val="32"/>
        </w:rPr>
        <w:t>内</w:t>
      </w:r>
      <w:r>
        <w:rPr>
          <w:rFonts w:hint="eastAsia"/>
          <w:szCs w:val="32"/>
        </w:rPr>
        <w:t>，除触碰严重危害公共安全、人身健康、财务安全，以及严重扰乱市场经济秩序等“红线”外，减少实地检查，为企业留足更大发展空间。对转型后企业轻微违法行为，符合法定条件的，依法不予处罚、从轻处罚或者减轻处罚，广泛使用宣传引导、信用承诺、行政提示、行政告诫、行政建议、行政约谈等非强制性手段，指导其依法合规经营。</w:t>
      </w:r>
      <w:r>
        <w:rPr>
          <w:rFonts w:eastAsia="方正楷体_GBK"/>
          <w:szCs w:val="32"/>
        </w:rPr>
        <w:t>（</w:t>
      </w:r>
      <w:r>
        <w:rPr>
          <w:rFonts w:hint="eastAsia" w:eastAsia="方正楷体_GBK"/>
          <w:szCs w:val="32"/>
        </w:rPr>
        <w:t>责任单位</w:t>
      </w:r>
      <w:r>
        <w:rPr>
          <w:rFonts w:eastAsia="方正楷体_GBK"/>
          <w:szCs w:val="32"/>
        </w:rPr>
        <w:t>：</w:t>
      </w:r>
      <w:r>
        <w:rPr>
          <w:rFonts w:hint="eastAsia" w:eastAsia="方正楷体_GBK"/>
          <w:szCs w:val="32"/>
        </w:rPr>
        <w:t>市级有关</w:t>
      </w:r>
      <w:r>
        <w:rPr>
          <w:rFonts w:eastAsia="方正楷体_GBK"/>
          <w:szCs w:val="32"/>
        </w:rPr>
        <w:t>部门</w:t>
      </w:r>
      <w:r>
        <w:rPr>
          <w:rFonts w:hint="eastAsia" w:eastAsia="方正楷体_GBK"/>
          <w:szCs w:val="32"/>
        </w:rPr>
        <w:t>）</w:t>
      </w:r>
    </w:p>
    <w:p>
      <w:pPr>
        <w:overflowPunct w:val="0"/>
        <w:ind w:firstLine="632" w:firstLineChars="200"/>
        <w:rPr>
          <w:rFonts w:eastAsia="方正楷体_GBK"/>
          <w:szCs w:val="32"/>
        </w:rPr>
      </w:pPr>
      <w:r>
        <w:rPr>
          <w:rFonts w:hint="eastAsia"/>
          <w:szCs w:val="32"/>
        </w:rPr>
        <w:t>1</w:t>
      </w:r>
      <w:r>
        <w:rPr>
          <w:szCs w:val="32"/>
        </w:rPr>
        <w:t>5．</w:t>
      </w:r>
      <w:r>
        <w:rPr>
          <w:rFonts w:hint="eastAsia"/>
          <w:szCs w:val="32"/>
        </w:rPr>
        <w:t>对转型后企业受到市场监管部门警告行政处罚的，其信息不予公示；仅受到市场监管部门通报批评或者较低数额罚款行政处罚的，其信息自公示之日起届满三个月即可停止公示，提高信用容忍度。通过市</w:t>
      </w:r>
      <w:r>
        <w:rPr>
          <w:szCs w:val="32"/>
        </w:rPr>
        <w:t>市场监管局公众信息网、</w:t>
      </w:r>
      <w:r>
        <w:rPr>
          <w:rFonts w:hint="eastAsia"/>
          <w:szCs w:val="32"/>
        </w:rPr>
        <w:t>“山城有信”平台等</w:t>
      </w:r>
      <w:r>
        <w:rPr>
          <w:szCs w:val="32"/>
        </w:rPr>
        <w:t>载体</w:t>
      </w:r>
      <w:r>
        <w:rPr>
          <w:rFonts w:hint="eastAsia"/>
          <w:szCs w:val="32"/>
        </w:rPr>
        <w:t>，推送发布法律法规、政策解读、风险提醒等内容，营造宽松经营环境。</w:t>
      </w:r>
      <w:r>
        <w:rPr>
          <w:rFonts w:eastAsia="方正楷体_GBK"/>
          <w:szCs w:val="32"/>
        </w:rPr>
        <w:t>（</w:t>
      </w:r>
      <w:r>
        <w:rPr>
          <w:rFonts w:hint="eastAsia" w:eastAsia="方正楷体_GBK"/>
          <w:szCs w:val="32"/>
        </w:rPr>
        <w:t>责任单位</w:t>
      </w:r>
      <w:r>
        <w:rPr>
          <w:rFonts w:eastAsia="方正楷体_GBK"/>
          <w:szCs w:val="32"/>
        </w:rPr>
        <w:t>：市市场监管局</w:t>
      </w:r>
      <w:r>
        <w:rPr>
          <w:rFonts w:hint="eastAsia" w:eastAsia="方正楷体_GBK"/>
          <w:szCs w:val="32"/>
        </w:rPr>
        <w:t>）</w:t>
      </w:r>
    </w:p>
    <w:p>
      <w:pPr>
        <w:overflowPunct w:val="0"/>
        <w:ind w:firstLine="632" w:firstLineChars="200"/>
        <w:rPr>
          <w:rFonts w:eastAsia="方正楷体_GBK"/>
          <w:szCs w:val="32"/>
        </w:rPr>
      </w:pPr>
      <w:r>
        <w:rPr>
          <w:rFonts w:hint="eastAsia" w:eastAsia="方正楷体_GBK"/>
          <w:szCs w:val="32"/>
        </w:rPr>
        <w:t>（七）建立全流程</w:t>
      </w:r>
      <w:r>
        <w:rPr>
          <w:rFonts w:eastAsia="方正楷体_GBK"/>
          <w:szCs w:val="32"/>
        </w:rPr>
        <w:t>服务</w:t>
      </w:r>
      <w:r>
        <w:rPr>
          <w:rFonts w:hint="eastAsia" w:eastAsia="方正楷体_GBK"/>
          <w:szCs w:val="32"/>
        </w:rPr>
        <w:t>机制。</w:t>
      </w:r>
    </w:p>
    <w:p>
      <w:pPr>
        <w:overflowPunct w:val="0"/>
        <w:ind w:firstLine="632" w:firstLineChars="200"/>
        <w:rPr>
          <w:szCs w:val="32"/>
        </w:rPr>
      </w:pPr>
      <w:r>
        <w:rPr>
          <w:rFonts w:hint="eastAsia"/>
          <w:szCs w:val="32"/>
        </w:rPr>
        <w:t>1</w:t>
      </w:r>
      <w:r>
        <w:rPr>
          <w:szCs w:val="32"/>
        </w:rPr>
        <w:t xml:space="preserve">6. </w:t>
      </w:r>
      <w:r>
        <w:rPr>
          <w:rFonts w:hint="eastAsia"/>
          <w:szCs w:val="32"/>
        </w:rPr>
        <w:t>转型前建立重点培育机制，将符合条件</w:t>
      </w:r>
      <w:r>
        <w:rPr>
          <w:szCs w:val="32"/>
        </w:rPr>
        <w:t>的个体工商户</w:t>
      </w:r>
      <w:r>
        <w:rPr>
          <w:rFonts w:hint="eastAsia"/>
          <w:szCs w:val="32"/>
        </w:rPr>
        <w:t>作为重点培育对象，集中优势资源精准帮扶，帮助其扩大规模、提升实力，增强转企动力。落实专人负责为个体工商户提供全流程服务，宣传解读“个转企”在市场准入、组织管理、税收优惠、融资贷款、用地用工等方面的政策优势，提供一对一咨询服务</w:t>
      </w:r>
      <w:r>
        <w:rPr>
          <w:szCs w:val="32"/>
        </w:rPr>
        <w:t>、政策</w:t>
      </w:r>
      <w:r>
        <w:rPr>
          <w:rFonts w:hint="eastAsia"/>
          <w:szCs w:val="32"/>
        </w:rPr>
        <w:t>指导，畅通政策落实“最后一公里”</w:t>
      </w:r>
      <w:r>
        <w:rPr>
          <w:szCs w:val="32"/>
        </w:rPr>
        <w:t>。</w:t>
      </w:r>
      <w:r>
        <w:rPr>
          <w:rFonts w:eastAsia="方正楷体_GBK"/>
          <w:szCs w:val="32"/>
        </w:rPr>
        <w:t>（</w:t>
      </w:r>
      <w:r>
        <w:rPr>
          <w:rFonts w:hint="eastAsia" w:eastAsia="方正楷体_GBK"/>
          <w:szCs w:val="32"/>
        </w:rPr>
        <w:t>责任单位</w:t>
      </w:r>
      <w:r>
        <w:rPr>
          <w:rFonts w:eastAsia="方正楷体_GBK"/>
          <w:szCs w:val="32"/>
        </w:rPr>
        <w:t>：</w:t>
      </w:r>
      <w:r>
        <w:rPr>
          <w:rFonts w:hint="eastAsia" w:eastAsia="方正楷体_GBK"/>
          <w:szCs w:val="32"/>
        </w:rPr>
        <w:t>市级有关部门）</w:t>
      </w:r>
    </w:p>
    <w:p>
      <w:pPr>
        <w:overflowPunct w:val="0"/>
        <w:ind w:firstLine="632" w:firstLineChars="200"/>
        <w:rPr>
          <w:szCs w:val="32"/>
        </w:rPr>
      </w:pPr>
      <w:r>
        <w:rPr>
          <w:rFonts w:hint="eastAsia"/>
          <w:szCs w:val="32"/>
        </w:rPr>
        <w:t>1</w:t>
      </w:r>
      <w:r>
        <w:rPr>
          <w:szCs w:val="32"/>
        </w:rPr>
        <w:t xml:space="preserve">7. </w:t>
      </w:r>
      <w:r>
        <w:rPr>
          <w:rFonts w:hint="eastAsia"/>
          <w:szCs w:val="32"/>
        </w:rPr>
        <w:t>转型中加强法律、市场、用工、技术、管理、融资等各类政策指导服务，鼓励各</w:t>
      </w:r>
      <w:r>
        <w:rPr>
          <w:szCs w:val="32"/>
        </w:rPr>
        <w:t>区县</w:t>
      </w:r>
      <w:r>
        <w:rPr>
          <w:rFonts w:hint="eastAsia"/>
          <w:szCs w:val="32"/>
        </w:rPr>
        <w:t>为转型后企业免费提供代理记账、税务申报、</w:t>
      </w:r>
      <w:r>
        <w:rPr>
          <w:szCs w:val="32"/>
        </w:rPr>
        <w:t>证照寄递</w:t>
      </w:r>
      <w:r>
        <w:rPr>
          <w:rFonts w:hint="eastAsia"/>
          <w:szCs w:val="32"/>
        </w:rPr>
        <w:t>等服务，引导社会服务机构在财会</w:t>
      </w:r>
      <w:r>
        <w:rPr>
          <w:szCs w:val="32"/>
        </w:rPr>
        <w:t>、法</w:t>
      </w:r>
      <w:r>
        <w:rPr>
          <w:rFonts w:hint="eastAsia"/>
          <w:szCs w:val="32"/>
        </w:rPr>
        <w:t>务</w:t>
      </w:r>
      <w:r>
        <w:rPr>
          <w:szCs w:val="32"/>
        </w:rPr>
        <w:t>等方面</w:t>
      </w:r>
      <w:r>
        <w:rPr>
          <w:rFonts w:hint="eastAsia"/>
          <w:szCs w:val="32"/>
        </w:rPr>
        <w:t>为</w:t>
      </w:r>
      <w:r>
        <w:rPr>
          <w:szCs w:val="32"/>
        </w:rPr>
        <w:t>转</w:t>
      </w:r>
      <w:r>
        <w:rPr>
          <w:rFonts w:hint="eastAsia"/>
          <w:szCs w:val="32"/>
        </w:rPr>
        <w:t>型</w:t>
      </w:r>
      <w:r>
        <w:rPr>
          <w:szCs w:val="32"/>
        </w:rPr>
        <w:t>后企业</w:t>
      </w:r>
      <w:r>
        <w:rPr>
          <w:rFonts w:hint="eastAsia"/>
          <w:szCs w:val="32"/>
        </w:rPr>
        <w:t>提供低价或者免费的专业服务，提高企业发展能力，切实减轻企业负担。</w:t>
      </w:r>
      <w:r>
        <w:rPr>
          <w:rFonts w:eastAsia="方正楷体_GBK"/>
          <w:szCs w:val="32"/>
        </w:rPr>
        <w:t>（</w:t>
      </w:r>
      <w:r>
        <w:rPr>
          <w:rFonts w:hint="eastAsia" w:eastAsia="方正楷体_GBK"/>
          <w:szCs w:val="32"/>
        </w:rPr>
        <w:t>责任单位</w:t>
      </w:r>
      <w:r>
        <w:rPr>
          <w:rFonts w:eastAsia="方正楷体_GBK"/>
          <w:szCs w:val="32"/>
        </w:rPr>
        <w:t>：</w:t>
      </w:r>
      <w:r>
        <w:rPr>
          <w:rFonts w:hint="eastAsia" w:eastAsia="方正楷体_GBK"/>
          <w:szCs w:val="32"/>
        </w:rPr>
        <w:t>市级有关部门）</w:t>
      </w:r>
    </w:p>
    <w:p>
      <w:pPr>
        <w:overflowPunct w:val="0"/>
        <w:ind w:firstLine="632" w:firstLineChars="200"/>
        <w:rPr>
          <w:szCs w:val="32"/>
        </w:rPr>
      </w:pPr>
      <w:r>
        <w:rPr>
          <w:rFonts w:hint="eastAsia"/>
          <w:szCs w:val="32"/>
        </w:rPr>
        <w:t>1</w:t>
      </w:r>
      <w:r>
        <w:rPr>
          <w:szCs w:val="32"/>
        </w:rPr>
        <w:t xml:space="preserve">8. </w:t>
      </w:r>
      <w:r>
        <w:rPr>
          <w:rFonts w:hint="eastAsia"/>
          <w:szCs w:val="32"/>
        </w:rPr>
        <w:t>转型后实行“一企一户”建档管理，持续关注企业后续发展，坚持边运行边总结边完善，定期收集情况问题，优化调整政策</w:t>
      </w:r>
      <w:r>
        <w:rPr>
          <w:szCs w:val="32"/>
        </w:rPr>
        <w:t>措施</w:t>
      </w:r>
      <w:r>
        <w:rPr>
          <w:rFonts w:hint="eastAsia"/>
          <w:szCs w:val="32"/>
        </w:rPr>
        <w:t>。建立</w:t>
      </w:r>
      <w:r>
        <w:rPr>
          <w:szCs w:val="32"/>
        </w:rPr>
        <w:t>档案管理台账</w:t>
      </w:r>
      <w:r>
        <w:rPr>
          <w:rFonts w:hint="eastAsia"/>
          <w:szCs w:val="32"/>
        </w:rPr>
        <w:t>，</w:t>
      </w:r>
      <w:r>
        <w:rPr>
          <w:rFonts w:hint="eastAsia"/>
          <w:color w:val="000000"/>
          <w:szCs w:val="32"/>
        </w:rPr>
        <w:t>将原个体工商户登记档案与转型后企业登记档案合并保存，及时扫描归档，确保市场主体历史档案的延续性和“一户一档”规范完整，并</w:t>
      </w:r>
      <w:r>
        <w:rPr>
          <w:color w:val="000000"/>
          <w:szCs w:val="32"/>
        </w:rPr>
        <w:t>依法</w:t>
      </w:r>
      <w:r>
        <w:rPr>
          <w:rFonts w:hint="eastAsia"/>
          <w:color w:val="000000"/>
          <w:szCs w:val="32"/>
        </w:rPr>
        <w:t>向</w:t>
      </w:r>
      <w:r>
        <w:rPr>
          <w:color w:val="000000"/>
          <w:szCs w:val="32"/>
        </w:rPr>
        <w:t>公众提供查询服务。</w:t>
      </w:r>
      <w:r>
        <w:rPr>
          <w:rFonts w:eastAsia="方正楷体_GBK"/>
          <w:szCs w:val="32"/>
        </w:rPr>
        <w:t>（</w:t>
      </w:r>
      <w:r>
        <w:rPr>
          <w:rFonts w:hint="eastAsia" w:eastAsia="方正楷体_GBK"/>
          <w:szCs w:val="32"/>
        </w:rPr>
        <w:t>责任单位</w:t>
      </w:r>
      <w:r>
        <w:rPr>
          <w:rFonts w:eastAsia="方正楷体_GBK"/>
          <w:szCs w:val="32"/>
        </w:rPr>
        <w:t>：市市场监管局</w:t>
      </w:r>
      <w:r>
        <w:rPr>
          <w:rFonts w:hint="eastAsia" w:eastAsia="方正楷体_GBK"/>
          <w:szCs w:val="32"/>
        </w:rPr>
        <w:t>，市级有关部门</w:t>
      </w:r>
      <w:r>
        <w:rPr>
          <w:rFonts w:eastAsia="方正楷体_GBK"/>
          <w:szCs w:val="32"/>
        </w:rPr>
        <w:t>）</w:t>
      </w:r>
    </w:p>
    <w:p>
      <w:pPr>
        <w:overflowPunct w:val="0"/>
        <w:ind w:firstLine="632" w:firstLineChars="200"/>
        <w:rPr>
          <w:rFonts w:eastAsia="方正黑体_GBK"/>
          <w:szCs w:val="32"/>
        </w:rPr>
      </w:pPr>
      <w:r>
        <w:rPr>
          <w:rFonts w:hint="eastAsia" w:eastAsia="方正黑体_GBK"/>
          <w:szCs w:val="32"/>
        </w:rPr>
        <w:t>五</w:t>
      </w:r>
      <w:r>
        <w:rPr>
          <w:rFonts w:eastAsia="方正黑体_GBK"/>
          <w:szCs w:val="32"/>
        </w:rPr>
        <w:t>、</w:t>
      </w:r>
      <w:r>
        <w:rPr>
          <w:rFonts w:hint="eastAsia" w:eastAsia="方正黑体_GBK"/>
          <w:szCs w:val="32"/>
        </w:rPr>
        <w:t>工作</w:t>
      </w:r>
      <w:r>
        <w:rPr>
          <w:rFonts w:eastAsia="方正黑体_GBK"/>
          <w:szCs w:val="32"/>
        </w:rPr>
        <w:t>阶段</w:t>
      </w:r>
    </w:p>
    <w:p>
      <w:pPr>
        <w:overflowPunct w:val="0"/>
        <w:ind w:firstLine="632" w:firstLineChars="200"/>
        <w:rPr>
          <w:szCs w:val="32"/>
        </w:rPr>
      </w:pPr>
      <w:r>
        <w:rPr>
          <w:rFonts w:hint="eastAsia" w:eastAsia="方正楷体_GBK"/>
          <w:szCs w:val="32"/>
        </w:rPr>
        <w:t>（</w:t>
      </w:r>
      <w:r>
        <w:rPr>
          <w:rFonts w:eastAsia="方正楷体_GBK"/>
          <w:szCs w:val="32"/>
        </w:rPr>
        <w:t>一）摸排入库</w:t>
      </w:r>
      <w:r>
        <w:rPr>
          <w:szCs w:val="32"/>
        </w:rPr>
        <w:t>（</w:t>
      </w:r>
      <w:r>
        <w:rPr>
          <w:rFonts w:eastAsia="方正楷体_GBK"/>
          <w:szCs w:val="32"/>
        </w:rPr>
        <w:t>2023年3月</w:t>
      </w:r>
      <w:r>
        <w:rPr>
          <w:rFonts w:hint="eastAsia" w:eastAsia="方正楷体_GBK"/>
          <w:szCs w:val="32"/>
        </w:rPr>
        <w:t>—</w:t>
      </w:r>
      <w:r>
        <w:rPr>
          <w:rFonts w:eastAsia="方正楷体_GBK"/>
          <w:szCs w:val="32"/>
        </w:rPr>
        <w:t>5月</w:t>
      </w:r>
      <w:r>
        <w:rPr>
          <w:szCs w:val="32"/>
        </w:rPr>
        <w:t>）。</w:t>
      </w:r>
    </w:p>
    <w:p>
      <w:pPr>
        <w:overflowPunct w:val="0"/>
        <w:ind w:firstLine="632" w:firstLineChars="200"/>
        <w:rPr>
          <w:szCs w:val="32"/>
        </w:rPr>
      </w:pPr>
      <w:r>
        <w:rPr>
          <w:rFonts w:hint="eastAsia"/>
          <w:szCs w:val="32"/>
        </w:rPr>
        <w:t>切实</w:t>
      </w:r>
      <w:r>
        <w:rPr>
          <w:szCs w:val="32"/>
        </w:rPr>
        <w:t>发挥</w:t>
      </w:r>
      <w:r>
        <w:rPr>
          <w:rFonts w:hint="eastAsia"/>
          <w:szCs w:val="32"/>
        </w:rPr>
        <w:t>各区县</w:t>
      </w:r>
      <w:r>
        <w:rPr>
          <w:szCs w:val="32"/>
        </w:rPr>
        <w:t>部门</w:t>
      </w:r>
      <w:r>
        <w:rPr>
          <w:rFonts w:hint="eastAsia"/>
          <w:szCs w:val="32"/>
        </w:rPr>
        <w:t>联席机制</w:t>
      </w:r>
      <w:r>
        <w:rPr>
          <w:szCs w:val="32"/>
        </w:rPr>
        <w:t>作用</w:t>
      </w:r>
      <w:r>
        <w:rPr>
          <w:rFonts w:hint="eastAsia"/>
          <w:szCs w:val="32"/>
        </w:rPr>
        <w:t>，</w:t>
      </w:r>
      <w:r>
        <w:rPr>
          <w:szCs w:val="32"/>
        </w:rPr>
        <w:t>组织力量</w:t>
      </w:r>
      <w:r>
        <w:rPr>
          <w:rFonts w:hint="eastAsia"/>
          <w:szCs w:val="32"/>
        </w:rPr>
        <w:t>深入街道、社区、园区、村镇等基层一线对辖区内个体工商户进行摸排调查，筛查符合条件的个体工商户，纳入“个转企”</w:t>
      </w:r>
      <w:r>
        <w:rPr>
          <w:szCs w:val="32"/>
        </w:rPr>
        <w:t>重点</w:t>
      </w:r>
      <w:r>
        <w:rPr>
          <w:rFonts w:hint="eastAsia"/>
          <w:szCs w:val="32"/>
        </w:rPr>
        <w:t>培育库。对</w:t>
      </w:r>
      <w:r>
        <w:rPr>
          <w:szCs w:val="32"/>
        </w:rPr>
        <w:t>培育库</w:t>
      </w:r>
      <w:r>
        <w:rPr>
          <w:rFonts w:hint="eastAsia"/>
          <w:szCs w:val="32"/>
        </w:rPr>
        <w:t>进行动态管理，</w:t>
      </w:r>
      <w:r>
        <w:rPr>
          <w:szCs w:val="32"/>
        </w:rPr>
        <w:t>转型成功和不符合条件的个体工商户及时调整出库，将新的符合条件的</w:t>
      </w:r>
      <w:r>
        <w:rPr>
          <w:rFonts w:hint="eastAsia"/>
          <w:szCs w:val="32"/>
        </w:rPr>
        <w:t>个体</w:t>
      </w:r>
      <w:r>
        <w:rPr>
          <w:szCs w:val="32"/>
        </w:rPr>
        <w:t>工商户及时纳入培育库。</w:t>
      </w:r>
    </w:p>
    <w:p>
      <w:pPr>
        <w:overflowPunct w:val="0"/>
        <w:ind w:firstLine="632" w:firstLineChars="200"/>
        <w:rPr>
          <w:szCs w:val="32"/>
        </w:rPr>
      </w:pPr>
      <w:r>
        <w:rPr>
          <w:rFonts w:hint="eastAsia" w:eastAsia="方正楷体_GBK"/>
          <w:szCs w:val="32"/>
        </w:rPr>
        <w:t>（二）组织实施</w:t>
      </w:r>
      <w:r>
        <w:rPr>
          <w:szCs w:val="32"/>
        </w:rPr>
        <w:t>（</w:t>
      </w:r>
      <w:r>
        <w:rPr>
          <w:rFonts w:eastAsia="方正楷体_GBK"/>
          <w:szCs w:val="32"/>
        </w:rPr>
        <w:t>2023年5月—</w:t>
      </w:r>
      <w:r>
        <w:rPr>
          <w:rFonts w:hint="eastAsia" w:eastAsia="方正楷体_GBK"/>
          <w:szCs w:val="32"/>
        </w:rPr>
        <w:t>持续</w:t>
      </w:r>
      <w:r>
        <w:rPr>
          <w:rFonts w:eastAsia="方正楷体_GBK"/>
          <w:szCs w:val="32"/>
        </w:rPr>
        <w:t>推进</w:t>
      </w:r>
      <w:r>
        <w:rPr>
          <w:rFonts w:hint="eastAsia"/>
          <w:szCs w:val="32"/>
        </w:rPr>
        <w:t>）。</w:t>
      </w:r>
    </w:p>
    <w:p>
      <w:pPr>
        <w:overflowPunct w:val="0"/>
        <w:ind w:firstLine="632" w:firstLineChars="200"/>
        <w:rPr>
          <w:rFonts w:cs="方正仿宋_GBK"/>
          <w:szCs w:val="32"/>
        </w:rPr>
      </w:pPr>
      <w:r>
        <w:rPr>
          <w:rFonts w:hint="eastAsia"/>
          <w:szCs w:val="32"/>
        </w:rPr>
        <w:t>各区县、</w:t>
      </w:r>
      <w:r>
        <w:rPr>
          <w:szCs w:val="32"/>
        </w:rPr>
        <w:t>各部门</w:t>
      </w:r>
      <w:r>
        <w:rPr>
          <w:rFonts w:hint="eastAsia"/>
          <w:szCs w:val="32"/>
        </w:rPr>
        <w:t>按照本方案要求，加强统筹协调</w:t>
      </w:r>
      <w:r>
        <w:rPr>
          <w:szCs w:val="32"/>
        </w:rPr>
        <w:t>，</w:t>
      </w:r>
      <w:r>
        <w:rPr>
          <w:rFonts w:hint="eastAsia"/>
          <w:szCs w:val="32"/>
        </w:rPr>
        <w:t>落实</w:t>
      </w:r>
      <w:r>
        <w:rPr>
          <w:szCs w:val="32"/>
        </w:rPr>
        <w:t>各项措施，</w:t>
      </w:r>
      <w:r>
        <w:rPr>
          <w:rFonts w:hint="eastAsia" w:cs="方正仿宋_GBK"/>
          <w:szCs w:val="32"/>
        </w:rPr>
        <w:t>开展“个转企”重点培育。</w:t>
      </w:r>
    </w:p>
    <w:p>
      <w:pPr>
        <w:overflowPunct w:val="0"/>
        <w:ind w:firstLine="632" w:firstLineChars="200"/>
        <w:rPr>
          <w:szCs w:val="32"/>
        </w:rPr>
      </w:pPr>
      <w:r>
        <w:rPr>
          <w:rFonts w:hint="eastAsia" w:cs="方正仿宋_GBK"/>
          <w:szCs w:val="32"/>
        </w:rPr>
        <w:t>对“个转企”后行</w:t>
      </w:r>
      <w:r>
        <w:rPr>
          <w:rFonts w:hint="eastAsia"/>
          <w:szCs w:val="32"/>
        </w:rPr>
        <w:t>政许可（备案）事项（以</w:t>
      </w:r>
      <w:r>
        <w:rPr>
          <w:szCs w:val="32"/>
        </w:rPr>
        <w:t>下简称许可事项）的衔接办理，结合实际分层次分步骤推进实施：1</w:t>
      </w:r>
      <w:r>
        <w:rPr>
          <w:rFonts w:hint="eastAsia"/>
          <w:szCs w:val="32"/>
        </w:rPr>
        <w:t>．</w:t>
      </w:r>
      <w:r>
        <w:rPr>
          <w:szCs w:val="32"/>
        </w:rPr>
        <w:t>落地实施一批。对部分高频许可事项（详见附件3），相关部门采取变更方式直接办理许可证，为个体工商户</w:t>
      </w:r>
      <w:r>
        <w:rPr>
          <w:color w:val="000000"/>
          <w:szCs w:val="32"/>
        </w:rPr>
        <w:t>开辟绿色通道，快速便捷办理</w:t>
      </w:r>
      <w:r>
        <w:rPr>
          <w:szCs w:val="32"/>
        </w:rPr>
        <w:t>。2</w:t>
      </w:r>
      <w:r>
        <w:rPr>
          <w:rFonts w:hint="eastAsia"/>
          <w:szCs w:val="32"/>
        </w:rPr>
        <w:t>．</w:t>
      </w:r>
      <w:r>
        <w:rPr>
          <w:szCs w:val="32"/>
        </w:rPr>
        <w:t>优化集成一批。对已明确可以直接变更的许可事项，探索注册登记与行政许可集成化办理，实现注册许可一次申请、材料一次提交、证照一次领取。3</w:t>
      </w:r>
      <w:r>
        <w:rPr>
          <w:rFonts w:hint="eastAsia"/>
          <w:szCs w:val="32"/>
        </w:rPr>
        <w:t>．</w:t>
      </w:r>
      <w:r>
        <w:rPr>
          <w:szCs w:val="32"/>
        </w:rPr>
        <w:t>持续推进一批。</w:t>
      </w:r>
      <w:r>
        <w:rPr>
          <w:rFonts w:hint="eastAsia" w:cs="方正仿宋_GBK"/>
          <w:szCs w:val="32"/>
        </w:rPr>
        <w:t>推动相关部门加强“个转企”许可事项与注册登记的工作衔接，</w:t>
      </w:r>
      <w:r>
        <w:rPr>
          <w:rFonts w:hint="eastAsia" w:cs="方正仿宋_GBK"/>
          <w:color w:val="000000"/>
          <w:szCs w:val="32"/>
        </w:rPr>
        <w:t>按</w:t>
      </w:r>
      <w:r>
        <w:rPr>
          <w:color w:val="000000"/>
          <w:szCs w:val="32"/>
        </w:rPr>
        <w:t>照再造流程、简化手续的要求，依法分类办理许可</w:t>
      </w:r>
      <w:r>
        <w:rPr>
          <w:szCs w:val="32"/>
        </w:rPr>
        <w:t>。</w:t>
      </w:r>
    </w:p>
    <w:p>
      <w:pPr>
        <w:overflowPunct w:val="0"/>
        <w:ind w:firstLine="632" w:firstLineChars="200"/>
        <w:rPr>
          <w:szCs w:val="32"/>
        </w:rPr>
      </w:pPr>
      <w:r>
        <w:rPr>
          <w:rFonts w:eastAsia="方正楷体_GBK"/>
          <w:szCs w:val="32"/>
        </w:rPr>
        <w:t>（三）总结提升</w:t>
      </w:r>
      <w:r>
        <w:rPr>
          <w:szCs w:val="32"/>
        </w:rPr>
        <w:t>（</w:t>
      </w:r>
      <w:r>
        <w:rPr>
          <w:rFonts w:eastAsia="方正楷体_GBK"/>
          <w:szCs w:val="32"/>
        </w:rPr>
        <w:t>2023年12月—持续推进</w:t>
      </w:r>
      <w:r>
        <w:rPr>
          <w:szCs w:val="32"/>
        </w:rPr>
        <w:t>）</w:t>
      </w:r>
      <w:r>
        <w:rPr>
          <w:rFonts w:hint="eastAsia"/>
          <w:szCs w:val="32"/>
        </w:rPr>
        <w:t>。</w:t>
      </w:r>
    </w:p>
    <w:p>
      <w:pPr>
        <w:overflowPunct w:val="0"/>
        <w:ind w:firstLine="632" w:firstLineChars="200"/>
        <w:rPr>
          <w:szCs w:val="32"/>
        </w:rPr>
      </w:pPr>
      <w:r>
        <w:rPr>
          <w:rFonts w:hint="eastAsia"/>
          <w:szCs w:val="32"/>
        </w:rPr>
        <w:t>梳理总结“个转企”工作总体</w:t>
      </w:r>
      <w:r>
        <w:rPr>
          <w:szCs w:val="32"/>
        </w:rPr>
        <w:t>情况</w:t>
      </w:r>
      <w:r>
        <w:rPr>
          <w:rFonts w:hint="eastAsia"/>
          <w:szCs w:val="32"/>
        </w:rPr>
        <w:t>及成效，</w:t>
      </w:r>
      <w:r>
        <w:rPr>
          <w:szCs w:val="32"/>
        </w:rPr>
        <w:t>对各区县、各部门工作</w:t>
      </w:r>
      <w:r>
        <w:rPr>
          <w:rFonts w:hint="eastAsia"/>
          <w:szCs w:val="32"/>
        </w:rPr>
        <w:t>亮点做法进行</w:t>
      </w:r>
      <w:r>
        <w:rPr>
          <w:szCs w:val="32"/>
        </w:rPr>
        <w:t>总结，形成并复制推广一批典型经验。</w:t>
      </w:r>
      <w:r>
        <w:rPr>
          <w:rFonts w:hint="eastAsia"/>
          <w:szCs w:val="32"/>
        </w:rPr>
        <w:t>及时收集工作</w:t>
      </w:r>
      <w:r>
        <w:rPr>
          <w:szCs w:val="32"/>
        </w:rPr>
        <w:t>推进中</w:t>
      </w:r>
      <w:r>
        <w:rPr>
          <w:rFonts w:hint="eastAsia"/>
          <w:szCs w:val="32"/>
        </w:rPr>
        <w:t>存在的主要问题及</w:t>
      </w:r>
      <w:r>
        <w:rPr>
          <w:szCs w:val="32"/>
        </w:rPr>
        <w:t>工作建议</w:t>
      </w:r>
      <w:r>
        <w:rPr>
          <w:rFonts w:hint="eastAsia"/>
          <w:szCs w:val="32"/>
        </w:rPr>
        <w:t>，在简化转型手续、降低转型成本、支持延续经营等方面深入</w:t>
      </w:r>
      <w:r>
        <w:rPr>
          <w:szCs w:val="32"/>
        </w:rPr>
        <w:t>跟进</w:t>
      </w:r>
      <w:r>
        <w:rPr>
          <w:rFonts w:hint="eastAsia"/>
          <w:szCs w:val="32"/>
        </w:rPr>
        <w:t>了解相关</w:t>
      </w:r>
      <w:r>
        <w:rPr>
          <w:szCs w:val="32"/>
        </w:rPr>
        <w:t>情况，</w:t>
      </w:r>
      <w:r>
        <w:rPr>
          <w:rFonts w:hint="eastAsia"/>
          <w:szCs w:val="32"/>
        </w:rPr>
        <w:t>协调解决问题</w:t>
      </w:r>
      <w:r>
        <w:rPr>
          <w:szCs w:val="32"/>
        </w:rPr>
        <w:t>困难。</w:t>
      </w:r>
    </w:p>
    <w:p>
      <w:pPr>
        <w:overflowPunct w:val="0"/>
        <w:ind w:firstLine="632" w:firstLineChars="200"/>
        <w:rPr>
          <w:rFonts w:eastAsia="方正黑体_GBK"/>
          <w:szCs w:val="32"/>
        </w:rPr>
      </w:pPr>
      <w:r>
        <w:rPr>
          <w:rFonts w:hint="eastAsia" w:eastAsia="方正黑体_GBK"/>
          <w:szCs w:val="32"/>
        </w:rPr>
        <w:t>六</w:t>
      </w:r>
      <w:r>
        <w:rPr>
          <w:rFonts w:eastAsia="方正黑体_GBK"/>
          <w:szCs w:val="32"/>
        </w:rPr>
        <w:t>、工作要求</w:t>
      </w:r>
    </w:p>
    <w:p>
      <w:pPr>
        <w:overflowPunct w:val="0"/>
        <w:ind w:firstLine="632" w:firstLineChars="200"/>
        <w:rPr>
          <w:szCs w:val="32"/>
        </w:rPr>
      </w:pPr>
      <w:r>
        <w:rPr>
          <w:rFonts w:hint="eastAsia" w:eastAsia="方正楷体_GBK"/>
          <w:szCs w:val="32"/>
        </w:rPr>
        <w:t>（一）提高政治站位。</w:t>
      </w:r>
      <w:r>
        <w:rPr>
          <w:rFonts w:hint="eastAsia"/>
          <w:szCs w:val="32"/>
        </w:rPr>
        <w:t>个体工商户的发展关系稳增长、促就业、惠民生大局，各区县、市级有关部门要进一步提高政治站位，深刻认识扶持个体工商户发展工作的重要意义，高度重视个体工商户培育发展，以学习贯彻习近平新时代中国特色社会主义思想主题教育为契机，将推动“个转企”作为进一步优化营商环境、促进市场主体高质量发展的重要抓手，扎实推进、务求实效。</w:t>
      </w:r>
    </w:p>
    <w:p>
      <w:pPr>
        <w:overflowPunct w:val="0"/>
        <w:ind w:firstLine="632" w:firstLineChars="200"/>
        <w:rPr>
          <w:szCs w:val="32"/>
        </w:rPr>
      </w:pPr>
      <w:r>
        <w:rPr>
          <w:rFonts w:hint="eastAsia" w:eastAsia="方正楷体_GBK"/>
          <w:szCs w:val="32"/>
        </w:rPr>
        <w:t>（二）深化</w:t>
      </w:r>
      <w:r>
        <w:rPr>
          <w:rFonts w:eastAsia="方正楷体_GBK"/>
          <w:szCs w:val="32"/>
        </w:rPr>
        <w:t>任务落实。</w:t>
      </w:r>
      <w:r>
        <w:rPr>
          <w:rFonts w:hint="eastAsia"/>
          <w:szCs w:val="32"/>
        </w:rPr>
        <w:t>充分发挥市级扶持个体工商户发展部门联席会议制度作用，建立工作专班，健全运行调度、部门会商、信息通报等工作机制，加强统筹协调、明确职责分工、细化工作任务，打表推进、闭环管理，推动“个转企”工作走深走实。各区县要结合自身实际从资金奖励、提供公共服务等方面对“个转企”工作给予支持。</w:t>
      </w:r>
    </w:p>
    <w:p>
      <w:pPr>
        <w:overflowPunct w:val="0"/>
        <w:ind w:firstLine="632" w:firstLineChars="200"/>
        <w:rPr>
          <w:rFonts w:eastAsia="方正楷体_GBK"/>
          <w:szCs w:val="32"/>
        </w:rPr>
      </w:pPr>
      <w:r>
        <w:rPr>
          <w:rFonts w:hint="eastAsia" w:eastAsia="方正楷体_GBK"/>
          <w:szCs w:val="32"/>
        </w:rPr>
        <w:t>（三）加强督促指导。</w:t>
      </w:r>
      <w:r>
        <w:rPr>
          <w:rFonts w:hint="eastAsia"/>
          <w:szCs w:val="32"/>
        </w:rPr>
        <w:t>健全督查督办和总结评估机制，加强对“个转企”工作落实情况的跟踪督导，定期收集各区县、市级有关部门工作开展情况，定期开展督导检查和评估，对工作推进不力、措施执行不到位等影响政策落地实效的情况进行通报。对“个转企”工作中弄虚作假的，在优化营商环境考核、“五色图”评价中实行一票否决。健全激励约束机制和容错纠错机制，鼓励各区县、市级有关部门结合实际，改革创新，完善政策举措，确保工作实效。</w:t>
      </w:r>
    </w:p>
    <w:p>
      <w:pPr>
        <w:overflowPunct w:val="0"/>
        <w:ind w:firstLine="632" w:firstLineChars="200"/>
        <w:rPr>
          <w:szCs w:val="32"/>
        </w:rPr>
      </w:pPr>
      <w:r>
        <w:rPr>
          <w:rFonts w:hint="eastAsia" w:eastAsia="方正楷体_GBK"/>
          <w:szCs w:val="32"/>
        </w:rPr>
        <w:t>（四）注重宣传引导。</w:t>
      </w:r>
      <w:r>
        <w:rPr>
          <w:rFonts w:hint="eastAsia"/>
          <w:szCs w:val="32"/>
        </w:rPr>
        <w:t>各区县、市级有关部门要加强对“个转企”工作的宣传推介和政策解读，制定发布详尽政策解读和具体操作流程，加大宣传力度，进一步提升政策知晓度，深入报道“个转企”先进典型案例，为工作开展营造浓厚氛围，增强符合条件的个体工商户转型为企业的意愿和主动性。</w:t>
      </w:r>
    </w:p>
    <w:p>
      <w:pPr>
        <w:overflowPunct w:val="0"/>
        <w:ind w:firstLine="632" w:firstLineChars="200"/>
        <w:rPr>
          <w:szCs w:val="32"/>
        </w:rPr>
      </w:pPr>
    </w:p>
    <w:p>
      <w:pPr>
        <w:overflowPunct w:val="0"/>
        <w:ind w:firstLine="632" w:firstLineChars="200"/>
        <w:rPr>
          <w:szCs w:val="32"/>
        </w:rPr>
      </w:pPr>
      <w:r>
        <w:rPr>
          <w:rFonts w:hint="eastAsia"/>
          <w:szCs w:val="32"/>
        </w:rPr>
        <w:t>附件：1</w:t>
      </w:r>
      <w:r>
        <w:rPr>
          <w:szCs w:val="32"/>
        </w:rPr>
        <w:t>．</w:t>
      </w:r>
      <w:r>
        <w:rPr>
          <w:rFonts w:hint="eastAsia"/>
          <w:szCs w:val="32"/>
        </w:rPr>
        <w:t>“个转企</w:t>
      </w:r>
      <w:r>
        <w:rPr>
          <w:szCs w:val="32"/>
        </w:rPr>
        <w:t>”</w:t>
      </w:r>
      <w:r>
        <w:rPr>
          <w:rFonts w:hint="eastAsia"/>
          <w:szCs w:val="32"/>
        </w:rPr>
        <w:t>提交</w:t>
      </w:r>
      <w:r>
        <w:rPr>
          <w:szCs w:val="32"/>
        </w:rPr>
        <w:t>材料</w:t>
      </w:r>
      <w:r>
        <w:rPr>
          <w:rFonts w:hint="eastAsia"/>
          <w:szCs w:val="32"/>
        </w:rPr>
        <w:t>规范</w:t>
      </w:r>
    </w:p>
    <w:p>
      <w:pPr>
        <w:overflowPunct w:val="0"/>
        <w:rPr>
          <w:szCs w:val="32"/>
        </w:rPr>
      </w:pPr>
      <w:r>
        <w:rPr>
          <w:rFonts w:hint="eastAsia"/>
          <w:szCs w:val="32"/>
        </w:rPr>
        <w:t xml:space="preserve">          2</w:t>
      </w:r>
      <w:r>
        <w:rPr>
          <w:szCs w:val="32"/>
        </w:rPr>
        <w:t>．</w:t>
      </w:r>
      <w:r>
        <w:rPr>
          <w:rFonts w:hint="eastAsia"/>
          <w:szCs w:val="32"/>
        </w:rPr>
        <w:t>个体工商户</w:t>
      </w:r>
      <w:r>
        <w:rPr>
          <w:szCs w:val="32"/>
        </w:rPr>
        <w:t>转型为企业</w:t>
      </w:r>
      <w:r>
        <w:rPr>
          <w:rFonts w:hint="eastAsia"/>
          <w:szCs w:val="32"/>
        </w:rPr>
        <w:t>申请书</w:t>
      </w:r>
    </w:p>
    <w:p>
      <w:pPr>
        <w:overflowPunct w:val="0"/>
        <w:ind w:firstLine="1561" w:firstLineChars="494"/>
        <w:rPr>
          <w:szCs w:val="32"/>
        </w:rPr>
      </w:pPr>
      <w:r>
        <w:rPr>
          <w:szCs w:val="32"/>
        </w:rPr>
        <w:t>3．</w:t>
      </w:r>
      <w:r>
        <w:rPr>
          <w:rFonts w:hint="eastAsia"/>
          <w:szCs w:val="32"/>
        </w:rPr>
        <w:t>个体工商户</w:t>
      </w:r>
      <w:r>
        <w:rPr>
          <w:szCs w:val="32"/>
        </w:rPr>
        <w:t>转型为企业证明</w:t>
      </w:r>
    </w:p>
    <w:p>
      <w:pPr>
        <w:overflowPunct w:val="0"/>
        <w:ind w:firstLine="1565" w:firstLineChars="495"/>
        <w:rPr>
          <w:szCs w:val="32"/>
        </w:rPr>
      </w:pPr>
      <w:r>
        <w:rPr>
          <w:szCs w:val="32"/>
        </w:rPr>
        <w:t>4</w:t>
      </w:r>
      <w:r>
        <w:rPr>
          <w:rFonts w:hint="eastAsia"/>
          <w:szCs w:val="32"/>
        </w:rPr>
        <w:t xml:space="preserve">. </w:t>
      </w:r>
      <w:r>
        <w:rPr>
          <w:szCs w:val="32"/>
        </w:rPr>
        <w:t>办理</w:t>
      </w:r>
      <w:r>
        <w:rPr>
          <w:rFonts w:hint="eastAsia"/>
          <w:szCs w:val="32"/>
        </w:rPr>
        <w:t>“个转企</w:t>
      </w:r>
      <w:r>
        <w:rPr>
          <w:szCs w:val="32"/>
        </w:rPr>
        <w:t>”</w:t>
      </w:r>
      <w:r>
        <w:rPr>
          <w:rFonts w:hint="eastAsia"/>
          <w:szCs w:val="32"/>
        </w:rPr>
        <w:t>变更</w:t>
      </w:r>
      <w:r>
        <w:rPr>
          <w:szCs w:val="32"/>
        </w:rPr>
        <w:t>许可事项</w:t>
      </w:r>
      <w:r>
        <w:rPr>
          <w:rFonts w:hint="eastAsia"/>
          <w:szCs w:val="32"/>
        </w:rPr>
        <w:t>清单</w:t>
      </w:r>
    </w:p>
    <w:p>
      <w:pPr>
        <w:overflowPunct w:val="0"/>
        <w:jc w:val="left"/>
        <w:rPr>
          <w:rFonts w:eastAsia="方正黑体_GBK"/>
          <w:szCs w:val="32"/>
        </w:rPr>
      </w:pPr>
      <w:r>
        <w:rPr>
          <w:szCs w:val="32"/>
        </w:rPr>
        <w:br w:type="page"/>
      </w:r>
      <w:r>
        <w:rPr>
          <w:rFonts w:hint="eastAsia" w:eastAsia="方正黑体_GBK"/>
          <w:szCs w:val="32"/>
        </w:rPr>
        <w:t>附件1</w:t>
      </w:r>
    </w:p>
    <w:p>
      <w:pPr>
        <w:pStyle w:val="4"/>
        <w:overflowPunct w:val="0"/>
        <w:rPr>
          <w:rFonts w:ascii="Times New Roman" w:eastAsia="方正仿宋_GBK" w:cs="方正仿宋_GBK"/>
          <w:sz w:val="32"/>
          <w:szCs w:val="32"/>
        </w:rPr>
      </w:pPr>
    </w:p>
    <w:p>
      <w:pPr>
        <w:overflowPunct w:val="0"/>
        <w:adjustRightInd w:val="0"/>
        <w:snapToGrid w:val="0"/>
        <w:spacing w:line="720" w:lineRule="atLeast"/>
        <w:jc w:val="center"/>
        <w:rPr>
          <w:rFonts w:eastAsia="方正小标宋_GBK"/>
          <w:sz w:val="44"/>
          <w:szCs w:val="44"/>
        </w:rPr>
      </w:pPr>
      <w:r>
        <w:rPr>
          <w:rFonts w:eastAsia="方正小标宋_GBK"/>
          <w:sz w:val="44"/>
          <w:szCs w:val="44"/>
        </w:rPr>
        <w:t>个体工商户转型为个人独资企业</w:t>
      </w:r>
    </w:p>
    <w:p>
      <w:pPr>
        <w:overflowPunct w:val="0"/>
        <w:adjustRightInd w:val="0"/>
        <w:snapToGrid w:val="0"/>
        <w:spacing w:line="720" w:lineRule="atLeast"/>
        <w:jc w:val="center"/>
        <w:rPr>
          <w:rFonts w:eastAsia="方正小标宋_GBK"/>
          <w:sz w:val="44"/>
          <w:szCs w:val="44"/>
        </w:rPr>
      </w:pPr>
      <w:r>
        <w:rPr>
          <w:rFonts w:eastAsia="方正小标宋_GBK"/>
          <w:sz w:val="44"/>
          <w:szCs w:val="44"/>
        </w:rPr>
        <w:t>提交材料规范</w:t>
      </w:r>
    </w:p>
    <w:p>
      <w:pPr>
        <w:overflowPunct w:val="0"/>
        <w:adjustRightInd w:val="0"/>
        <w:ind w:firstLine="630"/>
        <w:rPr>
          <w:rFonts w:eastAsia="方正小标宋_GBK"/>
          <w:szCs w:val="32"/>
        </w:rPr>
      </w:pPr>
    </w:p>
    <w:p>
      <w:pPr>
        <w:tabs>
          <w:tab w:val="left" w:pos="990"/>
        </w:tabs>
        <w:overflowPunct w:val="0"/>
        <w:ind w:left="630"/>
        <w:rPr>
          <w:szCs w:val="32"/>
        </w:rPr>
      </w:pPr>
      <w:r>
        <w:rPr>
          <w:rFonts w:hint="eastAsia"/>
          <w:szCs w:val="32"/>
        </w:rPr>
        <w:t>1．《个体工商户转型为企业申请书》。</w:t>
      </w:r>
    </w:p>
    <w:p>
      <w:pPr>
        <w:overflowPunct w:val="0"/>
        <w:ind w:left="630"/>
        <w:rPr>
          <w:szCs w:val="32"/>
        </w:rPr>
      </w:pPr>
      <w:r>
        <w:rPr>
          <w:rFonts w:hint="eastAsia"/>
          <w:szCs w:val="32"/>
        </w:rPr>
        <w:t>2．《个人独资企业登记（备案）申请书》。</w:t>
      </w:r>
    </w:p>
    <w:p>
      <w:pPr>
        <w:overflowPunct w:val="0"/>
        <w:ind w:firstLine="632" w:firstLineChars="200"/>
        <w:rPr>
          <w:szCs w:val="32"/>
        </w:rPr>
      </w:pPr>
      <w:r>
        <w:rPr>
          <w:rFonts w:hint="eastAsia"/>
          <w:szCs w:val="32"/>
        </w:rPr>
        <w:t>3．投资人身份证件复印件（在申请书中粘贴身份证复印件即可）。</w:t>
      </w:r>
    </w:p>
    <w:p>
      <w:pPr>
        <w:overflowPunct w:val="0"/>
        <w:ind w:firstLine="632" w:firstLineChars="200"/>
        <w:rPr>
          <w:szCs w:val="32"/>
        </w:rPr>
      </w:pPr>
      <w:r>
        <w:rPr>
          <w:rFonts w:hint="eastAsia"/>
          <w:szCs w:val="32"/>
        </w:rPr>
        <w:t>4．住所相关文件（住所未发生变化的可免于提交）。</w:t>
      </w:r>
    </w:p>
    <w:p>
      <w:pPr>
        <w:overflowPunct w:val="0"/>
        <w:ind w:firstLine="632" w:firstLineChars="200"/>
        <w:rPr>
          <w:szCs w:val="32"/>
        </w:rPr>
      </w:pPr>
      <w:r>
        <w:rPr>
          <w:rFonts w:hint="eastAsia"/>
          <w:szCs w:val="32"/>
        </w:rPr>
        <w:t>5．法律、行政法规和国务院决定在登记前须报经批准的或申请登记的经营范围中有法律、行政法规和国务院决定规定须在登记前报经批准的项目，提交有关批准文件或者许可证件的复印件。</w:t>
      </w:r>
    </w:p>
    <w:p>
      <w:pPr>
        <w:overflowPunct w:val="0"/>
        <w:ind w:firstLine="632" w:firstLineChars="200"/>
        <w:rPr>
          <w:szCs w:val="32"/>
        </w:rPr>
      </w:pPr>
      <w:r>
        <w:rPr>
          <w:rFonts w:hint="eastAsia"/>
          <w:szCs w:val="32"/>
        </w:rPr>
        <w:t>6．个体工商户已领取纸质版营业执照的，缴回营业执照正、副本原件。</w:t>
      </w:r>
    </w:p>
    <w:p>
      <w:pPr>
        <w:overflowPunct w:val="0"/>
        <w:rPr>
          <w:szCs w:val="32"/>
        </w:rPr>
      </w:pPr>
    </w:p>
    <w:p>
      <w:pPr>
        <w:overflowPunct w:val="0"/>
        <w:spacing w:line="600" w:lineRule="exact"/>
        <w:rPr>
          <w:szCs w:val="32"/>
        </w:rPr>
      </w:pPr>
    </w:p>
    <w:p>
      <w:pPr>
        <w:overflowPunct w:val="0"/>
        <w:spacing w:line="600" w:lineRule="exact"/>
        <w:rPr>
          <w:szCs w:val="32"/>
        </w:rPr>
      </w:pPr>
    </w:p>
    <w:p>
      <w:pPr>
        <w:overflowPunct w:val="0"/>
        <w:spacing w:line="600" w:lineRule="exact"/>
        <w:ind w:left="5212" w:hanging="5214" w:hangingChars="1650"/>
        <w:rPr>
          <w:rFonts w:eastAsia="方正小标宋_GBK"/>
          <w:szCs w:val="32"/>
        </w:rPr>
      </w:pPr>
      <w:r>
        <w:rPr>
          <w:rFonts w:hint="eastAsia"/>
          <w:szCs w:val="32"/>
        </w:rPr>
        <w:br w:type="page"/>
      </w:r>
    </w:p>
    <w:p>
      <w:pPr>
        <w:overflowPunct w:val="0"/>
        <w:adjustRightInd w:val="0"/>
        <w:snapToGrid w:val="0"/>
        <w:spacing w:line="720" w:lineRule="atLeast"/>
        <w:jc w:val="center"/>
        <w:rPr>
          <w:rFonts w:eastAsia="方正小标宋_GBK"/>
          <w:sz w:val="44"/>
          <w:szCs w:val="44"/>
        </w:rPr>
      </w:pPr>
      <w:r>
        <w:rPr>
          <w:rFonts w:eastAsia="方正小标宋_GBK"/>
          <w:sz w:val="44"/>
          <w:szCs w:val="44"/>
        </w:rPr>
        <w:t>个体工商户转型为合伙企业提交材料规范</w:t>
      </w:r>
    </w:p>
    <w:p>
      <w:pPr>
        <w:overflowPunct w:val="0"/>
        <w:adjustRightInd w:val="0"/>
        <w:jc w:val="center"/>
        <w:rPr>
          <w:rFonts w:eastAsia="方正小标宋_GBK"/>
          <w:szCs w:val="32"/>
        </w:rPr>
      </w:pPr>
    </w:p>
    <w:p>
      <w:pPr>
        <w:overflowPunct w:val="0"/>
        <w:adjustRightInd w:val="0"/>
        <w:ind w:left="630"/>
        <w:rPr>
          <w:szCs w:val="32"/>
        </w:rPr>
      </w:pPr>
      <w:r>
        <w:rPr>
          <w:rFonts w:hint="eastAsia"/>
          <w:szCs w:val="32"/>
        </w:rPr>
        <w:t>1．《个体工商户转型为企业申请书》。</w:t>
      </w:r>
    </w:p>
    <w:p>
      <w:pPr>
        <w:overflowPunct w:val="0"/>
        <w:adjustRightInd w:val="0"/>
        <w:ind w:left="630"/>
        <w:rPr>
          <w:szCs w:val="32"/>
        </w:rPr>
      </w:pPr>
      <w:r>
        <w:rPr>
          <w:rFonts w:hint="eastAsia"/>
          <w:szCs w:val="32"/>
        </w:rPr>
        <w:t>2．《合伙企业登记（备案）申请书》。</w:t>
      </w:r>
    </w:p>
    <w:p>
      <w:pPr>
        <w:overflowPunct w:val="0"/>
        <w:adjustRightInd w:val="0"/>
        <w:ind w:left="630"/>
        <w:rPr>
          <w:szCs w:val="32"/>
        </w:rPr>
      </w:pPr>
      <w:r>
        <w:rPr>
          <w:rFonts w:hint="eastAsia"/>
          <w:szCs w:val="32"/>
        </w:rPr>
        <w:t>3．全体合伙人签署的合伙协议。</w:t>
      </w:r>
    </w:p>
    <w:p>
      <w:pPr>
        <w:overflowPunct w:val="0"/>
        <w:adjustRightInd w:val="0"/>
        <w:ind w:firstLine="632" w:firstLineChars="200"/>
        <w:rPr>
          <w:szCs w:val="32"/>
        </w:rPr>
      </w:pPr>
      <w:r>
        <w:rPr>
          <w:rFonts w:hint="eastAsia"/>
          <w:szCs w:val="32"/>
        </w:rPr>
        <w:t>4．全体合伙人的主体资格文件或自然人身份证明。</w:t>
      </w:r>
    </w:p>
    <w:p>
      <w:pPr>
        <w:overflowPunct w:val="0"/>
        <w:adjustRightInd w:val="0"/>
        <w:ind w:firstLine="632" w:firstLineChars="200"/>
        <w:rPr>
          <w:szCs w:val="32"/>
        </w:rPr>
      </w:pPr>
      <w:r>
        <w:rPr>
          <w:rFonts w:hint="eastAsia"/>
          <w:szCs w:val="32"/>
        </w:rPr>
        <w:t>5．主要经营场所使用相关文件（主要经营场所未发生变化的可免于提交）。</w:t>
      </w:r>
    </w:p>
    <w:p>
      <w:pPr>
        <w:overflowPunct w:val="0"/>
        <w:adjustRightInd w:val="0"/>
        <w:ind w:firstLine="632" w:firstLineChars="200"/>
        <w:rPr>
          <w:szCs w:val="32"/>
        </w:rPr>
      </w:pPr>
      <w:r>
        <w:rPr>
          <w:rFonts w:hint="eastAsia"/>
          <w:szCs w:val="32"/>
        </w:rPr>
        <w:t>6．法律、行政法规规定设立特殊的普通合伙企业需要提交合伙人的职业资格证明的，提交相应证明。</w:t>
      </w:r>
    </w:p>
    <w:p>
      <w:pPr>
        <w:overflowPunct w:val="0"/>
        <w:adjustRightInd w:val="0"/>
        <w:ind w:left="630"/>
        <w:rPr>
          <w:szCs w:val="32"/>
        </w:rPr>
      </w:pPr>
      <w:r>
        <w:rPr>
          <w:rFonts w:hint="eastAsia"/>
          <w:szCs w:val="32"/>
        </w:rPr>
        <w:t>7．法律、行政法规和国务院决定在登记前须报经批准的或</w:t>
      </w:r>
    </w:p>
    <w:p>
      <w:pPr>
        <w:overflowPunct w:val="0"/>
        <w:adjustRightInd w:val="0"/>
        <w:rPr>
          <w:szCs w:val="32"/>
        </w:rPr>
      </w:pPr>
      <w:r>
        <w:rPr>
          <w:rFonts w:hint="eastAsia"/>
          <w:szCs w:val="32"/>
        </w:rPr>
        <w:t>登记的经营范围中有法律、行政法规和国务院决定规定须在登记前报经批准的项目，提交有关批准文件或者许可证件的复印件。</w:t>
      </w:r>
    </w:p>
    <w:p>
      <w:pPr>
        <w:overflowPunct w:val="0"/>
        <w:adjustRightInd w:val="0"/>
        <w:ind w:firstLine="632" w:firstLineChars="200"/>
        <w:rPr>
          <w:rFonts w:eastAsia="方正仿宋简体"/>
          <w:szCs w:val="32"/>
        </w:rPr>
      </w:pPr>
      <w:r>
        <w:rPr>
          <w:rFonts w:hint="eastAsia"/>
          <w:szCs w:val="32"/>
        </w:rPr>
        <w:t>8．个体工商户已领取纸质版营业执照的，缴回营业执照正、副本原件。</w:t>
      </w:r>
    </w:p>
    <w:p>
      <w:pPr>
        <w:overflowPunct w:val="0"/>
        <w:adjustRightInd w:val="0"/>
        <w:snapToGrid w:val="0"/>
        <w:spacing w:line="600" w:lineRule="exact"/>
        <w:ind w:left="960" w:leftChars="304"/>
        <w:rPr>
          <w:rFonts w:eastAsia="方正仿宋简体"/>
          <w:szCs w:val="32"/>
        </w:rPr>
      </w:pPr>
    </w:p>
    <w:p>
      <w:pPr>
        <w:overflowPunct w:val="0"/>
        <w:adjustRightInd w:val="0"/>
        <w:snapToGrid w:val="0"/>
        <w:spacing w:line="600" w:lineRule="exact"/>
        <w:ind w:firstLine="632" w:firstLineChars="200"/>
        <w:rPr>
          <w:rFonts w:eastAsia="方正仿宋简体"/>
          <w:szCs w:val="32"/>
        </w:rPr>
      </w:pPr>
    </w:p>
    <w:p>
      <w:pPr>
        <w:overflowPunct w:val="0"/>
        <w:rPr>
          <w:rFonts w:eastAsia="方正小标宋_GBK"/>
          <w:szCs w:val="32"/>
        </w:rPr>
      </w:pPr>
      <w:r>
        <w:rPr>
          <w:rFonts w:eastAsia="方正黑体简体"/>
          <w:szCs w:val="32"/>
        </w:rPr>
        <w:br w:type="page"/>
      </w:r>
    </w:p>
    <w:p>
      <w:pPr>
        <w:overflowPunct w:val="0"/>
        <w:adjustRightInd w:val="0"/>
        <w:snapToGrid w:val="0"/>
        <w:spacing w:line="720" w:lineRule="atLeast"/>
        <w:jc w:val="center"/>
        <w:rPr>
          <w:rFonts w:eastAsia="方正小标宋_GBK"/>
          <w:sz w:val="44"/>
          <w:szCs w:val="44"/>
        </w:rPr>
      </w:pPr>
      <w:r>
        <w:rPr>
          <w:rFonts w:eastAsia="方正小标宋_GBK"/>
          <w:sz w:val="44"/>
          <w:szCs w:val="44"/>
        </w:rPr>
        <w:t>个体工商户转型为公司提交材料规范</w:t>
      </w:r>
    </w:p>
    <w:p>
      <w:pPr>
        <w:overflowPunct w:val="0"/>
        <w:adjustRightInd w:val="0"/>
        <w:snapToGrid w:val="0"/>
        <w:spacing w:line="600" w:lineRule="exact"/>
        <w:jc w:val="center"/>
        <w:rPr>
          <w:rFonts w:eastAsia="方正小标宋_GBK"/>
          <w:szCs w:val="32"/>
        </w:rPr>
      </w:pPr>
    </w:p>
    <w:p>
      <w:pPr>
        <w:overflowPunct w:val="0"/>
        <w:ind w:firstLine="632" w:firstLineChars="200"/>
        <w:rPr>
          <w:szCs w:val="32"/>
        </w:rPr>
      </w:pPr>
      <w:r>
        <w:rPr>
          <w:rFonts w:hint="eastAsia"/>
          <w:szCs w:val="32"/>
        </w:rPr>
        <w:t>1．《个体工商户转型为企业申请书》；</w:t>
      </w:r>
    </w:p>
    <w:p>
      <w:pPr>
        <w:overflowPunct w:val="0"/>
        <w:ind w:firstLine="632" w:firstLineChars="200"/>
        <w:rPr>
          <w:szCs w:val="32"/>
        </w:rPr>
      </w:pPr>
      <w:r>
        <w:rPr>
          <w:rFonts w:hint="eastAsia"/>
          <w:szCs w:val="32"/>
        </w:rPr>
        <w:t>2．《公司登记（备案）申请书》。</w:t>
      </w:r>
    </w:p>
    <w:p>
      <w:pPr>
        <w:overflowPunct w:val="0"/>
        <w:ind w:firstLine="632" w:firstLineChars="200"/>
        <w:rPr>
          <w:szCs w:val="32"/>
        </w:rPr>
      </w:pPr>
      <w:r>
        <w:rPr>
          <w:rFonts w:hint="eastAsia"/>
          <w:szCs w:val="32"/>
        </w:rPr>
        <w:t>3．公司章程（有限责任公司由全体股东签署，股份有限公司由全体发起人签署）。</w:t>
      </w:r>
    </w:p>
    <w:p>
      <w:pPr>
        <w:overflowPunct w:val="0"/>
        <w:ind w:firstLine="632" w:firstLineChars="200"/>
        <w:rPr>
          <w:szCs w:val="32"/>
        </w:rPr>
      </w:pPr>
      <w:r>
        <w:rPr>
          <w:rFonts w:hint="eastAsia"/>
          <w:szCs w:val="32"/>
        </w:rPr>
        <w:t>4．股东、发起人的主体资格文件或自然人身份证明。</w:t>
      </w:r>
    </w:p>
    <w:p>
      <w:pPr>
        <w:overflowPunct w:val="0"/>
        <w:ind w:firstLine="632" w:firstLineChars="200"/>
        <w:rPr>
          <w:szCs w:val="32"/>
        </w:rPr>
      </w:pPr>
      <w:r>
        <w:rPr>
          <w:rFonts w:hint="eastAsia"/>
          <w:szCs w:val="32"/>
        </w:rPr>
        <w:t>5．法定代表人、董事、监事和高级管理人员的任职文件。法定代表人、董事、监事和高级管理人员的身份证件复印件（提交纸质材料办理登记的，在申请书中粘贴身份证复印件）。</w:t>
      </w:r>
    </w:p>
    <w:p>
      <w:pPr>
        <w:overflowPunct w:val="0"/>
        <w:ind w:firstLine="632" w:firstLineChars="200"/>
        <w:rPr>
          <w:szCs w:val="32"/>
        </w:rPr>
      </w:pPr>
      <w:r>
        <w:rPr>
          <w:rFonts w:hint="eastAsia"/>
          <w:szCs w:val="32"/>
        </w:rPr>
        <w:t>6．住所使用相关文件（住所未发生变化的可免于提交）。</w:t>
      </w:r>
    </w:p>
    <w:p>
      <w:pPr>
        <w:overflowPunct w:val="0"/>
        <w:ind w:firstLine="632" w:firstLineChars="200"/>
        <w:rPr>
          <w:szCs w:val="32"/>
        </w:rPr>
      </w:pPr>
      <w:r>
        <w:rPr>
          <w:rFonts w:hint="eastAsia"/>
          <w:szCs w:val="32"/>
        </w:rPr>
        <w:t>7．法律、行政法规和国务院决定规定设立公司必须报经批准的或公司申请登记的经营范围中有法律、行政法规和国务院决定规定必须在登记前报经批准的项目，提交有关批准文件或者许可证件的复印件。</w:t>
      </w:r>
    </w:p>
    <w:p>
      <w:pPr>
        <w:overflowPunct w:val="0"/>
        <w:ind w:firstLine="632" w:firstLineChars="200"/>
        <w:rPr>
          <w:rFonts w:eastAsia="方正仿宋简体"/>
          <w:szCs w:val="32"/>
        </w:rPr>
      </w:pPr>
      <w:r>
        <w:rPr>
          <w:rFonts w:hint="eastAsia"/>
          <w:szCs w:val="32"/>
        </w:rPr>
        <w:t>8．个体工商户已领取纸质版营业执照的，缴回营业执照正、副本原件。</w:t>
      </w:r>
    </w:p>
    <w:p>
      <w:pPr>
        <w:overflowPunct w:val="0"/>
        <w:rPr>
          <w:rFonts w:eastAsia="方正黑体_GBK"/>
          <w:szCs w:val="32"/>
        </w:rPr>
      </w:pPr>
    </w:p>
    <w:p>
      <w:pPr>
        <w:overflowPunct w:val="0"/>
        <w:spacing w:line="590" w:lineRule="exact"/>
        <w:ind w:firstLine="608" w:firstLineChars="200"/>
        <w:rPr>
          <w:rFonts w:cs="方正仿宋_GBK"/>
          <w:spacing w:val="-6"/>
          <w:szCs w:val="32"/>
        </w:rPr>
      </w:pPr>
    </w:p>
    <w:p>
      <w:pPr>
        <w:pStyle w:val="4"/>
        <w:overflowPunct w:val="0"/>
      </w:pPr>
    </w:p>
    <w:p>
      <w:pPr>
        <w:overflowPunct w:val="0"/>
        <w:adjustRightInd w:val="0"/>
        <w:jc w:val="left"/>
        <w:rPr>
          <w:rFonts w:eastAsia="方正黑体_GBK"/>
          <w:szCs w:val="32"/>
        </w:rPr>
      </w:pPr>
      <w:r>
        <w:rPr>
          <w:rFonts w:hint="eastAsia" w:eastAsia="方正黑体_GBK"/>
          <w:szCs w:val="32"/>
        </w:rPr>
        <w:t>附件2</w:t>
      </w:r>
    </w:p>
    <w:p>
      <w:pPr>
        <w:pStyle w:val="4"/>
        <w:overflowPunct w:val="0"/>
        <w:rPr>
          <w:rFonts w:ascii="Times New Roman" w:eastAsia="方正仿宋_GBK" w:cs="方正仿宋_GBK"/>
          <w:sz w:val="32"/>
          <w:szCs w:val="32"/>
        </w:rPr>
      </w:pPr>
    </w:p>
    <w:p>
      <w:pPr>
        <w:overflowPunct w:val="0"/>
        <w:adjustRightInd w:val="0"/>
        <w:snapToGrid w:val="0"/>
        <w:spacing w:line="720" w:lineRule="atLeast"/>
        <w:jc w:val="center"/>
        <w:rPr>
          <w:rFonts w:eastAsia="方正小标宋_GBK"/>
          <w:sz w:val="44"/>
          <w:szCs w:val="44"/>
        </w:rPr>
      </w:pPr>
      <w:r>
        <w:rPr>
          <w:rFonts w:eastAsia="方正小标宋_GBK"/>
          <w:sz w:val="44"/>
          <w:szCs w:val="44"/>
        </w:rPr>
        <w:t>个体工商户转型为企业申请书</w:t>
      </w:r>
    </w:p>
    <w:p>
      <w:pPr>
        <w:overflowPunct w:val="0"/>
        <w:adjustRightInd w:val="0"/>
        <w:rPr>
          <w:rFonts w:eastAsia="方正小标宋_GBK"/>
          <w:szCs w:val="32"/>
        </w:rPr>
      </w:pPr>
    </w:p>
    <w:p>
      <w:pPr>
        <w:overflowPunct w:val="0"/>
        <w:adjustRightInd w:val="0"/>
        <w:rPr>
          <w:szCs w:val="32"/>
        </w:rPr>
      </w:pPr>
      <w:r>
        <w:rPr>
          <w:rFonts w:hint="eastAsia"/>
          <w:szCs w:val="32"/>
        </w:rPr>
        <w:t>（登记机关）：</w:t>
      </w:r>
    </w:p>
    <w:p>
      <w:pPr>
        <w:overflowPunct w:val="0"/>
        <w:adjustRightInd w:val="0"/>
        <w:ind w:firstLine="630"/>
        <w:jc w:val="left"/>
        <w:rPr>
          <w:szCs w:val="32"/>
        </w:rPr>
      </w:pPr>
      <w:r>
        <w:rPr>
          <w:rFonts w:hint="eastAsia"/>
          <w:szCs w:val="32"/>
        </w:rPr>
        <w:t>本人（及家庭成员）经营的个体工商户，统一社会信用代码，经营场所，现因经营需要，申请转型为企业，拟转型企业名称为，企业类型为□个人独资企业 □合伙企业 □有限责任公司 □股份有限公司，企业住所□不发生变更 □变更为，由作为该企业的投资人。</w:t>
      </w:r>
    </w:p>
    <w:p>
      <w:pPr>
        <w:overflowPunct w:val="0"/>
        <w:adjustRightInd w:val="0"/>
        <w:rPr>
          <w:szCs w:val="32"/>
        </w:rPr>
      </w:pPr>
    </w:p>
    <w:p>
      <w:pPr>
        <w:overflowPunct w:val="0"/>
        <w:adjustRightInd w:val="0"/>
        <w:rPr>
          <w:szCs w:val="32"/>
        </w:rPr>
      </w:pPr>
      <w:r>
        <w:rPr>
          <w:rFonts w:hint="eastAsia"/>
          <w:szCs w:val="32"/>
        </w:rPr>
        <w:t xml:space="preserve">    本人承诺：债权债务已妥善处置，原债权债务由 □原个体经营者独立承担 □家庭经营的全体成员共同承担 □转型后企业投资者共同承担，依法应缴纳的税款等已结清，不存在损害他人合法权益的情况。如违法失信，由本人全权承担相应的法律后果和责任，并自愿接受相关行政执法部门的约束和惩戒。</w:t>
      </w:r>
    </w:p>
    <w:p>
      <w:pPr>
        <w:overflowPunct w:val="0"/>
      </w:pPr>
    </w:p>
    <w:p>
      <w:pPr>
        <w:overflowPunct w:val="0"/>
        <w:adjustRightInd w:val="0"/>
        <w:rPr>
          <w:szCs w:val="32"/>
        </w:rPr>
      </w:pPr>
      <w:r>
        <w:rPr>
          <w:rFonts w:hint="eastAsia"/>
          <w:szCs w:val="32"/>
        </w:rPr>
        <w:t xml:space="preserve"> 个体工商户经营者或全体参加经营的家庭成员签名：</w:t>
      </w:r>
    </w:p>
    <w:p>
      <w:pPr>
        <w:overflowPunct w:val="0"/>
        <w:adjustRightInd w:val="0"/>
        <w:rPr>
          <w:szCs w:val="32"/>
        </w:rPr>
      </w:pPr>
    </w:p>
    <w:p>
      <w:pPr>
        <w:overflowPunct w:val="0"/>
        <w:adjustRightInd w:val="0"/>
        <w:ind w:right="642"/>
        <w:jc w:val="right"/>
        <w:rPr>
          <w:rFonts w:eastAsia="方正仿宋简体"/>
          <w:szCs w:val="32"/>
        </w:rPr>
      </w:pPr>
      <w:r>
        <w:rPr>
          <w:rFonts w:hint="eastAsia"/>
          <w:szCs w:val="32"/>
        </w:rPr>
        <w:t>年   月   日</w:t>
      </w:r>
    </w:p>
    <w:p>
      <w:pPr>
        <w:overflowPunct w:val="0"/>
        <w:adjustRightInd w:val="0"/>
        <w:jc w:val="left"/>
        <w:rPr>
          <w:rFonts w:eastAsia="方正黑体_GBK"/>
          <w:szCs w:val="32"/>
        </w:rPr>
      </w:pPr>
    </w:p>
    <w:p>
      <w:pPr>
        <w:overflowPunct w:val="0"/>
        <w:adjustRightInd w:val="0"/>
        <w:jc w:val="left"/>
        <w:rPr>
          <w:rFonts w:eastAsia="方正黑体_GBK"/>
          <w:szCs w:val="32"/>
        </w:rPr>
      </w:pPr>
      <w:r>
        <w:rPr>
          <w:rFonts w:hint="eastAsia" w:eastAsia="方正黑体_GBK"/>
          <w:szCs w:val="32"/>
        </w:rPr>
        <w:t>附件</w:t>
      </w:r>
      <w:r>
        <w:rPr>
          <w:rFonts w:eastAsia="方正黑体_GBK"/>
          <w:szCs w:val="32"/>
        </w:rPr>
        <w:t>3</w:t>
      </w:r>
    </w:p>
    <w:p>
      <w:pPr>
        <w:overflowPunct w:val="0"/>
        <w:adjustRightInd w:val="0"/>
        <w:snapToGrid w:val="0"/>
        <w:spacing w:line="600" w:lineRule="exact"/>
        <w:rPr>
          <w:rFonts w:eastAsia="方正仿宋简体"/>
          <w:szCs w:val="32"/>
        </w:rPr>
      </w:pPr>
    </w:p>
    <w:p>
      <w:pPr>
        <w:overflowPunct w:val="0"/>
        <w:adjustRightInd w:val="0"/>
        <w:snapToGrid w:val="0"/>
        <w:spacing w:line="720" w:lineRule="atLeast"/>
        <w:jc w:val="center"/>
        <w:rPr>
          <w:rFonts w:eastAsia="方正小标宋_GBK"/>
          <w:sz w:val="44"/>
          <w:szCs w:val="44"/>
        </w:rPr>
      </w:pPr>
      <w:r>
        <w:rPr>
          <w:rFonts w:eastAsia="方正小标宋_GBK"/>
          <w:sz w:val="44"/>
          <w:szCs w:val="44"/>
        </w:rPr>
        <w:t>个体工商户转型为企业证明</w:t>
      </w:r>
    </w:p>
    <w:p>
      <w:pPr>
        <w:overflowPunct w:val="0"/>
        <w:adjustRightInd w:val="0"/>
        <w:jc w:val="center"/>
        <w:rPr>
          <w:rFonts w:eastAsia="方正小标宋_GBK"/>
          <w:szCs w:val="32"/>
        </w:rPr>
      </w:pPr>
    </w:p>
    <w:p>
      <w:pPr>
        <w:overflowPunct w:val="0"/>
        <w:adjustRightInd w:val="0"/>
        <w:rPr>
          <w:szCs w:val="32"/>
        </w:rPr>
      </w:pPr>
      <w:r>
        <w:rPr>
          <w:rFonts w:hint="eastAsia"/>
          <w:szCs w:val="32"/>
        </w:rPr>
        <w:t>（转型后企业名称）（统一社会信用代码：)于年月日经我局确认登记，该企业由（个体工商户名称）（统一社会信用代码：）转型，请贵单位按程序办理相关手续。</w:t>
      </w:r>
    </w:p>
    <w:p>
      <w:pPr>
        <w:overflowPunct w:val="0"/>
        <w:adjustRightInd w:val="0"/>
        <w:rPr>
          <w:szCs w:val="32"/>
        </w:rPr>
      </w:pPr>
    </w:p>
    <w:p>
      <w:pPr>
        <w:overflowPunct w:val="0"/>
        <w:adjustRightInd w:val="0"/>
        <w:ind w:firstLine="630"/>
        <w:rPr>
          <w:szCs w:val="32"/>
        </w:rPr>
      </w:pPr>
      <w:r>
        <w:rPr>
          <w:rFonts w:hint="eastAsia"/>
          <w:szCs w:val="32"/>
        </w:rPr>
        <w:t>特此证明。</w:t>
      </w:r>
    </w:p>
    <w:p>
      <w:pPr>
        <w:overflowPunct w:val="0"/>
        <w:adjustRightInd w:val="0"/>
        <w:ind w:firstLine="630"/>
        <w:rPr>
          <w:szCs w:val="32"/>
        </w:rPr>
      </w:pPr>
    </w:p>
    <w:p>
      <w:pPr>
        <w:overflowPunct w:val="0"/>
        <w:adjustRightInd w:val="0"/>
        <w:ind w:firstLine="630"/>
        <w:rPr>
          <w:szCs w:val="32"/>
        </w:rPr>
      </w:pPr>
    </w:p>
    <w:p>
      <w:pPr>
        <w:overflowPunct w:val="0"/>
        <w:adjustRightInd w:val="0"/>
        <w:ind w:firstLine="630"/>
        <w:rPr>
          <w:szCs w:val="32"/>
        </w:rPr>
      </w:pPr>
    </w:p>
    <w:p>
      <w:pPr>
        <w:overflowPunct w:val="0"/>
        <w:adjustRightInd w:val="0"/>
        <w:ind w:firstLine="630"/>
        <w:rPr>
          <w:szCs w:val="32"/>
        </w:rPr>
      </w:pPr>
    </w:p>
    <w:p>
      <w:pPr>
        <w:overflowPunct w:val="0"/>
        <w:adjustRightInd w:val="0"/>
        <w:ind w:firstLine="630"/>
        <w:rPr>
          <w:szCs w:val="32"/>
        </w:rPr>
      </w:pPr>
      <w:r>
        <w:rPr>
          <w:rFonts w:hint="eastAsia"/>
          <w:szCs w:val="32"/>
        </w:rPr>
        <w:t xml:space="preserve">                               （登记机关盖章）</w:t>
      </w:r>
    </w:p>
    <w:p>
      <w:pPr>
        <w:overflowPunct w:val="0"/>
        <w:adjustRightInd w:val="0"/>
        <w:ind w:firstLine="630"/>
        <w:rPr>
          <w:szCs w:val="32"/>
        </w:rPr>
      </w:pPr>
      <w:r>
        <w:rPr>
          <w:rFonts w:hint="eastAsia"/>
          <w:szCs w:val="32"/>
        </w:rPr>
        <w:t xml:space="preserve">                                 年    月   日</w:t>
      </w:r>
    </w:p>
    <w:p>
      <w:pPr>
        <w:pStyle w:val="4"/>
        <w:overflowPunct w:val="0"/>
        <w:rPr>
          <w:rFonts w:ascii="Times New Roman" w:eastAsia="方正仿宋_GBK"/>
          <w:sz w:val="32"/>
          <w:szCs w:val="32"/>
        </w:rPr>
      </w:pPr>
    </w:p>
    <w:p>
      <w:pPr>
        <w:overflowPunct w:val="0"/>
        <w:rPr>
          <w:szCs w:val="32"/>
        </w:rPr>
        <w:sectPr>
          <w:footerReference r:id="rId3" w:type="default"/>
          <w:pgSz w:w="11906" w:h="16838"/>
          <w:pgMar w:top="2098" w:right="1531" w:bottom="1984" w:left="1531" w:header="851" w:footer="1474" w:gutter="0"/>
          <w:cols w:space="720" w:num="1"/>
          <w:docGrid w:type="linesAndChars" w:linePitch="580" w:charSpace="-849"/>
        </w:sectPr>
      </w:pPr>
    </w:p>
    <w:p>
      <w:pPr>
        <w:overflowPunct w:val="0"/>
        <w:adjustRightInd w:val="0"/>
        <w:snapToGrid w:val="0"/>
        <w:jc w:val="left"/>
        <w:rPr>
          <w:rFonts w:eastAsia="方正黑体_GBK"/>
          <w:szCs w:val="32"/>
        </w:rPr>
      </w:pPr>
      <w:r>
        <w:rPr>
          <w:rFonts w:hint="eastAsia" w:eastAsia="方正黑体_GBK"/>
          <w:szCs w:val="32"/>
        </w:rPr>
        <w:t>附件</w:t>
      </w:r>
      <w:r>
        <w:rPr>
          <w:rFonts w:eastAsia="方正黑体_GBK"/>
          <w:szCs w:val="32"/>
        </w:rPr>
        <w:t xml:space="preserve">4     </w:t>
      </w:r>
    </w:p>
    <w:p>
      <w:pPr>
        <w:overflowPunct w:val="0"/>
        <w:adjustRightInd w:val="0"/>
        <w:snapToGrid w:val="0"/>
        <w:jc w:val="left"/>
        <w:rPr>
          <w:rFonts w:eastAsia="方正黑体_GBK"/>
          <w:szCs w:val="32"/>
        </w:rPr>
      </w:pPr>
    </w:p>
    <w:p>
      <w:pPr>
        <w:overflowPunct w:val="0"/>
        <w:adjustRightInd w:val="0"/>
        <w:snapToGrid w:val="0"/>
        <w:jc w:val="center"/>
        <w:rPr>
          <w:rFonts w:eastAsia="方正小标宋_GBK"/>
          <w:sz w:val="44"/>
          <w:szCs w:val="44"/>
        </w:rPr>
      </w:pPr>
      <w:r>
        <w:rPr>
          <w:rFonts w:hint="eastAsia" w:eastAsia="方正小标宋_GBK"/>
          <w:sz w:val="44"/>
          <w:szCs w:val="44"/>
        </w:rPr>
        <w:t>办理“个转企”变更许可事项清单</w:t>
      </w:r>
    </w:p>
    <w:p>
      <w:pPr>
        <w:overflowPunct w:val="0"/>
        <w:adjustRightInd w:val="0"/>
        <w:snapToGrid w:val="0"/>
        <w:jc w:val="center"/>
        <w:rPr>
          <w:rFonts w:eastAsia="方正楷体_GBK"/>
          <w:szCs w:val="32"/>
        </w:rPr>
      </w:pPr>
      <w:r>
        <w:rPr>
          <w:rFonts w:hint="eastAsia" w:eastAsia="方正楷体_GBK"/>
          <w:szCs w:val="32"/>
        </w:rPr>
        <w:t>（持续更新）</w:t>
      </w:r>
    </w:p>
    <w:tbl>
      <w:tblPr>
        <w:tblStyle w:val="10"/>
        <w:tblW w:w="127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2594"/>
        <w:gridCol w:w="4712"/>
        <w:gridCol w:w="2595"/>
        <w:gridCol w:w="1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01" w:type="dxa"/>
            <w:vAlign w:val="center"/>
          </w:tcPr>
          <w:p>
            <w:pPr>
              <w:pStyle w:val="2"/>
              <w:adjustRightInd w:val="0"/>
              <w:snapToGrid w:val="0"/>
              <w:spacing w:after="0" w:line="240" w:lineRule="auto"/>
              <w:ind w:left="0" w:firstLine="0"/>
              <w:jc w:val="center"/>
              <w:rPr>
                <w:lang w:eastAsia="zh-CN"/>
              </w:rPr>
            </w:pPr>
            <w:r>
              <w:rPr>
                <w:rFonts w:hint="eastAsia" w:eastAsia="方正黑体_GBK" w:cs="方正黑体_GBK"/>
                <w:bCs/>
                <w:color w:val="000000"/>
                <w:kern w:val="0"/>
                <w:sz w:val="24"/>
                <w:szCs w:val="24"/>
              </w:rPr>
              <w:t>序号</w:t>
            </w:r>
          </w:p>
        </w:tc>
        <w:tc>
          <w:tcPr>
            <w:tcW w:w="2594" w:type="dxa"/>
            <w:vAlign w:val="center"/>
          </w:tcPr>
          <w:p>
            <w:pPr>
              <w:pStyle w:val="2"/>
              <w:adjustRightInd w:val="0"/>
              <w:snapToGrid w:val="0"/>
              <w:spacing w:after="0" w:line="240" w:lineRule="auto"/>
              <w:ind w:left="0" w:firstLine="0"/>
              <w:jc w:val="center"/>
              <w:rPr>
                <w:lang w:eastAsia="zh-CN"/>
              </w:rPr>
            </w:pPr>
            <w:r>
              <w:rPr>
                <w:rFonts w:hint="eastAsia" w:eastAsia="方正黑体_GBK" w:cs="方正黑体_GBK"/>
                <w:bCs/>
                <w:color w:val="000000"/>
                <w:kern w:val="0"/>
                <w:sz w:val="24"/>
                <w:szCs w:val="24"/>
              </w:rPr>
              <w:t>经营范围</w:t>
            </w:r>
          </w:p>
        </w:tc>
        <w:tc>
          <w:tcPr>
            <w:tcW w:w="4712" w:type="dxa"/>
            <w:vAlign w:val="center"/>
          </w:tcPr>
          <w:p>
            <w:pPr>
              <w:pStyle w:val="2"/>
              <w:adjustRightInd w:val="0"/>
              <w:snapToGrid w:val="0"/>
              <w:spacing w:after="0" w:line="240" w:lineRule="auto"/>
              <w:ind w:left="0" w:firstLine="0"/>
              <w:jc w:val="center"/>
              <w:rPr>
                <w:lang w:eastAsia="zh-CN"/>
              </w:rPr>
            </w:pPr>
            <w:r>
              <w:rPr>
                <w:rFonts w:hint="eastAsia" w:eastAsia="方正黑体_GBK" w:cs="方正黑体_GBK"/>
                <w:bCs/>
                <w:color w:val="000000"/>
                <w:kern w:val="0"/>
                <w:sz w:val="24"/>
                <w:szCs w:val="24"/>
              </w:rPr>
              <w:t>许可证（件）</w:t>
            </w:r>
          </w:p>
        </w:tc>
        <w:tc>
          <w:tcPr>
            <w:tcW w:w="2595" w:type="dxa"/>
            <w:vAlign w:val="center"/>
          </w:tcPr>
          <w:p>
            <w:pPr>
              <w:pStyle w:val="2"/>
              <w:adjustRightInd w:val="0"/>
              <w:snapToGrid w:val="0"/>
              <w:spacing w:after="0" w:line="240" w:lineRule="auto"/>
              <w:ind w:left="0" w:firstLine="0"/>
              <w:jc w:val="center"/>
              <w:rPr>
                <w:lang w:eastAsia="zh-CN"/>
              </w:rPr>
            </w:pPr>
            <w:r>
              <w:rPr>
                <w:rFonts w:hint="eastAsia" w:eastAsia="方正黑体_GBK" w:cs="方正黑体_GBK"/>
                <w:bCs/>
                <w:color w:val="000000"/>
                <w:kern w:val="0"/>
                <w:sz w:val="24"/>
                <w:szCs w:val="24"/>
              </w:rPr>
              <w:t>审批部门</w:t>
            </w:r>
          </w:p>
        </w:tc>
        <w:tc>
          <w:tcPr>
            <w:tcW w:w="1737" w:type="dxa"/>
            <w:vAlign w:val="center"/>
          </w:tcPr>
          <w:p>
            <w:pPr>
              <w:pStyle w:val="2"/>
              <w:adjustRightInd w:val="0"/>
              <w:snapToGrid w:val="0"/>
              <w:spacing w:after="0" w:line="240" w:lineRule="auto"/>
              <w:ind w:left="0" w:firstLine="0"/>
              <w:jc w:val="center"/>
              <w:rPr>
                <w:lang w:eastAsia="zh-CN"/>
              </w:rPr>
            </w:pPr>
            <w:r>
              <w:rPr>
                <w:rFonts w:hint="eastAsia" w:eastAsia="方正黑体_GBK" w:cs="方正黑体_GBK"/>
                <w:bCs/>
                <w:color w:val="000000"/>
                <w:kern w:val="0"/>
                <w:sz w:val="24"/>
                <w:szCs w:val="24"/>
              </w:rPr>
              <w:t>办理方式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01"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ascii="方正仿宋_GBK" w:eastAsia="方正仿宋_GBK" w:cs="宋体"/>
                <w:color w:val="000000"/>
                <w:kern w:val="0"/>
                <w:sz w:val="24"/>
                <w:szCs w:val="24"/>
              </w:rPr>
              <w:t>1</w:t>
            </w:r>
          </w:p>
        </w:tc>
        <w:tc>
          <w:tcPr>
            <w:tcW w:w="2594"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ascii="方正仿宋_GBK" w:eastAsia="方正仿宋_GBK" w:cs="宋体"/>
                <w:color w:val="000000"/>
                <w:kern w:val="0"/>
                <w:sz w:val="24"/>
                <w:szCs w:val="24"/>
              </w:rPr>
              <w:t>食品销售</w:t>
            </w:r>
          </w:p>
        </w:tc>
        <w:tc>
          <w:tcPr>
            <w:tcW w:w="4712"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食品经营许可证</w:t>
            </w:r>
          </w:p>
        </w:tc>
        <w:tc>
          <w:tcPr>
            <w:tcW w:w="2595"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ascii="方正仿宋_GBK" w:eastAsia="方正仿宋_GBK" w:cs="宋体"/>
                <w:color w:val="000000"/>
                <w:kern w:val="0"/>
                <w:sz w:val="24"/>
                <w:szCs w:val="24"/>
              </w:rPr>
              <w:t>市场监管部门</w:t>
            </w:r>
          </w:p>
        </w:tc>
        <w:tc>
          <w:tcPr>
            <w:tcW w:w="1737"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01"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ascii="方正仿宋_GBK" w:eastAsia="方正仿宋_GBK" w:cs="宋体"/>
                <w:color w:val="000000"/>
                <w:kern w:val="0"/>
                <w:sz w:val="24"/>
                <w:szCs w:val="24"/>
              </w:rPr>
              <w:t>2</w:t>
            </w:r>
          </w:p>
        </w:tc>
        <w:tc>
          <w:tcPr>
            <w:tcW w:w="2594"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ascii="方正仿宋_GBK" w:eastAsia="方正仿宋_GBK" w:cs="宋体"/>
                <w:color w:val="000000"/>
                <w:kern w:val="0"/>
                <w:sz w:val="24"/>
                <w:szCs w:val="24"/>
              </w:rPr>
              <w:t>餐饮服务</w:t>
            </w:r>
          </w:p>
        </w:tc>
        <w:tc>
          <w:tcPr>
            <w:tcW w:w="4712"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食品经营许可证</w:t>
            </w:r>
          </w:p>
        </w:tc>
        <w:tc>
          <w:tcPr>
            <w:tcW w:w="2595"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ascii="方正仿宋_GBK" w:eastAsia="方正仿宋_GBK" w:cs="宋体"/>
                <w:color w:val="000000"/>
                <w:kern w:val="0"/>
                <w:sz w:val="24"/>
                <w:szCs w:val="24"/>
              </w:rPr>
              <w:t>市场监管部门</w:t>
            </w:r>
          </w:p>
        </w:tc>
        <w:tc>
          <w:tcPr>
            <w:tcW w:w="1737"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01"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ascii="方正仿宋_GBK" w:eastAsia="方正仿宋_GBK" w:cs="宋体"/>
                <w:color w:val="000000"/>
                <w:kern w:val="0"/>
                <w:sz w:val="24"/>
                <w:szCs w:val="24"/>
              </w:rPr>
              <w:t>3</w:t>
            </w:r>
          </w:p>
        </w:tc>
        <w:tc>
          <w:tcPr>
            <w:tcW w:w="2594"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食品生产</w:t>
            </w:r>
          </w:p>
        </w:tc>
        <w:tc>
          <w:tcPr>
            <w:tcW w:w="4712"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lang w:eastAsia="zh-CN"/>
              </w:rPr>
              <w:t>食品生产许可证食品生产加工小作坊登记证</w:t>
            </w:r>
          </w:p>
        </w:tc>
        <w:tc>
          <w:tcPr>
            <w:tcW w:w="2595"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ascii="方正仿宋_GBK" w:eastAsia="方正仿宋_GBK" w:cs="宋体"/>
                <w:color w:val="000000"/>
                <w:kern w:val="0"/>
                <w:sz w:val="24"/>
                <w:szCs w:val="24"/>
              </w:rPr>
              <w:t>市场监管部门</w:t>
            </w:r>
          </w:p>
        </w:tc>
        <w:tc>
          <w:tcPr>
            <w:tcW w:w="1737"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01"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ascii="方正仿宋_GBK" w:eastAsia="方正仿宋_GBK" w:cs="宋体"/>
                <w:color w:val="000000"/>
                <w:kern w:val="0"/>
                <w:sz w:val="24"/>
                <w:szCs w:val="24"/>
              </w:rPr>
              <w:t>4</w:t>
            </w:r>
          </w:p>
        </w:tc>
        <w:tc>
          <w:tcPr>
            <w:tcW w:w="2594"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药品零售</w:t>
            </w:r>
          </w:p>
        </w:tc>
        <w:tc>
          <w:tcPr>
            <w:tcW w:w="4712"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药品经营许可证</w:t>
            </w:r>
          </w:p>
        </w:tc>
        <w:tc>
          <w:tcPr>
            <w:tcW w:w="2595"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药监部门</w:t>
            </w:r>
          </w:p>
        </w:tc>
        <w:tc>
          <w:tcPr>
            <w:tcW w:w="1737"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01"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ascii="方正仿宋_GBK" w:eastAsia="方正仿宋_GBK" w:cs="宋体"/>
                <w:color w:val="000000"/>
                <w:kern w:val="0"/>
                <w:sz w:val="24"/>
                <w:szCs w:val="24"/>
              </w:rPr>
              <w:t>5</w:t>
            </w:r>
          </w:p>
        </w:tc>
        <w:tc>
          <w:tcPr>
            <w:tcW w:w="2594"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洗浴服务</w:t>
            </w:r>
          </w:p>
        </w:tc>
        <w:tc>
          <w:tcPr>
            <w:tcW w:w="4712"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lang w:eastAsia="zh-CN"/>
              </w:rPr>
              <w:t>公共场所卫生许可（备案）证</w:t>
            </w:r>
          </w:p>
        </w:tc>
        <w:tc>
          <w:tcPr>
            <w:tcW w:w="2595"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卫生健康部门</w:t>
            </w:r>
          </w:p>
        </w:tc>
        <w:tc>
          <w:tcPr>
            <w:tcW w:w="1737"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01"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ascii="方正仿宋_GBK" w:eastAsia="方正仿宋_GBK" w:cs="宋体"/>
                <w:color w:val="000000"/>
                <w:kern w:val="0"/>
                <w:sz w:val="24"/>
                <w:szCs w:val="24"/>
              </w:rPr>
              <w:t>6</w:t>
            </w:r>
          </w:p>
        </w:tc>
        <w:tc>
          <w:tcPr>
            <w:tcW w:w="2594"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ascii="方正仿宋_GBK" w:eastAsia="方正仿宋_GBK" w:cs="宋体"/>
                <w:color w:val="000000"/>
                <w:kern w:val="0"/>
                <w:sz w:val="24"/>
                <w:szCs w:val="24"/>
              </w:rPr>
              <w:t>生活美容服务</w:t>
            </w:r>
          </w:p>
        </w:tc>
        <w:tc>
          <w:tcPr>
            <w:tcW w:w="4712"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lang w:eastAsia="zh-CN"/>
              </w:rPr>
              <w:t>公共场所卫生许可（备案）证</w:t>
            </w:r>
          </w:p>
        </w:tc>
        <w:tc>
          <w:tcPr>
            <w:tcW w:w="2595"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卫生健康部门</w:t>
            </w:r>
          </w:p>
        </w:tc>
        <w:tc>
          <w:tcPr>
            <w:tcW w:w="1737"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01"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ascii="方正仿宋_GBK" w:eastAsia="方正仿宋_GBK" w:cs="宋体"/>
                <w:color w:val="000000"/>
                <w:kern w:val="0"/>
                <w:sz w:val="24"/>
                <w:szCs w:val="24"/>
              </w:rPr>
              <w:t>7</w:t>
            </w:r>
          </w:p>
        </w:tc>
        <w:tc>
          <w:tcPr>
            <w:tcW w:w="2594"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理发服务</w:t>
            </w:r>
          </w:p>
        </w:tc>
        <w:tc>
          <w:tcPr>
            <w:tcW w:w="4712"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lang w:eastAsia="zh-CN"/>
              </w:rPr>
              <w:t>公共场所卫生许可（备案）证</w:t>
            </w:r>
          </w:p>
        </w:tc>
        <w:tc>
          <w:tcPr>
            <w:tcW w:w="2595"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卫生健康部门</w:t>
            </w:r>
          </w:p>
        </w:tc>
        <w:tc>
          <w:tcPr>
            <w:tcW w:w="1737"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01"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ascii="方正仿宋_GBK" w:eastAsia="方正仿宋_GBK" w:cs="宋体"/>
                <w:color w:val="000000"/>
                <w:kern w:val="0"/>
                <w:sz w:val="24"/>
                <w:szCs w:val="24"/>
              </w:rPr>
              <w:t>8</w:t>
            </w:r>
          </w:p>
        </w:tc>
        <w:tc>
          <w:tcPr>
            <w:tcW w:w="2594"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ascii="方正仿宋_GBK" w:eastAsia="方正仿宋_GBK" w:cs="宋体"/>
                <w:color w:val="000000"/>
                <w:kern w:val="0"/>
                <w:sz w:val="24"/>
                <w:szCs w:val="24"/>
              </w:rPr>
              <w:t>住宿服务</w:t>
            </w:r>
          </w:p>
        </w:tc>
        <w:tc>
          <w:tcPr>
            <w:tcW w:w="4712"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lang w:eastAsia="zh-CN"/>
              </w:rPr>
              <w:t>公共场所卫生许可（备案）证</w:t>
            </w:r>
          </w:p>
        </w:tc>
        <w:tc>
          <w:tcPr>
            <w:tcW w:w="2595"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卫生健康部门</w:t>
            </w:r>
          </w:p>
        </w:tc>
        <w:tc>
          <w:tcPr>
            <w:tcW w:w="1737"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01"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ascii="方正仿宋_GBK" w:eastAsia="方正仿宋_GBK" w:cs="宋体"/>
                <w:color w:val="000000"/>
                <w:kern w:val="0"/>
                <w:sz w:val="24"/>
                <w:szCs w:val="24"/>
              </w:rPr>
              <w:t>9</w:t>
            </w:r>
          </w:p>
        </w:tc>
        <w:tc>
          <w:tcPr>
            <w:tcW w:w="2594"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ascii="方正仿宋_GBK" w:eastAsia="方正仿宋_GBK" w:cs="宋体"/>
                <w:color w:val="000000"/>
                <w:kern w:val="0"/>
                <w:sz w:val="24"/>
                <w:szCs w:val="24"/>
              </w:rPr>
              <w:t>住宿服务</w:t>
            </w:r>
          </w:p>
        </w:tc>
        <w:tc>
          <w:tcPr>
            <w:tcW w:w="4712"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lang w:eastAsia="zh-CN"/>
              </w:rPr>
              <w:t>旅馆业特种行业许可证</w:t>
            </w:r>
          </w:p>
        </w:tc>
        <w:tc>
          <w:tcPr>
            <w:tcW w:w="2595"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公安部门</w:t>
            </w:r>
          </w:p>
        </w:tc>
        <w:tc>
          <w:tcPr>
            <w:tcW w:w="1737"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01"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ascii="方正仿宋_GBK" w:eastAsia="方正仿宋_GBK" w:cs="宋体"/>
                <w:color w:val="000000"/>
                <w:kern w:val="0"/>
                <w:sz w:val="24"/>
                <w:szCs w:val="24"/>
              </w:rPr>
              <w:t>10</w:t>
            </w:r>
          </w:p>
        </w:tc>
        <w:tc>
          <w:tcPr>
            <w:tcW w:w="2594"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农药生产</w:t>
            </w:r>
          </w:p>
        </w:tc>
        <w:tc>
          <w:tcPr>
            <w:tcW w:w="4712"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农药生产许可证</w:t>
            </w:r>
          </w:p>
        </w:tc>
        <w:tc>
          <w:tcPr>
            <w:tcW w:w="2595"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农业农村部门</w:t>
            </w:r>
          </w:p>
        </w:tc>
        <w:tc>
          <w:tcPr>
            <w:tcW w:w="1737"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01"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ascii="方正仿宋_GBK" w:eastAsia="方正仿宋_GBK" w:cs="宋体"/>
                <w:color w:val="000000"/>
                <w:kern w:val="0"/>
                <w:sz w:val="24"/>
                <w:szCs w:val="24"/>
              </w:rPr>
              <w:t>11</w:t>
            </w:r>
          </w:p>
        </w:tc>
        <w:tc>
          <w:tcPr>
            <w:tcW w:w="2594"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农药零售</w:t>
            </w:r>
          </w:p>
        </w:tc>
        <w:tc>
          <w:tcPr>
            <w:tcW w:w="4712"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农药经营许可证</w:t>
            </w:r>
          </w:p>
        </w:tc>
        <w:tc>
          <w:tcPr>
            <w:tcW w:w="2595"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农业农村部门</w:t>
            </w:r>
          </w:p>
        </w:tc>
        <w:tc>
          <w:tcPr>
            <w:tcW w:w="1737" w:type="dxa"/>
            <w:vAlign w:val="center"/>
          </w:tcPr>
          <w:p>
            <w:pPr>
              <w:pStyle w:val="2"/>
              <w:adjustRightInd w:val="0"/>
              <w:snapToGrid w:val="0"/>
              <w:spacing w:after="0" w:line="240" w:lineRule="auto"/>
              <w:ind w:left="0" w:firstLine="0"/>
              <w:jc w:val="center"/>
              <w:rPr>
                <w:rFonts w:ascii="方正仿宋_GBK" w:eastAsia="方正仿宋_GBK"/>
                <w:lang w:eastAsia="zh-CN"/>
              </w:rPr>
            </w:pPr>
            <w:r>
              <w:rPr>
                <w:rFonts w:hint="eastAsia" w:ascii="方正仿宋_GBK" w:eastAsia="方正仿宋_GBK" w:cs="宋体"/>
                <w:color w:val="000000"/>
                <w:kern w:val="0"/>
                <w:sz w:val="24"/>
                <w:szCs w:val="24"/>
              </w:rPr>
              <w:t>变更</w:t>
            </w:r>
          </w:p>
        </w:tc>
      </w:tr>
    </w:tbl>
    <w:p>
      <w:pPr>
        <w:pStyle w:val="2"/>
        <w:ind w:left="0" w:firstLine="0"/>
      </w:pPr>
    </w:p>
    <w:p>
      <w:pPr>
        <w:pStyle w:val="4"/>
        <w:overflowPunct w:val="0"/>
        <w:spacing w:line="240" w:lineRule="exact"/>
        <w:jc w:val="both"/>
        <w:rPr>
          <w:rFonts w:ascii="Times New Roman"/>
          <w:sz w:val="32"/>
          <w:szCs w:val="32"/>
        </w:rPr>
        <w:sectPr>
          <w:pgSz w:w="16838" w:h="11906" w:orient="landscape"/>
          <w:pgMar w:top="1531" w:right="2098" w:bottom="1531" w:left="1984" w:header="851" w:footer="1474" w:gutter="0"/>
          <w:cols w:space="720" w:num="1"/>
          <w:docGrid w:type="linesAndChars" w:linePitch="589" w:charSpace="-849"/>
        </w:sectPr>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pStyle w:val="12"/>
        <w:overflowPunct w:val="0"/>
        <w:spacing w:after="0" w:line="240" w:lineRule="exact"/>
      </w:pPr>
    </w:p>
    <w:p>
      <w:pPr>
        <w:overflowPunct w:val="0"/>
        <w:spacing w:line="120" w:lineRule="exact"/>
        <w:rPr>
          <w:rFonts w:ascii="方正仿宋_GBK"/>
          <w:szCs w:val="22"/>
        </w:rPr>
      </w:pPr>
    </w:p>
    <w:p>
      <w:pPr>
        <w:pBdr>
          <w:top w:val="single" w:color="auto" w:sz="4" w:space="12"/>
          <w:bottom w:val="single" w:color="auto" w:sz="8" w:space="1"/>
        </w:pBdr>
        <w:overflowPunct w:val="0"/>
        <w:ind w:firstLine="140" w:firstLineChars="50"/>
        <w:rPr>
          <w:rFonts w:ascii="方正仿宋_GBK"/>
          <w:sz w:val="28"/>
          <w:szCs w:val="28"/>
        </w:rPr>
      </w:pPr>
      <w:bookmarkStart w:id="1" w:name="dwmc2"/>
      <w:r>
        <w:rPr>
          <w:rFonts w:hint="eastAsia" w:ascii="方正仿宋_GBK"/>
          <w:sz w:val="28"/>
          <w:szCs w:val="28"/>
        </w:rPr>
        <w:t>垫江县市场监督管理局</w:t>
      </w:r>
      <w:bookmarkEnd w:id="1"/>
      <w:r>
        <w:rPr>
          <w:rFonts w:hint="eastAsia" w:ascii="方正仿宋_GBK"/>
          <w:sz w:val="28"/>
          <w:szCs w:val="28"/>
        </w:rPr>
        <w:t>办公室                2023年5月17日印发</w:t>
      </w:r>
    </w:p>
    <w:sectPr>
      <w:pgSz w:w="11906" w:h="16838"/>
      <w:pgMar w:top="1985" w:right="1446" w:bottom="1644" w:left="1446"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Helvetica">
    <w:altName w:val="Arial"/>
    <w:panose1 w:val="020B0604020202030204"/>
    <w:charset w:val="00"/>
    <w:family w:val="auto"/>
    <w:pitch w:val="default"/>
    <w:sig w:usb0="00000000" w:usb1="00000000" w:usb2="00000000" w:usb3="00000000" w:csb0="00000093"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ascii="Times New Roman" w:hAnsi="Times New Roman" w:eastAsia="方正仿宋_GBK"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zOXScvQEAAJoDAAAOAAAAAAAAAAEAIAAAAB4BAABkcnMvZTJvRG9jLnhtbFBLBQYAAAAA&#10;BgAGAFkBAABNBQ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60"/>
  <w:drawingGridVerticalSpacing w:val="435"/>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zVhNDEzNzZjNGU1ZmQ3YWE0Y2I0YjlhMTM5MjAifQ=="/>
  </w:docVars>
  <w:rsids>
    <w:rsidRoot w:val="53B433A8"/>
    <w:rsid w:val="00034568"/>
    <w:rsid w:val="002E28BE"/>
    <w:rsid w:val="0040122C"/>
    <w:rsid w:val="004C5E9C"/>
    <w:rsid w:val="004D797E"/>
    <w:rsid w:val="00603950"/>
    <w:rsid w:val="00957AEB"/>
    <w:rsid w:val="0097362B"/>
    <w:rsid w:val="00BA1BF1"/>
    <w:rsid w:val="00CF6095"/>
    <w:rsid w:val="00EF286F"/>
    <w:rsid w:val="00F31E47"/>
    <w:rsid w:val="272A179D"/>
    <w:rsid w:val="503F6A8C"/>
    <w:rsid w:val="53B433A8"/>
    <w:rsid w:val="61D916B5"/>
    <w:rsid w:val="6EE217DE"/>
    <w:rsid w:val="75BA6462"/>
    <w:rsid w:val="7CA12E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qFormat/>
    <w:uiPriority w:val="9"/>
    <w:pPr>
      <w:jc w:val="center"/>
      <w:outlineLvl w:val="0"/>
    </w:pPr>
    <w:rPr>
      <w:rFonts w:ascii="方正小标宋简体" w:eastAsia="方正小标宋简体"/>
      <w:sz w:val="44"/>
      <w:szCs w:val="44"/>
    </w:rPr>
  </w:style>
  <w:style w:type="character" w:default="1" w:styleId="11">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uiPriority w:val="99"/>
    <w:pPr>
      <w:spacing w:after="160" w:line="259" w:lineRule="auto"/>
      <w:ind w:left="100" w:firstLine="559"/>
      <w:jc w:val="left"/>
    </w:pPr>
    <w:rPr>
      <w:rFonts w:ascii="宋体" w:hAnsi="宋体" w:eastAsia="宋体"/>
      <w:sz w:val="28"/>
      <w:szCs w:val="28"/>
      <w:lang w:eastAsia="en-US"/>
    </w:rPr>
  </w:style>
  <w:style w:type="paragraph" w:customStyle="1" w:styleId="3">
    <w:name w:val="默认"/>
    <w:qFormat/>
    <w:uiPriority w:val="0"/>
    <w:pPr>
      <w:spacing w:after="160" w:line="259" w:lineRule="auto"/>
    </w:pPr>
    <w:rPr>
      <w:rFonts w:ascii="Helvetica" w:hAnsi="Helvetica" w:eastAsia="Helvetica" w:cs="Helvetica"/>
      <w:color w:val="000000"/>
      <w:kern w:val="2"/>
      <w:sz w:val="22"/>
      <w:szCs w:val="22"/>
      <w:lang w:val="en-US" w:eastAsia="zh-CN" w:bidi="ar-SA"/>
    </w:rPr>
  </w:style>
  <w:style w:type="paragraph" w:styleId="5">
    <w:name w:val="Balloon Text"/>
    <w:basedOn w:val="1"/>
    <w:link w:val="13"/>
    <w:unhideWhenUsed/>
    <w:qFormat/>
    <w:uiPriority w:val="99"/>
    <w:rPr>
      <w:sz w:val="18"/>
      <w:szCs w:val="18"/>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spacing w:before="100" w:beforeAutospacing="1" w:after="100" w:afterAutospacing="1"/>
      <w:jc w:val="left"/>
    </w:pPr>
    <w:rPr>
      <w:kern w:val="0"/>
      <w:sz w:val="24"/>
    </w:rPr>
  </w:style>
  <w:style w:type="table" w:styleId="10">
    <w:name w:val="Table Grid"/>
    <w:basedOn w:val="9"/>
    <w:unhideWhenUsed/>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正文文本 21"/>
    <w:basedOn w:val="1"/>
    <w:uiPriority w:val="0"/>
    <w:pPr>
      <w:spacing w:after="120" w:line="480" w:lineRule="auto"/>
    </w:pPr>
  </w:style>
  <w:style w:type="character" w:customStyle="1" w:styleId="13">
    <w:name w:val="批注框文本 Char"/>
    <w:basedOn w:val="11"/>
    <w:link w:val="5"/>
    <w:semiHidden/>
    <w:uiPriority w:val="99"/>
    <w:rPr>
      <w:rFonts w:eastAsia="方正仿宋_GBK"/>
      <w:kern w:val="2"/>
      <w:sz w:val="18"/>
      <w:szCs w:val="18"/>
    </w:rPr>
  </w:style>
  <w:style w:type="character" w:customStyle="1" w:styleId="14">
    <w:name w:val="页眉 Char"/>
    <w:basedOn w:val="11"/>
    <w:link w:val="7"/>
    <w:semiHidden/>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8187</Words>
  <Characters>8276</Characters>
  <Lines>62</Lines>
  <Paragraphs>17</Paragraphs>
  <TotalTime>0</TotalTime>
  <ScaleCrop>false</ScaleCrop>
  <LinksUpToDate>false</LinksUpToDate>
  <CharactersWithSpaces>8433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2023-05-18T02:24:00Z</dcterms:created>
  <dc:creator>谢瑞于</dc:creator>
  <cp:lastModifiedBy>Administrator</cp:lastModifiedBy>
  <dcterms:modified xsi:type="dcterms:W3CDTF">2023-12-14T03:52:24Z</dcterms:modified>
  <dc:title>垫江县市场监督管理局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1C19362A210543A88B35F4F536805AC7</vt:lpwstr>
  </property>
</Properties>
</file>