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94" w:lineRule="exact"/>
        <w:rPr>
          <w:rFonts w:hint="default" w:ascii="TimesNewRoman" w:hAnsi="TimesNewRoman" w:cs="TimesNewRoman"/>
          <w:sz w:val="32"/>
          <w:szCs w:val="32"/>
        </w:rPr>
      </w:pPr>
      <w:r>
        <w:rPr>
          <w:rFonts w:hint="default" w:ascii="TimesNewRoman" w:hAnsi="TimesNewRoman" w:eastAsia="方正黑体_GBK" w:cs="TimesNewRoman"/>
          <w:sz w:val="32"/>
          <w:szCs w:val="32"/>
        </w:rPr>
        <w:t>附件1</w:t>
      </w:r>
    </w:p>
    <w:p>
      <w:pPr>
        <w:spacing w:line="540" w:lineRule="exact"/>
        <w:jc w:val="center"/>
        <w:rPr>
          <w:rFonts w:hint="default" w:ascii="TimesNewRoman" w:hAnsi="TimesNewRoman" w:eastAsia="方正小标宋_GBK" w:cs="TimesNewRoman"/>
          <w:bCs/>
          <w:color w:val="FF0000"/>
          <w:w w:val="90"/>
          <w:sz w:val="120"/>
        </w:rPr>
      </w:pPr>
      <w:bookmarkStart w:id="0" w:name="标题"/>
    </w:p>
    <w:p>
      <w:pPr>
        <w:spacing w:line="540" w:lineRule="exact"/>
        <w:jc w:val="center"/>
        <w:rPr>
          <w:rFonts w:hint="default" w:ascii="TimesNewRoman" w:hAnsi="TimesNewRoman" w:eastAsia="方正小标宋_GBK" w:cs="TimesNewRoman"/>
          <w:bCs/>
          <w:color w:val="FF0000"/>
          <w:w w:val="90"/>
          <w:sz w:val="120"/>
        </w:rPr>
      </w:pPr>
    </w:p>
    <w:p>
      <w:pPr>
        <w:spacing w:line="540" w:lineRule="exact"/>
        <w:jc w:val="center"/>
        <w:rPr>
          <w:rFonts w:hint="default" w:ascii="TimesNewRoman" w:hAnsi="TimesNewRoman" w:eastAsia="方正小标宋_GBK" w:cs="TimesNewRoman"/>
          <w:bCs/>
          <w:color w:val="FF0000"/>
          <w:w w:val="90"/>
          <w:sz w:val="120"/>
        </w:rPr>
      </w:pPr>
    </w:p>
    <w:p>
      <w:pPr>
        <w:spacing w:line="1260" w:lineRule="exact"/>
        <w:jc w:val="center"/>
        <w:rPr>
          <w:rFonts w:hint="default" w:ascii="TimesNewRoman" w:hAnsi="TimesNewRoman" w:eastAsia="方正小标宋_GBK" w:cs="TimesNewRoman"/>
          <w:bCs/>
          <w:color w:val="FF0000"/>
          <w:w w:val="90"/>
          <w:sz w:val="120"/>
        </w:rPr>
      </w:pPr>
    </w:p>
    <w:p>
      <w:pPr>
        <w:spacing w:line="560" w:lineRule="exact"/>
        <w:jc w:val="center"/>
        <w:rPr>
          <w:rFonts w:hint="default" w:ascii="TimesNewRoman" w:hAnsi="TimesNewRoman" w:cs="TimesNewRoman"/>
          <w:bCs/>
        </w:rPr>
      </w:pPr>
    </w:p>
    <w:p>
      <w:pPr>
        <w:spacing w:line="560" w:lineRule="exact"/>
        <w:jc w:val="center"/>
        <w:rPr>
          <w:rFonts w:hint="default" w:ascii="TimesNewRoman" w:hAnsi="TimesNewRoman" w:cs="TimesNewRoman"/>
          <w:bCs/>
          <w:sz w:val="32"/>
          <w:szCs w:val="32"/>
        </w:rPr>
      </w:pPr>
      <w:r>
        <w:rPr>
          <w:rFonts w:hint="default" w:ascii="TimesNewRoman" w:hAnsi="TimesNewRoman" w:cs="TimesNewRoman"/>
          <w:sz w:val="32"/>
          <w:szCs w:val="32"/>
        </w:rPr>
        <w:t>渝司发〔2021〕48号</w:t>
      </w:r>
    </w:p>
    <w:p>
      <w:pPr>
        <w:spacing w:line="520" w:lineRule="exact"/>
        <w:jc w:val="center"/>
        <w:rPr>
          <w:rFonts w:hint="default" w:ascii="TimesNewRoman" w:hAnsi="TimesNewRoman" w:cs="TimesNewRoman"/>
          <w:b/>
        </w:rPr>
      </w:pPr>
    </w:p>
    <w:p>
      <w:pPr>
        <w:spacing w:line="540" w:lineRule="exact"/>
        <w:rPr>
          <w:rFonts w:hint="default" w:ascii="TimesNewRoman" w:hAnsi="TimesNewRoman" w:eastAsia="方正小标宋_GBK" w:cs="TimesNewRoman"/>
          <w:shd w:val="clear" w:color="auto" w:fill="FFFFFF"/>
        </w:rPr>
      </w:pPr>
    </w:p>
    <w:bookmarkEnd w:id="0"/>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jc w:val="center"/>
        <w:rPr>
          <w:rFonts w:hint="default" w:ascii="TimesNewRoman" w:hAnsi="TimesNewRoman" w:eastAsia="方正小标宋_GBK" w:cs="TimesNewRoman"/>
          <w:color w:val="000000"/>
          <w:sz w:val="44"/>
          <w:szCs w:val="44"/>
        </w:rPr>
      </w:pPr>
      <w:r>
        <w:rPr>
          <w:rFonts w:hint="default" w:ascii="TimesNewRoman" w:hAnsi="TimesNewRoman" w:eastAsia="方正小标宋_GBK" w:cs="TimesNewRoman"/>
          <w:color w:val="000000"/>
          <w:sz w:val="44"/>
          <w:szCs w:val="44"/>
        </w:rPr>
        <w:t>重庆市司法局</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jc w:val="center"/>
        <w:rPr>
          <w:rFonts w:hint="default" w:ascii="TimesNewRoman" w:hAnsi="TimesNewRoman" w:eastAsia="方正小标宋_GBK" w:cs="TimesNewRoman"/>
          <w:color w:val="000000"/>
          <w:sz w:val="44"/>
          <w:szCs w:val="44"/>
        </w:rPr>
      </w:pPr>
      <w:r>
        <w:rPr>
          <w:rFonts w:hint="default" w:ascii="TimesNewRoman" w:hAnsi="TimesNewRoman" w:eastAsia="方正小标宋_GBK" w:cs="TimesNewRoman"/>
          <w:color w:val="000000"/>
          <w:sz w:val="44"/>
          <w:szCs w:val="44"/>
        </w:rPr>
        <w:t>关于印发重庆市村（居）法律顾问</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jc w:val="center"/>
        <w:rPr>
          <w:rFonts w:hint="default" w:ascii="TimesNewRoman" w:hAnsi="TimesNewRoman" w:eastAsia="方正小标宋_GBK" w:cs="TimesNewRoman"/>
          <w:color w:val="000000"/>
          <w:sz w:val="44"/>
          <w:szCs w:val="44"/>
        </w:rPr>
      </w:pPr>
      <w:r>
        <w:rPr>
          <w:rFonts w:hint="default" w:ascii="TimesNewRoman" w:hAnsi="TimesNewRoman" w:eastAsia="方正小标宋_GBK" w:cs="TimesNewRoman"/>
          <w:color w:val="000000"/>
          <w:sz w:val="44"/>
          <w:szCs w:val="44"/>
        </w:rPr>
        <w:t>工作办法（试行）的通知</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jc w:val="center"/>
        <w:rPr>
          <w:rFonts w:hint="default" w:ascii="TimesNewRoman" w:hAnsi="TimesNewRoman" w:eastAsia="方正小标宋_GBK" w:cs="TimesNewRoman"/>
          <w:color w:val="000000"/>
          <w:sz w:val="44"/>
          <w:szCs w:val="44"/>
        </w:rPr>
      </w:pP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0" w:firstLineChars="0"/>
        <w:rPr>
          <w:rFonts w:hint="default" w:ascii="TimesNewRoman" w:hAnsi="TimesNewRoman" w:cs="TimesNewRoman"/>
          <w:color w:val="000000"/>
          <w:szCs w:val="32"/>
        </w:rPr>
      </w:pPr>
      <w:r>
        <w:rPr>
          <w:rFonts w:hint="default" w:ascii="TimesNewRoman" w:hAnsi="TimesNewRoman" w:cs="TimesNewRoman"/>
          <w:color w:val="000000"/>
          <w:spacing w:val="-11"/>
          <w:szCs w:val="32"/>
        </w:rPr>
        <w:t>各区县（自治县）司法局，两江新区司法局，万盛经开区党工委政法办，高新区综合执法局，市局机关有关处室，有关行业协会</w:t>
      </w:r>
      <w:r>
        <w:rPr>
          <w:rFonts w:hint="default" w:ascii="TimesNewRoman" w:hAnsi="TimesNewRoman" w:cs="TimesNewRoman"/>
          <w:color w:val="000000"/>
          <w:szCs w:val="32"/>
        </w:rPr>
        <w:t>：</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3168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现将《重庆市村（居）法律顾问工作办法（试行）》印发你们，请结合实际认真贯彻落实，有关情况及时报告。</w:t>
      </w:r>
    </w:p>
    <w:p>
      <w:pPr>
        <w:pStyle w:val="47"/>
        <w:pBdr>
          <w:top w:val="none" w:color="auto" w:sz="0" w:space="0"/>
          <w:left w:val="none" w:color="auto" w:sz="0" w:space="0"/>
          <w:bottom w:val="none" w:color="auto" w:sz="0" w:space="0"/>
          <w:right w:val="none" w:color="auto" w:sz="0" w:space="0"/>
          <w:between w:val="none" w:color="auto" w:sz="0" w:space="0"/>
        </w:pBdr>
        <w:spacing w:line="576" w:lineRule="exact"/>
        <w:ind w:firstLine="31680"/>
        <w:jc w:val="both"/>
        <w:rPr>
          <w:rFonts w:hint="default" w:ascii="TimesNewRoman" w:hAnsi="TimesNewRoman" w:cs="TimesNewRoman"/>
        </w:rPr>
      </w:pP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5440" w:firstLineChars="1700"/>
        <w:rPr>
          <w:rFonts w:hint="default" w:ascii="TimesNewRoman" w:hAnsi="TimesNewRoman" w:cs="TimesNewRoman"/>
          <w:color w:val="000000"/>
          <w:szCs w:val="32"/>
        </w:rPr>
      </w:pPr>
      <w:r>
        <w:rPr>
          <w:rFonts w:hint="default" w:ascii="TimesNewRoman" w:hAnsi="TimesNewRoman" w:cs="TimesNewRoman"/>
          <w:color w:val="000000"/>
          <w:szCs w:val="32"/>
        </w:rPr>
        <w:t>重庆市司法局</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5280" w:firstLineChars="1650"/>
        <w:rPr>
          <w:rFonts w:hint="default" w:ascii="TimesNewRoman" w:hAnsi="TimesNewRoman" w:cs="TimesNewRoman"/>
          <w:color w:val="000000"/>
          <w:szCs w:val="32"/>
        </w:rPr>
      </w:pPr>
      <w:r>
        <w:rPr>
          <w:rFonts w:hint="default" w:ascii="TimesNewRoman" w:hAnsi="TimesNewRoman" w:cs="TimesNewRoman"/>
          <w:color w:val="000000"/>
          <w:szCs w:val="32"/>
        </w:rPr>
        <w:t>2021年11月12日</w:t>
      </w:r>
    </w:p>
    <w:p>
      <w:pPr>
        <w:pStyle w:val="46"/>
        <w:pBdr>
          <w:top w:val="none" w:color="auto" w:sz="0" w:space="0"/>
          <w:left w:val="none" w:color="auto" w:sz="0" w:space="0"/>
          <w:bottom w:val="none" w:color="auto" w:sz="0" w:space="0"/>
          <w:right w:val="none" w:color="auto" w:sz="0" w:space="0"/>
          <w:between w:val="none" w:color="auto" w:sz="0" w:space="0"/>
        </w:pBdr>
        <w:spacing w:line="576" w:lineRule="exact"/>
        <w:ind w:firstLine="31680"/>
        <w:jc w:val="left"/>
        <w:rPr>
          <w:rFonts w:hint="default" w:ascii="TimesNewRoman" w:hAnsi="TimesNewRoman" w:cs="TimesNewRoman"/>
          <w:color w:val="000000"/>
          <w:szCs w:val="32"/>
        </w:rPr>
      </w:pPr>
      <w:r>
        <w:rPr>
          <w:rFonts w:hint="default" w:ascii="TimesNewRoman" w:hAnsi="TimesNewRoman" w:cs="TimesNewRoman"/>
          <w:color w:val="000000"/>
          <w:szCs w:val="32"/>
        </w:rPr>
        <w:t>（此件公开发布）</w:t>
      </w:r>
    </w:p>
    <w:p>
      <w:pPr>
        <w:pStyle w:val="46"/>
        <w:pBdr>
          <w:top w:val="none" w:color="auto" w:sz="0" w:space="0"/>
          <w:left w:val="none" w:color="auto" w:sz="0" w:space="0"/>
          <w:bottom w:val="none" w:color="auto" w:sz="0" w:space="0"/>
          <w:right w:val="none" w:color="auto" w:sz="0" w:space="0"/>
          <w:between w:val="none" w:color="auto" w:sz="0" w:space="0"/>
        </w:pBdr>
        <w:spacing w:line="578" w:lineRule="exact"/>
        <w:ind w:firstLine="0" w:firstLineChars="0"/>
        <w:jc w:val="center"/>
        <w:rPr>
          <w:rFonts w:hint="default" w:ascii="TimesNewRoman" w:hAnsi="TimesNewRoman" w:eastAsia="方正小标宋_GBK" w:cs="TimesNewRoman"/>
          <w:color w:val="000000"/>
          <w:sz w:val="44"/>
          <w:szCs w:val="44"/>
        </w:rPr>
      </w:pPr>
    </w:p>
    <w:p>
      <w:pPr>
        <w:pStyle w:val="46"/>
        <w:pBdr>
          <w:top w:val="none" w:color="auto" w:sz="0" w:space="0"/>
          <w:left w:val="none" w:color="auto" w:sz="0" w:space="0"/>
          <w:bottom w:val="none" w:color="auto" w:sz="0" w:space="0"/>
          <w:right w:val="none" w:color="auto" w:sz="0" w:space="0"/>
          <w:between w:val="none" w:color="auto" w:sz="0" w:space="0"/>
        </w:pBdr>
        <w:spacing w:line="578" w:lineRule="exact"/>
        <w:ind w:firstLine="0" w:firstLineChars="0"/>
        <w:jc w:val="center"/>
        <w:rPr>
          <w:rFonts w:hint="default" w:ascii="TimesNewRoman" w:hAnsi="TimesNewRoman" w:eastAsia="方正小标宋_GBK" w:cs="TimesNewRoman"/>
          <w:color w:val="000000"/>
          <w:sz w:val="44"/>
          <w:szCs w:val="44"/>
        </w:rPr>
      </w:pPr>
      <w:r>
        <w:rPr>
          <w:rFonts w:hint="default" w:ascii="TimesNewRoman" w:hAnsi="TimesNewRoman" w:eastAsia="方正小标宋_GBK" w:cs="TimesNewRoman"/>
          <w:color w:val="000000"/>
          <w:sz w:val="44"/>
          <w:szCs w:val="44"/>
        </w:rPr>
        <w:t>重庆市村（居）法律顾问工作办法</w:t>
      </w:r>
    </w:p>
    <w:p>
      <w:pPr>
        <w:pStyle w:val="46"/>
        <w:pBdr>
          <w:top w:val="none" w:color="auto" w:sz="0" w:space="0"/>
          <w:left w:val="none" w:color="auto" w:sz="0" w:space="0"/>
          <w:bottom w:val="none" w:color="auto" w:sz="0" w:space="0"/>
          <w:right w:val="none" w:color="auto" w:sz="0" w:space="0"/>
          <w:between w:val="none" w:color="auto" w:sz="0" w:space="0"/>
        </w:pBdr>
        <w:spacing w:line="578" w:lineRule="exact"/>
        <w:ind w:firstLine="0" w:firstLineChars="0"/>
        <w:jc w:val="center"/>
        <w:rPr>
          <w:rFonts w:hint="default" w:ascii="TimesNewRoman" w:hAnsi="TimesNewRoman" w:eastAsia="方正楷体_GBK" w:cs="TimesNewRoman"/>
          <w:color w:val="000000"/>
          <w:szCs w:val="32"/>
        </w:rPr>
      </w:pPr>
      <w:r>
        <w:rPr>
          <w:rFonts w:hint="default" w:ascii="TimesNewRoman" w:hAnsi="TimesNewRoman" w:eastAsia="方正楷体_GBK" w:cs="TimesNewRoman"/>
          <w:color w:val="000000"/>
          <w:szCs w:val="32"/>
        </w:rPr>
        <w:t>（试</w:t>
      </w:r>
      <w:r>
        <w:rPr>
          <w:rFonts w:hint="default" w:ascii="TimesNewRoman" w:hAnsi="TimesNewRoman" w:cs="TimesNewRoman"/>
          <w:color w:val="000000"/>
          <w:szCs w:val="32"/>
        </w:rPr>
        <w:t>　</w:t>
      </w:r>
      <w:r>
        <w:rPr>
          <w:rFonts w:hint="default" w:ascii="TimesNewRoman" w:hAnsi="TimesNewRoman" w:eastAsia="方正楷体_GBK" w:cs="TimesNewRoman"/>
          <w:color w:val="000000"/>
          <w:szCs w:val="32"/>
        </w:rPr>
        <w:t>行）</w:t>
      </w:r>
    </w:p>
    <w:p>
      <w:pPr>
        <w:pStyle w:val="46"/>
        <w:pBdr>
          <w:top w:val="none" w:color="auto" w:sz="0" w:space="0"/>
          <w:left w:val="none" w:color="auto" w:sz="0" w:space="0"/>
          <w:bottom w:val="none" w:color="auto" w:sz="0" w:space="0"/>
          <w:right w:val="none" w:color="auto" w:sz="0" w:space="0"/>
          <w:between w:val="none" w:color="auto" w:sz="0" w:space="0"/>
        </w:pBdr>
        <w:spacing w:line="578" w:lineRule="exact"/>
        <w:ind w:firstLine="31680"/>
        <w:rPr>
          <w:rFonts w:hint="default" w:ascii="TimesNewRoman" w:hAnsi="TimesNewRoman" w:eastAsia="方正黑体_GBK" w:cs="TimesNewRoman"/>
          <w:color w:val="000000"/>
          <w:szCs w:val="32"/>
        </w:rPr>
      </w:pPr>
    </w:p>
    <w:p>
      <w:pPr>
        <w:spacing w:line="578" w:lineRule="exact"/>
        <w:jc w:val="center"/>
        <w:rPr>
          <w:rStyle w:val="45"/>
          <w:rFonts w:hint="default" w:ascii="TimesNewRoman" w:hAnsi="TimesNewRoman" w:eastAsia="方正黑体_GBK" w:cs="TimesNewRoman"/>
          <w:color w:val="000000"/>
          <w:sz w:val="32"/>
          <w:szCs w:val="32"/>
        </w:rPr>
      </w:pPr>
      <w:r>
        <w:rPr>
          <w:rStyle w:val="45"/>
          <w:rFonts w:hint="default" w:ascii="TimesNewRoman" w:hAnsi="TimesNewRoman" w:eastAsia="方正黑体_GBK" w:cs="TimesNewRoman"/>
          <w:color w:val="000000"/>
          <w:sz w:val="32"/>
          <w:szCs w:val="32"/>
        </w:rPr>
        <w:t>第一章</w:t>
      </w:r>
      <w:r>
        <w:rPr>
          <w:rFonts w:hint="default" w:ascii="TimesNewRoman" w:hAnsi="TimesNewRoman" w:cs="TimesNewRoman"/>
          <w:color w:val="000000"/>
          <w:sz w:val="32"/>
          <w:szCs w:val="32"/>
        </w:rPr>
        <w:t>　</w:t>
      </w:r>
      <w:r>
        <w:rPr>
          <w:rStyle w:val="45"/>
          <w:rFonts w:hint="default" w:ascii="TimesNewRoman" w:hAnsi="TimesNewRoman" w:eastAsia="方正黑体_GBK" w:cs="TimesNewRoman"/>
          <w:color w:val="000000"/>
          <w:sz w:val="32"/>
          <w:szCs w:val="32"/>
        </w:rPr>
        <w:t>总</w:t>
      </w:r>
      <w:r>
        <w:rPr>
          <w:rFonts w:hint="default" w:ascii="TimesNewRoman" w:hAnsi="TimesNewRoman" w:cs="TimesNewRoman"/>
          <w:color w:val="000000"/>
          <w:sz w:val="32"/>
          <w:szCs w:val="32"/>
        </w:rPr>
        <w:t>　</w:t>
      </w:r>
      <w:r>
        <w:rPr>
          <w:rStyle w:val="45"/>
          <w:rFonts w:hint="default" w:ascii="TimesNewRoman" w:hAnsi="TimesNewRoman" w:eastAsia="方正黑体_GBK" w:cs="TimesNewRoman"/>
          <w:color w:val="000000"/>
          <w:sz w:val="32"/>
          <w:szCs w:val="32"/>
        </w:rPr>
        <w:t>则</w:t>
      </w:r>
    </w:p>
    <w:p>
      <w:pPr>
        <w:spacing w:line="578" w:lineRule="exact"/>
        <w:ind w:firstLine="640" w:firstLineChars="200"/>
        <w:rPr>
          <w:rStyle w:val="45"/>
          <w:rFonts w:hint="default" w:ascii="TimesNewRoman" w:hAnsi="TimesNewRoman" w:cs="TimesNewRoman"/>
          <w:color w:val="000000"/>
          <w:sz w:val="32"/>
          <w:szCs w:val="32"/>
        </w:rPr>
      </w:pPr>
    </w:p>
    <w:p>
      <w:pPr>
        <w:spacing w:line="578" w:lineRule="exact"/>
        <w:ind w:firstLine="640" w:firstLineChars="200"/>
        <w:rPr>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第一条</w:t>
      </w:r>
      <w:r>
        <w:rPr>
          <w:rFonts w:hint="default" w:ascii="TimesNewRoman" w:hAnsi="TimesNewRoman" w:cs="TimesNewRoman"/>
          <w:color w:val="000000"/>
          <w:sz w:val="32"/>
          <w:szCs w:val="32"/>
        </w:rPr>
        <w:t>　为了加强和规范村（居）法律顾问工作，充分发挥村（居）法律顾问作用，助推基层依法治理、法治社会建设，根据司法部有关指导意见，结合工作实际，制定本办法。</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第二条</w:t>
      </w:r>
      <w:r>
        <w:rPr>
          <w:rFonts w:hint="default" w:ascii="TimesNewRoman" w:hAnsi="TimesNewRoman" w:cs="TimesNewRoman"/>
          <w:color w:val="000000"/>
          <w:sz w:val="32"/>
          <w:szCs w:val="32"/>
        </w:rPr>
        <w:t>　本市行政区域内村（居）法律顾问的选聘、服务、管理和监督，适用本办法。</w:t>
      </w:r>
    </w:p>
    <w:p>
      <w:pPr>
        <w:spacing w:line="578" w:lineRule="exact"/>
        <w:ind w:firstLine="640" w:firstLineChars="200"/>
        <w:textAlignment w:val="baseline"/>
        <w:rPr>
          <w:rStyle w:val="45"/>
          <w:rFonts w:hint="default" w:ascii="TimesNewRoman" w:hAnsi="TimesNewRoman" w:cs="TimesNewRoman"/>
          <w:color w:val="000000"/>
          <w:sz w:val="32"/>
          <w:szCs w:val="32"/>
        </w:rPr>
      </w:pPr>
      <w:r>
        <w:rPr>
          <w:rStyle w:val="45"/>
          <w:rFonts w:hint="default" w:ascii="TimesNewRoman" w:hAnsi="TimesNewRoman" w:eastAsia="方正仿宋_GBK" w:cs="TimesNewRoman"/>
          <w:color w:val="000000"/>
          <w:sz w:val="32"/>
          <w:szCs w:val="32"/>
        </w:rPr>
        <w:t>各地可以根据法律服务资源状况和基层自治组织、人民群众实际需求，探索符合实际的村（居）法律顾问工作模式、组织形式、运作方式、管理机制</w:t>
      </w:r>
      <w:r>
        <w:rPr>
          <w:rStyle w:val="45"/>
          <w:rFonts w:hint="default" w:ascii="TimesNewRoman" w:hAnsi="TimesNewRoman" w:cs="TimesNewRoman"/>
          <w:color w:val="000000"/>
          <w:sz w:val="32"/>
          <w:szCs w:val="32"/>
        </w:rPr>
        <w:t>。</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第三条</w:t>
      </w:r>
      <w:r>
        <w:rPr>
          <w:rFonts w:hint="default" w:ascii="TimesNewRoman" w:hAnsi="TimesNewRoman" w:cs="TimesNewRoman"/>
          <w:color w:val="FF0000"/>
          <w:sz w:val="32"/>
          <w:szCs w:val="32"/>
        </w:rPr>
        <w:t>　</w:t>
      </w:r>
      <w:r>
        <w:rPr>
          <w:rFonts w:hint="default" w:ascii="TimesNewRoman" w:hAnsi="TimesNewRoman" w:cs="TimesNewRoman"/>
          <w:sz w:val="32"/>
          <w:szCs w:val="32"/>
        </w:rPr>
        <w:t>本办法所称村（居）法律顾问，是指通过政府购买服务、政府给予补贴等方式，</w:t>
      </w:r>
      <w:r>
        <w:rPr>
          <w:rFonts w:hint="default" w:ascii="TimesNewRoman" w:hAnsi="TimesNewRoman" w:cs="TimesNewRoman"/>
          <w:color w:val="000000"/>
          <w:sz w:val="32"/>
          <w:szCs w:val="32"/>
        </w:rPr>
        <w:t>受法律服务机构或者工作单位指派，为村（居）民委员会、农村集体经济组织和村（居）民提供公益法律服务的律师、基层法律服务工作者等法律专业人员。</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第四条</w:t>
      </w:r>
      <w:r>
        <w:rPr>
          <w:rFonts w:hint="default" w:ascii="TimesNewRoman" w:hAnsi="TimesNewRoman" w:cs="TimesNewRoman"/>
          <w:color w:val="000000"/>
          <w:sz w:val="32"/>
          <w:szCs w:val="32"/>
        </w:rPr>
        <w:t>　村（居）法律顾问工作应当坚持党的领导、以人民为中心、因地制宜、便捷高效的原则。</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第五条</w:t>
      </w:r>
      <w:r>
        <w:rPr>
          <w:rFonts w:hint="default" w:ascii="TimesNewRoman" w:hAnsi="TimesNewRoman" w:cs="TimesNewRoman"/>
          <w:color w:val="000000"/>
          <w:sz w:val="32"/>
          <w:szCs w:val="32"/>
        </w:rPr>
        <w:t>　市和区县（自治县）司法行政部门负责统筹规划、指导监督村（居）法律顾问工作，推动将其纳入本级乡村振兴、社会治理、基层治理和法治社会建设相关规划，建立与有关部门、单位的工作协同配合机制。</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司法所负责协助乡（镇）人民政府、街道办事处和村（居）民委员会组织开展村（居）法律顾问相关工作。</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市律师协会、市基层法律服务工作者协会等行业协会应当引导、支持本行业执业机构和从业人员积极参与村（居）法律顾问工作，建立有关业务规范、服务指引、培训指导、奖惩激励等制度。</w:t>
      </w:r>
    </w:p>
    <w:p>
      <w:pPr>
        <w:spacing w:line="578" w:lineRule="exact"/>
        <w:ind w:firstLine="640" w:firstLineChars="200"/>
        <w:rPr>
          <w:rFonts w:hint="default" w:ascii="TimesNewRoman" w:hAnsi="TimesNewRoman" w:cs="TimesNewRoman"/>
          <w:color w:val="000000"/>
          <w:sz w:val="32"/>
          <w:szCs w:val="32"/>
        </w:rPr>
      </w:pPr>
    </w:p>
    <w:p>
      <w:pPr>
        <w:spacing w:line="578" w:lineRule="exact"/>
        <w:jc w:val="center"/>
        <w:textAlignment w:val="baseline"/>
        <w:rPr>
          <w:rStyle w:val="45"/>
          <w:rFonts w:hint="default" w:ascii="TimesNewRoman" w:hAnsi="TimesNewRoman" w:eastAsia="方正黑体_GBK" w:cs="TimesNewRoman"/>
          <w:color w:val="000000"/>
          <w:sz w:val="32"/>
          <w:szCs w:val="32"/>
        </w:rPr>
      </w:pPr>
      <w:r>
        <w:rPr>
          <w:rStyle w:val="45"/>
          <w:rFonts w:hint="default" w:ascii="TimesNewRoman" w:hAnsi="TimesNewRoman" w:eastAsia="方正黑体_GBK" w:cs="TimesNewRoman"/>
          <w:color w:val="000000"/>
          <w:sz w:val="32"/>
          <w:szCs w:val="32"/>
        </w:rPr>
        <w:t>第二章　资源配置和人员选聘</w:t>
      </w:r>
    </w:p>
    <w:p>
      <w:pPr>
        <w:spacing w:line="578" w:lineRule="exact"/>
        <w:ind w:firstLine="640" w:firstLineChars="200"/>
        <w:rPr>
          <w:rStyle w:val="45"/>
          <w:rFonts w:hint="default" w:ascii="TimesNewRoman" w:hAnsi="TimesNewRoman" w:cs="TimesNewRoman"/>
          <w:color w:val="000000"/>
          <w:sz w:val="32"/>
          <w:szCs w:val="32"/>
        </w:rPr>
      </w:pPr>
    </w:p>
    <w:p>
      <w:pPr>
        <w:spacing w:line="578" w:lineRule="exact"/>
        <w:ind w:firstLine="640" w:firstLineChars="200"/>
        <w:rPr>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第六条</w:t>
      </w:r>
      <w:r>
        <w:rPr>
          <w:rFonts w:hint="default" w:ascii="TimesNewRoman" w:hAnsi="TimesNewRoman" w:cs="TimesNewRoman"/>
          <w:color w:val="000000"/>
          <w:sz w:val="32"/>
          <w:szCs w:val="32"/>
        </w:rPr>
        <w:t>　村（居）法律顾问原则上由律师、基层法律服务工作者担任。</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律师、基层法律服务工作者不足地区，可以由国家机关、其他具有公共管理职能的组织中专职从事法律事务的人员担任村（居）法律顾问，但应当依照规定经所在单位或者其他有权机关批准，且不得从事有偿法律服务。</w:t>
      </w:r>
    </w:p>
    <w:p>
      <w:pPr>
        <w:spacing w:line="578" w:lineRule="exact"/>
        <w:ind w:firstLine="640" w:firstLineChars="200"/>
        <w:rPr>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第七条</w:t>
      </w:r>
      <w:r>
        <w:rPr>
          <w:rFonts w:hint="default" w:ascii="TimesNewRoman" w:hAnsi="TimesNewRoman" w:cs="TimesNewRoman"/>
          <w:color w:val="000000"/>
          <w:sz w:val="32"/>
          <w:szCs w:val="32"/>
        </w:rPr>
        <w:t>　区县（自治县）司法行政部门（含两江新区、重庆高新区、万盛经开区管委会承担司法行政工作的部门，以下简称区县司法行政部门）</w:t>
      </w:r>
      <w:r>
        <w:rPr>
          <w:rFonts w:hint="default" w:ascii="TimesNewRoman" w:hAnsi="TimesNewRoman" w:cs="TimesNewRoman"/>
          <w:sz w:val="32"/>
          <w:szCs w:val="32"/>
        </w:rPr>
        <w:t>应当编制和发布本行政区域内法律服务机构和法律专业人员名录，</w:t>
      </w:r>
      <w:r>
        <w:rPr>
          <w:rFonts w:hint="default" w:ascii="TimesNewRoman" w:hAnsi="TimesNewRoman" w:cs="TimesNewRoman"/>
          <w:color w:val="000000"/>
          <w:sz w:val="32"/>
          <w:szCs w:val="32"/>
        </w:rPr>
        <w:t>为乡（镇）人民政府、街道办事处或者村（居）</w:t>
      </w:r>
      <w:r>
        <w:rPr>
          <w:rStyle w:val="45"/>
          <w:rFonts w:hint="default" w:ascii="TimesNewRoman" w:hAnsi="TimesNewRoman" w:cs="TimesNewRoman"/>
          <w:color w:val="000000"/>
          <w:sz w:val="32"/>
          <w:szCs w:val="32"/>
        </w:rPr>
        <w:t>民</w:t>
      </w:r>
      <w:r>
        <w:rPr>
          <w:rFonts w:hint="default" w:ascii="TimesNewRoman" w:hAnsi="TimesNewRoman" w:cs="TimesNewRoman"/>
          <w:color w:val="000000"/>
          <w:sz w:val="32"/>
          <w:szCs w:val="32"/>
        </w:rPr>
        <w:t>委员会选聘村（居）法律顾问提供便利。</w:t>
      </w:r>
    </w:p>
    <w:p>
      <w:pPr>
        <w:spacing w:line="578" w:lineRule="exact"/>
        <w:ind w:firstLine="640" w:firstLineChars="200"/>
        <w:rPr>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第八条</w:t>
      </w:r>
      <w:r>
        <w:rPr>
          <w:rFonts w:hint="default" w:ascii="TimesNewRoman" w:hAnsi="TimesNewRoman" w:cs="TimesNewRoman"/>
          <w:color w:val="000000"/>
          <w:sz w:val="32"/>
          <w:szCs w:val="32"/>
        </w:rPr>
        <w:t>　选聘村（居）法律顾问应当坚持双向选择，可以根据工作实际采取以下方法：</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（一）村（居）民委员会自主选聘</w:t>
      </w:r>
      <w:r>
        <w:rPr>
          <w:rStyle w:val="45"/>
          <w:rFonts w:hint="default" w:ascii="TimesNewRoman" w:hAnsi="TimesNewRoman" w:eastAsia="方正仿宋_GBK" w:cs="TimesNewRoman"/>
          <w:color w:val="000000"/>
          <w:sz w:val="32"/>
          <w:szCs w:val="32"/>
        </w:rPr>
        <w:t>村（居）</w:t>
      </w:r>
      <w:r>
        <w:rPr>
          <w:rFonts w:hint="default" w:ascii="TimesNewRoman" w:hAnsi="TimesNewRoman" w:cs="TimesNewRoman"/>
          <w:color w:val="000000"/>
          <w:sz w:val="32"/>
          <w:szCs w:val="32"/>
        </w:rPr>
        <w:t>法律顾问。</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（二）村（居）民委员会未自主选聘的，可以由乡（镇）人民政府、街道办事处选聘、调配法律专业人员担任村（居）法律顾问。</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（三）村（居）民委员会和乡（镇）人民政府、街道办事处未组织选聘的，可以由区县司法行政部门编制村（居）法律顾问配备方案，选聘、调配法律专业人员担任。</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第九条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选聘村（居）法律顾问，一般应当坚持一村（居）一顾问。</w:t>
      </w:r>
      <w:r>
        <w:rPr>
          <w:rFonts w:hint="default" w:ascii="TimesNewRoman" w:hAnsi="TimesNewRoman" w:cs="TimesNewRoman"/>
          <w:color w:val="000000"/>
          <w:sz w:val="32"/>
          <w:szCs w:val="32"/>
        </w:rPr>
        <w:t>法律服务资源不足地区、人口稀少法律服务需求不足的农村偏远山区，</w:t>
      </w:r>
      <w:r>
        <w:rPr>
          <w:rFonts w:hint="default" w:ascii="TimesNewRoman" w:hAnsi="TimesNewRoman" w:cs="TimesNewRoman"/>
          <w:sz w:val="32"/>
          <w:szCs w:val="32"/>
        </w:rPr>
        <w:t>一名法律专业人员可以同时服务多个村（居），但原则上不超过5个。</w:t>
      </w:r>
      <w:r>
        <w:rPr>
          <w:rStyle w:val="45"/>
          <w:rFonts w:hint="default" w:ascii="TimesNewRoman" w:hAnsi="TimesNewRoman" w:eastAsia="方正仿宋_GBK" w:cs="TimesNewRoman"/>
          <w:color w:val="000000"/>
          <w:sz w:val="32"/>
          <w:szCs w:val="32"/>
        </w:rPr>
        <w:t>城区、场镇、城乡结合部等人口密集、治理难度较大的重点地区，一个村（居）</w:t>
      </w:r>
      <w:r>
        <w:rPr>
          <w:rFonts w:hint="default" w:ascii="TimesNewRoman" w:hAnsi="TimesNewRoman" w:cs="TimesNewRoman"/>
          <w:color w:val="000000"/>
          <w:sz w:val="32"/>
          <w:szCs w:val="32"/>
        </w:rPr>
        <w:t>可以选聘2名以上法律专业人员担任顾问。</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第十条</w:t>
      </w:r>
      <w:r>
        <w:rPr>
          <w:rFonts w:hint="default" w:ascii="TimesNewRoman" w:hAnsi="TimesNewRoman" w:cs="TimesNewRoman"/>
          <w:color w:val="000000"/>
          <w:sz w:val="32"/>
          <w:szCs w:val="32"/>
        </w:rPr>
        <w:t>　村（居）法律顾问服务协议原则上由村（居）民委员会与法律服务机构签订，约定法律专业人员、服务范围和方式、服务期限、工作补贴及支付方式、监督管理考核等内容。</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区县司法行政部门、司法所对本辖区内签订的村（居）法律顾问服务协议存档备查。</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村（居）法律顾问提供代理诉讼案件等专项法律服务的，应当另行签订委托代理协议。</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第十一条</w:t>
      </w:r>
      <w:r>
        <w:rPr>
          <w:rFonts w:hint="default" w:ascii="TimesNewRoman" w:hAnsi="TimesNewRoman" w:cs="TimesNewRoman"/>
          <w:color w:val="000000"/>
          <w:sz w:val="32"/>
          <w:szCs w:val="32"/>
        </w:rPr>
        <w:t>　区县司法行政部门应当指导乡（镇）人民政府、街道办事处、村（居）民委员会在公共服务中心、便民服务中心等场所，公开村（居）法律顾问的基本信息、服务内容、服务方式、监督电话。</w:t>
      </w:r>
    </w:p>
    <w:p>
      <w:pPr>
        <w:spacing w:line="578" w:lineRule="exact"/>
        <w:ind w:firstLine="640" w:firstLineChars="200"/>
        <w:rPr>
          <w:rStyle w:val="45"/>
          <w:rFonts w:hint="default" w:ascii="TimesNewRoman" w:hAnsi="TimesNewRoman" w:eastAsia="方正仿宋_GBK" w:cs="TimesNewRoman"/>
          <w:color w:val="000000"/>
          <w:sz w:val="32"/>
          <w:szCs w:val="32"/>
        </w:rPr>
      </w:pPr>
      <w:r>
        <w:rPr>
          <w:rFonts w:hint="default" w:ascii="TimesNewRoman" w:hAnsi="TimesNewRoman" w:cs="TimesNewRoman"/>
          <w:color w:val="000000"/>
          <w:sz w:val="32"/>
          <w:szCs w:val="32"/>
        </w:rPr>
        <w:t>村（居）法律顾问应当采取发放联系卡、社交软件推广等方式，提升社会知晓率、方便村（居）民寻求法律服务；主动对接村（居）委工作人员、网格员、调解员、法律明白人等加强协调联动，</w:t>
      </w:r>
      <w:r>
        <w:rPr>
          <w:rStyle w:val="45"/>
          <w:rFonts w:hint="default" w:ascii="TimesNewRoman" w:hAnsi="TimesNewRoman" w:eastAsia="方正仿宋_GBK" w:cs="TimesNewRoman"/>
          <w:color w:val="000000"/>
          <w:sz w:val="32"/>
          <w:szCs w:val="32"/>
        </w:rPr>
        <w:t>广泛收集、及时解决基层法律服务需求。</w:t>
      </w:r>
    </w:p>
    <w:p>
      <w:pPr>
        <w:spacing w:line="578" w:lineRule="exact"/>
        <w:ind w:firstLine="640" w:firstLineChars="200"/>
        <w:rPr>
          <w:rStyle w:val="45"/>
          <w:rFonts w:hint="default" w:ascii="TimesNewRoman" w:hAnsi="TimesNewRoman" w:cs="TimesNewRoman"/>
          <w:color w:val="000000"/>
          <w:sz w:val="32"/>
          <w:szCs w:val="32"/>
        </w:rPr>
      </w:pPr>
    </w:p>
    <w:p>
      <w:pPr>
        <w:spacing w:line="578" w:lineRule="exact"/>
        <w:jc w:val="center"/>
        <w:textAlignment w:val="baseline"/>
        <w:rPr>
          <w:rStyle w:val="45"/>
          <w:rFonts w:hint="default" w:ascii="TimesNewRoman" w:hAnsi="TimesNewRoman" w:eastAsia="方正黑体_GBK" w:cs="TimesNewRoman"/>
          <w:color w:val="000000"/>
          <w:sz w:val="32"/>
          <w:szCs w:val="32"/>
        </w:rPr>
      </w:pPr>
      <w:r>
        <w:rPr>
          <w:rStyle w:val="45"/>
          <w:rFonts w:hint="default" w:ascii="TimesNewRoman" w:hAnsi="TimesNewRoman" w:eastAsia="方正黑体_GBK" w:cs="TimesNewRoman"/>
          <w:color w:val="000000"/>
          <w:sz w:val="32"/>
          <w:szCs w:val="32"/>
        </w:rPr>
        <w:t>第三章　服务内容和行为规范</w:t>
      </w:r>
    </w:p>
    <w:p>
      <w:pPr>
        <w:spacing w:line="578" w:lineRule="exact"/>
        <w:ind w:firstLine="640" w:firstLineChars="200"/>
        <w:textAlignment w:val="baseline"/>
        <w:rPr>
          <w:rStyle w:val="45"/>
          <w:rFonts w:hint="default" w:ascii="TimesNewRoman" w:hAnsi="TimesNewRoman" w:cs="TimesNewRoman"/>
          <w:color w:val="000000"/>
          <w:sz w:val="32"/>
          <w:szCs w:val="32"/>
        </w:rPr>
      </w:pP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第十二条</w:t>
      </w:r>
      <w:r>
        <w:rPr>
          <w:rStyle w:val="45"/>
          <w:rFonts w:hint="default" w:ascii="TimesNewRoman" w:hAnsi="TimesNewRoman" w:eastAsia="方正仿宋_GBK" w:cs="TimesNewRoman"/>
          <w:color w:val="000000"/>
          <w:sz w:val="32"/>
          <w:szCs w:val="32"/>
        </w:rPr>
        <w:t>　村（居）法律顾问服务内容主要根据双方签订协议确定，一般包括但不限于以下法律服务：</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（一）协助村（居）民委员会起草、审核、修订村规民约和其他管理规定；</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（二）对招商引资、土地流转、自然资源征用补偿安置、基础设施建设、城市建设拆迁、生态环境保护等重大事项谈判、签订协议和其他重大决策事项等提供法律意见；</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（三）协助处理换届选举中的法律问题，发挥专业监督作用；</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（四）解答村（居）民日常生产生活遇到的法律问题，提供专业法律意见，可以代写法律文书；</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（五）协助符合法律援助条件的困难群众申请法律援助，为刑满释放人员、解除强制隔离戒毒人员和居矫正对象提供必要的法律帮助；</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（六）开展宪法法律宣传活动，举办专题法治讲座，发放法治宣传资料，普及法律知识；</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（七）协助完善基层调解组织建设，积极参与调处各类矛盾纠纷，对突发性或者矛盾较为激烈的纠纷，适时开展法治宣传，及时疏导村（居）民情绪，防范有关风险；</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（八）协助开展综治信访维稳工作，引导当事人依法依程序表达诉求，理性维护自身合法权益；</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（九）对工作中发现的可能引发群体性事件或大规模上访事件的矛盾纠纷信息，及时报告当地乡镇（街道）党委政府和区县司法行政部门，提出法律意见或建议，促进息访止纷。</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第十三条</w:t>
      </w:r>
      <w:r>
        <w:rPr>
          <w:rFonts w:hint="default" w:ascii="TimesNewRoman" w:hAnsi="TimesNewRoman" w:cs="TimesNewRoman"/>
          <w:color w:val="000000"/>
          <w:sz w:val="32"/>
          <w:szCs w:val="32"/>
        </w:rPr>
        <w:t>　村（居）法律顾问应当采取现场和远程、线上和线下相结合等方式，为村（居）民委员会、农村集体经济组织和村（居）民提供法律服务。</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（一）运用村（居）法律顾问网络服务平台、电话、微信、QQ等提供法律咨询、法律指引等非现场服务；</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（二）前往村（居）定点服务场所坐班值守，或者亲临确有法律服务需求的其他地点，提供法律服务，处理法律事务。</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第十四条</w:t>
      </w:r>
      <w:r>
        <w:rPr>
          <w:rStyle w:val="45"/>
          <w:rFonts w:hint="default" w:ascii="TimesNewRoman" w:hAnsi="TimesNewRoman" w:eastAsia="方正仿宋_GBK" w:cs="TimesNewRoman"/>
          <w:color w:val="000000"/>
          <w:sz w:val="32"/>
          <w:szCs w:val="32"/>
        </w:rPr>
        <w:t>　村（居）法律顾问应当依据服务协议和执业规范，提供及时、专业、符合标准的法律服务：</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一）及时快速响应。对现场或者线上咨询的一般性法律问题，应当即问即答；对重大、疑难、复杂的法律问题，应当与服务对象商定合理的准备时间，尽快办结；对需赶赴现场处置和提供法律意见的，不得无故拒绝，确有正当理由的，应当采取合理补救措施。</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（二）坚持专业水准。解答法律咨询、处理涉法事务应当全面掌握事实，准确厘清法律关系，正确适用法律法规和政策，提供合法合理合情的处理建议，指引获得法律服务的渠道、解决法律问题的途径。</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（三）热情文明服务。认真倾听，积极沟通，了解情况，摸清诉求，准确答复，不冷硬横推，不在问题处理完毕前离岗、挂机、离线；语气友善，语言规范，用语文明，不与服务对象发生争执、升级矛盾。</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第十五条</w:t>
      </w:r>
      <w:r>
        <w:rPr>
          <w:rFonts w:hint="default" w:ascii="TimesNewRoman" w:hAnsi="TimesNewRoman" w:cs="TimesNewRoman"/>
          <w:color w:val="000000"/>
          <w:sz w:val="32"/>
          <w:szCs w:val="32"/>
        </w:rPr>
        <w:t xml:space="preserve">　村（居）法律顾问在服务期间应当严守执业纪律、工作纪律： </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（一）遵守法律法规，恪守职业道德和社会公德，认真勤勉履行职责，依法诚信规范地开展法律服务；</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cs="TimesNewRoman"/>
          <w:color w:val="000000"/>
          <w:sz w:val="32"/>
          <w:szCs w:val="32"/>
        </w:rPr>
        <w:t>（二）遵守保密制度，不泄漏国家秘密、工作秘密、商业秘密和个人隐私，不擅自对外透露、发布敏感信息；</w:t>
      </w:r>
    </w:p>
    <w:p>
      <w:pPr>
        <w:spacing w:line="578" w:lineRule="exact"/>
        <w:ind w:firstLine="640" w:firstLineChars="200"/>
        <w:rPr>
          <w:rStyle w:val="45"/>
          <w:rFonts w:hint="default" w:ascii="TimesNewRoman" w:hAnsi="TimesNewRoman" w:eastAsia="方正仿宋_GBK" w:cs="TimesNewRoman"/>
          <w:color w:val="000000"/>
          <w:sz w:val="32"/>
          <w:szCs w:val="32"/>
        </w:rPr>
      </w:pPr>
      <w:r>
        <w:rPr>
          <w:rFonts w:hint="default" w:ascii="TimesNewRoman" w:hAnsi="TimesNewRoman" w:cs="TimesNewRoman"/>
          <w:color w:val="000000"/>
          <w:sz w:val="32"/>
          <w:szCs w:val="32"/>
        </w:rPr>
        <w:t>（三）遵守廉洁规定，不收取村（居）民钱物，</w:t>
      </w:r>
      <w:r>
        <w:rPr>
          <w:rStyle w:val="45"/>
          <w:rFonts w:hint="default" w:ascii="TimesNewRoman" w:hAnsi="TimesNewRoman" w:eastAsia="方正仿宋_GBK" w:cs="TimesNewRoman"/>
          <w:color w:val="000000"/>
          <w:sz w:val="32"/>
          <w:szCs w:val="32"/>
        </w:rPr>
        <w:t>不向村（居）民夸大虚假宣传，不利用工作便利为所在单位、本人或者他人牟取不正当利益，不煽动、教唆村（居）民采取扰乱公共秩序、危害公共安全的方式解决争议，</w:t>
      </w:r>
      <w:r>
        <w:rPr>
          <w:rFonts w:hint="default" w:ascii="TimesNewRoman" w:hAnsi="TimesNewRoman" w:cs="TimesNewRoman"/>
          <w:color w:val="000000"/>
          <w:sz w:val="32"/>
          <w:szCs w:val="32"/>
        </w:rPr>
        <w:t>不接受其他当事人委托、办理与聘任单位有利益冲突的法律事务。</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第十六条</w:t>
      </w:r>
      <w:r>
        <w:rPr>
          <w:rFonts w:hint="default" w:ascii="TimesNewRoman" w:hAnsi="TimesNewRoman" w:cs="TimesNewRoman"/>
          <w:color w:val="000000"/>
          <w:sz w:val="32"/>
          <w:szCs w:val="32"/>
        </w:rPr>
        <w:t>　村（居）法律顾问应当运用村（居）法律顾问网络服务平台，及时、真实、准确、完整地记载“解答法律咨询、代写法律文书、提供法律意见、法治宣传教育、参与调解纠纷、协助处理信访、指引法律援助”等法律服务情况，做到精准分类、</w:t>
      </w:r>
      <w:r>
        <w:rPr>
          <w:rStyle w:val="45"/>
          <w:rFonts w:hint="default" w:ascii="TimesNewRoman" w:hAnsi="TimesNewRoman" w:eastAsia="方正仿宋_GBK" w:cs="TimesNewRoman"/>
          <w:color w:val="000000"/>
          <w:sz w:val="32"/>
          <w:szCs w:val="32"/>
        </w:rPr>
        <w:t>一事一记、一次一记，随时服务、随时记载、当月服务必须当月内完成记载，作为考核评估的重要依据。</w:t>
      </w:r>
    </w:p>
    <w:p>
      <w:pPr>
        <w:spacing w:line="578" w:lineRule="exact"/>
        <w:ind w:firstLine="640" w:firstLineChars="200"/>
        <w:rPr>
          <w:rFonts w:hint="default" w:ascii="TimesNewRoman" w:hAnsi="TimesNewRoman" w:cs="TimesNewRoman"/>
          <w:color w:val="000000"/>
          <w:sz w:val="32"/>
          <w:szCs w:val="32"/>
        </w:rPr>
      </w:pPr>
    </w:p>
    <w:p>
      <w:pPr>
        <w:spacing w:line="578" w:lineRule="exact"/>
        <w:jc w:val="center"/>
        <w:textAlignment w:val="baseline"/>
        <w:rPr>
          <w:rStyle w:val="45"/>
          <w:rFonts w:hint="default" w:ascii="TimesNewRoman" w:hAnsi="TimesNewRoman" w:eastAsia="方正黑体_GBK" w:cs="TimesNewRoman"/>
          <w:color w:val="000000"/>
          <w:sz w:val="32"/>
          <w:szCs w:val="32"/>
        </w:rPr>
      </w:pPr>
      <w:r>
        <w:rPr>
          <w:rStyle w:val="45"/>
          <w:rFonts w:hint="default" w:ascii="TimesNewRoman" w:hAnsi="TimesNewRoman" w:eastAsia="方正黑体_GBK" w:cs="TimesNewRoman"/>
          <w:color w:val="000000"/>
          <w:sz w:val="32"/>
          <w:szCs w:val="32"/>
        </w:rPr>
        <w:t>第四章　管理监督和履职保障</w:t>
      </w:r>
    </w:p>
    <w:p>
      <w:pPr>
        <w:spacing w:line="578" w:lineRule="exact"/>
        <w:ind w:firstLine="640" w:firstLineChars="200"/>
        <w:textAlignment w:val="baseline"/>
        <w:rPr>
          <w:rStyle w:val="45"/>
          <w:rFonts w:hint="default" w:ascii="TimesNewRoman" w:hAnsi="TimesNewRoman" w:cs="TimesNewRoman"/>
          <w:color w:val="000000"/>
          <w:sz w:val="32"/>
          <w:szCs w:val="32"/>
        </w:rPr>
      </w:pP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第十七条</w:t>
      </w:r>
      <w:r>
        <w:rPr>
          <w:rStyle w:val="45"/>
          <w:rFonts w:hint="default" w:ascii="TimesNewRoman" w:hAnsi="TimesNewRoman" w:eastAsia="方正仿宋_GBK" w:cs="TimesNewRoman"/>
          <w:color w:val="000000"/>
          <w:sz w:val="32"/>
          <w:szCs w:val="32"/>
        </w:rPr>
        <w:t>　区县司法行政部门应当建立村（居）法律顾问政治教育和业务培训制度，每年制定培训计划，组织本行政区域内村（居）法律顾问开展现场培训、网络培训，重点学习政治理论、国家政策、法律知识、服务技能、执业纪律、工作制度，切实提高沟通和服务群众、处理疑难复杂信访或紧急事务等能力。</w:t>
      </w:r>
    </w:p>
    <w:p>
      <w:pPr>
        <w:spacing w:line="578" w:lineRule="exact"/>
        <w:ind w:firstLine="640" w:firstLineChars="200"/>
        <w:rPr>
          <w:rFonts w:hint="default" w:ascii="TimesNewRoman" w:hAnsi="TimesNewRoman" w:cs="TimesNewRoman"/>
          <w:color w:val="000000"/>
          <w:sz w:val="32"/>
          <w:szCs w:val="32"/>
        </w:rPr>
      </w:pPr>
      <w:r>
        <w:rPr>
          <w:rFonts w:hint="default" w:ascii="TimesNewRoman" w:hAnsi="TimesNewRoman" w:eastAsia="方正黑体_GBK" w:cs="TimesNewRoman"/>
          <w:color w:val="000000"/>
          <w:sz w:val="32"/>
          <w:szCs w:val="32"/>
        </w:rPr>
        <w:t>第十八条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sz w:val="32"/>
          <w:szCs w:val="32"/>
        </w:rPr>
        <w:t>区县司法行政部门及司法所</w:t>
      </w:r>
      <w:r>
        <w:rPr>
          <w:rStyle w:val="45"/>
          <w:rFonts w:hint="default" w:ascii="TimesNewRoman" w:hAnsi="TimesNewRoman" w:eastAsia="方正仿宋_GBK" w:cs="TimesNewRoman"/>
          <w:color w:val="000000"/>
          <w:sz w:val="32"/>
          <w:szCs w:val="32"/>
        </w:rPr>
        <w:t>可以</w:t>
      </w:r>
      <w:r>
        <w:rPr>
          <w:rFonts w:hint="default" w:ascii="TimesNewRoman" w:hAnsi="TimesNewRoman" w:cs="TimesNewRoman"/>
          <w:color w:val="000000"/>
          <w:sz w:val="32"/>
          <w:szCs w:val="32"/>
        </w:rPr>
        <w:t>定期统计村（居）法律顾问服务量、服务时长、满意度评价等平台数据，广泛</w:t>
      </w:r>
      <w:r>
        <w:rPr>
          <w:rStyle w:val="45"/>
          <w:rFonts w:hint="default" w:ascii="TimesNewRoman" w:hAnsi="TimesNewRoman" w:eastAsia="方正仿宋_GBK" w:cs="TimesNewRoman"/>
          <w:color w:val="000000"/>
          <w:sz w:val="32"/>
          <w:szCs w:val="32"/>
        </w:rPr>
        <w:t>听取村（居）民委员会、农村集体经济组织意见，随机访问村（居）民，了解和掌握村（居）法律顾问履职情况，采取工作通报、提醒谈话、批评教育等办法，</w:t>
      </w:r>
      <w:r>
        <w:rPr>
          <w:rFonts w:hint="default" w:ascii="TimesNewRoman" w:hAnsi="TimesNewRoman" w:cs="TimesNewRoman"/>
          <w:color w:val="000000"/>
          <w:sz w:val="32"/>
          <w:szCs w:val="32"/>
        </w:rPr>
        <w:t>督促改进工作、尽职履责。</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第十九条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区县司法行政部门应当建立村（居）法律顾问投诉处理制度，公布投诉举报电话，便捷受理、及时调查、依法处理涉及村（居）法律顾问服务活动的投诉举报，促使其转变服务态度、提高服务质量。</w:t>
      </w:r>
    </w:p>
    <w:p>
      <w:pPr>
        <w:spacing w:line="578" w:lineRule="exact"/>
        <w:ind w:firstLine="640" w:firstLineChars="200"/>
        <w:textAlignment w:val="baseline"/>
        <w:rPr>
          <w:rStyle w:val="45"/>
          <w:rFonts w:hint="default" w:ascii="TimesNewRoman" w:hAnsi="TimesNewRoman" w:eastAsia="方正仿宋_GBK" w:cs="TimesNewRoman"/>
          <w:sz w:val="32"/>
          <w:szCs w:val="32"/>
        </w:rPr>
      </w:pPr>
      <w:r>
        <w:rPr>
          <w:rFonts w:hint="default" w:ascii="TimesNewRoman" w:hAnsi="TimesNewRoman" w:eastAsia="方正黑体_GBK" w:cs="TimesNewRoman"/>
          <w:color w:val="000000"/>
          <w:sz w:val="32"/>
          <w:szCs w:val="32"/>
        </w:rPr>
        <w:t>第二十条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sz w:val="32"/>
          <w:szCs w:val="32"/>
        </w:rPr>
        <w:t>区县司法行政部门应当完善村（居）法律顾问考核评估机制，每年12月20号前完成年度考核工作。</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区县司法行政部门可以协调乡镇人民政府、街道办事处、村（居）民委员会，遵循服务协议，综合服务需求量、村（居）法律顾问配置、服务经费保障等因素，科学、合理确定村（居）法律顾问提供服务的类别、数量、质量等考核评估指标。</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Cs w:val="32"/>
        </w:rPr>
        <w:t>第二十一条</w:t>
      </w:r>
      <w:r>
        <w:rPr>
          <w:rStyle w:val="45"/>
          <w:rFonts w:hint="default" w:ascii="TimesNewRoman" w:hAnsi="TimesNewRoman" w:eastAsia="方正仿宋_GBK" w:cs="TimesNewRoman"/>
          <w:color w:val="000000"/>
          <w:sz w:val="32"/>
          <w:szCs w:val="32"/>
        </w:rPr>
        <w:t>　村（居）法律顾问考核评估等次为</w:t>
      </w:r>
      <w:r>
        <w:rPr>
          <w:rStyle w:val="45"/>
          <w:rFonts w:hint="default" w:ascii="TimesNewRoman" w:hAnsi="TimesNewRoman" w:eastAsia="方正仿宋_GBK" w:cs="TimesNewRoman"/>
          <w:sz w:val="32"/>
          <w:szCs w:val="32"/>
        </w:rPr>
        <w:t>优秀、良好、合格、不合格。</w:t>
      </w:r>
      <w:r>
        <w:rPr>
          <w:rStyle w:val="45"/>
          <w:rFonts w:hint="default" w:ascii="TimesNewRoman" w:hAnsi="TimesNewRoman" w:eastAsia="方正仿宋_GBK" w:cs="TimesNewRoman"/>
          <w:color w:val="000000"/>
          <w:sz w:val="32"/>
          <w:szCs w:val="32"/>
        </w:rPr>
        <w:t>有下列情形之一的，应当确定为不合格等次：</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（一）考核评估年度内为村（居）民委员会、农村集体经济组织和村（居）民提供法律服务未达到确定的考核评估指标的；</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（二）因村（居）法律顾问本人过错或责任，被提前终止服务协议的；</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（三）从事</w:t>
      </w:r>
      <w:r>
        <w:rPr>
          <w:rFonts w:hint="default" w:ascii="TimesNewRoman" w:hAnsi="TimesNewRoman" w:eastAsia="方正仿宋_GBK" w:cs="TimesNewRoman"/>
          <w:color w:val="000000"/>
          <w:szCs w:val="32"/>
        </w:rPr>
        <w:t>村（居）法律顾问工作</w:t>
      </w:r>
      <w:r>
        <w:rPr>
          <w:rStyle w:val="45"/>
          <w:rFonts w:hint="default" w:ascii="TimesNewRoman" w:hAnsi="TimesNewRoman" w:eastAsia="方正仿宋_GBK" w:cs="TimesNewRoman"/>
          <w:color w:val="000000"/>
          <w:sz w:val="32"/>
          <w:szCs w:val="32"/>
        </w:rPr>
        <w:t>或执业过程中存在违法违规违纪行为的；</w:t>
      </w:r>
    </w:p>
    <w:p>
      <w:pPr>
        <w:pStyle w:val="48"/>
        <w:spacing w:line="578" w:lineRule="exact"/>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（四）提供服务、工作记载严重失实、弄虚作假的。</w:t>
      </w:r>
    </w:p>
    <w:p>
      <w:pPr>
        <w:pStyle w:val="48"/>
        <w:spacing w:line="578" w:lineRule="exact"/>
        <w:ind w:firstLine="640" w:firstLineChars="200"/>
        <w:rPr>
          <w:rStyle w:val="45"/>
          <w:rFonts w:hint="default" w:ascii="TimesNewRoman" w:hAnsi="TimesNewRoman" w:eastAsia="方正仿宋_GBK" w:cs="TimesNewRoman"/>
          <w:sz w:val="32"/>
          <w:szCs w:val="32"/>
        </w:rPr>
      </w:pPr>
      <w:r>
        <w:rPr>
          <w:rFonts w:hint="default" w:ascii="TimesNewRoman" w:hAnsi="TimesNewRoman" w:eastAsia="方正黑体_GBK" w:cs="TimesNewRoman"/>
          <w:color w:val="000000"/>
          <w:szCs w:val="32"/>
        </w:rPr>
        <w:t>第二十二条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sz w:val="32"/>
          <w:szCs w:val="32"/>
        </w:rPr>
        <w:t>区县司法行政部门会同乡镇人民政府、街道办事处或村（居）民委员会确定初评等次后，应当征求村（居）法律顾问本人及所属单位的意见再确定最终等次，并通过适当渠道和形式予以公开。</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村（居）法律顾问考评结果作为支付服务费用、发放工作补贴、续聘解聘、奖惩激励的重要依据。</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第二十三条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司法行政部门、有关行业协会对村（居）法律顾问工作中表现突出、成绩优异的单位和个人，依规定给予表彰奖励或者推荐给予表彰奖励；对在村（居）法律顾问工作中消极应付、考核评估结果较差的单位和个人，会同乡镇人民政府、街道办事处或者村（居）民委员会，依据相关法律法规规定和服务协议约定进行处理。</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第二十四条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区县司法行政部门应当推动建立村（居）法律顾问工作经费保障机制，协调组织人事、财政、农业农村、民政等职能部门，利用市级奖补资金，争取本级财政资金，引导乡镇人民政府、街道办事处、村（居）民委员会自筹资金，多渠道保障村（居）法律顾问工作需要。</w:t>
      </w:r>
    </w:p>
    <w:p>
      <w:pPr>
        <w:spacing w:line="578" w:lineRule="exact"/>
        <w:ind w:firstLine="640" w:firstLineChars="200"/>
        <w:textAlignment w:val="baseline"/>
        <w:rPr>
          <w:rStyle w:val="45"/>
          <w:rFonts w:hint="default" w:ascii="TimesNewRoman" w:hAnsi="TimesNewRoman" w:eastAsia="方正仿宋_GBK" w:cs="TimesNewRoman"/>
          <w:sz w:val="32"/>
          <w:szCs w:val="32"/>
        </w:rPr>
      </w:pPr>
      <w:r>
        <w:rPr>
          <w:rFonts w:hint="default" w:ascii="TimesNewRoman" w:hAnsi="TimesNewRoman" w:cs="TimesNewRoman"/>
          <w:sz w:val="32"/>
          <w:szCs w:val="32"/>
        </w:rPr>
        <w:t>司法所</w:t>
      </w:r>
      <w:r>
        <w:rPr>
          <w:rStyle w:val="45"/>
          <w:rFonts w:hint="default" w:ascii="TimesNewRoman" w:hAnsi="TimesNewRoman" w:eastAsia="方正仿宋_GBK" w:cs="TimesNewRoman"/>
          <w:sz w:val="32"/>
          <w:szCs w:val="32"/>
        </w:rPr>
        <w:t>应当协调乡镇人民政府、街道办事处和村（居）民委员会，支持村（居）法律顾问依法依协议履行职责，提供必要的场地、设施、经费，协同开展法治宣传、处理信访、调处纠纷等工作。</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Style w:val="45"/>
          <w:rFonts w:hint="default" w:ascii="TimesNewRoman" w:hAnsi="TimesNewRoman" w:eastAsia="方正仿宋_GBK" w:cs="TimesNewRoman"/>
          <w:color w:val="000000"/>
          <w:sz w:val="32"/>
          <w:szCs w:val="32"/>
        </w:rPr>
        <w:t>村（居）法律顾问所在的法律服务机构、单位等应当依据服务协议及时安排法律专业人员为村（居）民委员会、农村集体经济组织和村（居）民提供服务，并对其履行职责提供指导、监督和帮助。</w:t>
      </w:r>
    </w:p>
    <w:p>
      <w:pPr>
        <w:spacing w:line="578" w:lineRule="exact"/>
        <w:jc w:val="center"/>
        <w:textAlignment w:val="baseline"/>
        <w:rPr>
          <w:rStyle w:val="45"/>
          <w:rFonts w:hint="default" w:ascii="TimesNewRoman" w:hAnsi="TimesNewRoman" w:cs="TimesNewRoman"/>
          <w:color w:val="000000"/>
          <w:sz w:val="32"/>
          <w:szCs w:val="32"/>
        </w:rPr>
      </w:pPr>
      <w:r>
        <w:rPr>
          <w:rStyle w:val="45"/>
          <w:rFonts w:hint="default" w:ascii="TimesNewRoman" w:hAnsi="TimesNewRoman" w:eastAsia="方正黑体_GBK" w:cs="TimesNewRoman"/>
          <w:color w:val="000000"/>
          <w:sz w:val="32"/>
          <w:szCs w:val="32"/>
        </w:rPr>
        <w:t>第五章　附　则</w:t>
      </w:r>
    </w:p>
    <w:p>
      <w:pPr>
        <w:spacing w:line="578" w:lineRule="exact"/>
        <w:ind w:firstLine="640" w:firstLineChars="200"/>
        <w:textAlignment w:val="baseline"/>
        <w:rPr>
          <w:rStyle w:val="45"/>
          <w:rFonts w:hint="default" w:ascii="TimesNewRoman" w:hAnsi="TimesNewRoman" w:eastAsia="方正仿宋_GBK" w:cs="TimesNewRoman"/>
          <w:color w:val="000000"/>
          <w:sz w:val="32"/>
          <w:szCs w:val="32"/>
        </w:rPr>
      </w:pPr>
      <w:r>
        <w:rPr>
          <w:rFonts w:hint="default" w:ascii="TimesNewRoman" w:hAnsi="TimesNewRoman" w:eastAsia="方正黑体_GBK" w:cs="TimesNewRoman"/>
          <w:color w:val="000000"/>
          <w:sz w:val="32"/>
          <w:szCs w:val="32"/>
        </w:rPr>
        <w:t>第二十五条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以前规定与本办法规定不一致的，按照本办法规定执行。</w:t>
      </w:r>
    </w:p>
    <w:p>
      <w:pPr>
        <w:pStyle w:val="11"/>
        <w:pBdr>
          <w:top w:val="none" w:color="auto" w:sz="0" w:space="0"/>
          <w:left w:val="none" w:color="auto" w:sz="0" w:space="0"/>
          <w:bottom w:val="none" w:color="auto" w:sz="0" w:space="0"/>
          <w:right w:val="none" w:color="auto" w:sz="0" w:space="0"/>
          <w:between w:val="none" w:color="auto" w:sz="0" w:space="0"/>
        </w:pBdr>
        <w:ind w:firstLine="640" w:firstLineChars="200"/>
        <w:rPr>
          <w:rStyle w:val="45"/>
          <w:rFonts w:hint="default" w:ascii="TimesNewRoman" w:hAnsi="TimesNewRoman" w:eastAsia="方正仿宋_GBK" w:cs="TimesNewRoman"/>
          <w:color w:val="000000"/>
          <w:sz w:val="32"/>
          <w:szCs w:val="32"/>
        </w:rPr>
      </w:pPr>
      <w:r>
        <w:rPr>
          <w:rStyle w:val="45"/>
          <w:rFonts w:hint="default" w:ascii="TimesNewRoman" w:hAnsi="TimesNewRoman" w:eastAsia="方正黑体_GBK" w:cs="TimesNewRoman"/>
          <w:color w:val="000000"/>
          <w:sz w:val="32"/>
          <w:szCs w:val="32"/>
        </w:rPr>
        <w:t>第二十六条</w:t>
      </w:r>
      <w:r>
        <w:rPr>
          <w:rStyle w:val="45"/>
          <w:rFonts w:hint="default" w:ascii="TimesNewRoman" w:hAnsi="TimesNewRoman" w:cs="TimesNewRoman"/>
          <w:color w:val="000000"/>
          <w:sz w:val="32"/>
          <w:szCs w:val="32"/>
        </w:rPr>
        <w:t>　</w:t>
      </w:r>
      <w:r>
        <w:rPr>
          <w:rStyle w:val="45"/>
          <w:rFonts w:hint="default" w:ascii="TimesNewRoman" w:hAnsi="TimesNewRoman" w:eastAsia="方正仿宋_GBK" w:cs="TimesNewRoman"/>
          <w:color w:val="000000"/>
          <w:sz w:val="32"/>
          <w:szCs w:val="32"/>
        </w:rPr>
        <w:t>本办法自印发之日起施行。</w:t>
      </w: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Style w:val="11"/>
        <w:pBdr>
          <w:top w:val="none" w:color="auto" w:sz="0" w:space="0"/>
          <w:left w:val="none" w:color="auto" w:sz="0" w:space="0"/>
          <w:bottom w:val="none" w:color="auto" w:sz="0" w:space="0"/>
          <w:right w:val="none" w:color="auto" w:sz="0" w:space="0"/>
          <w:between w:val="none" w:color="auto" w:sz="0" w:space="0"/>
        </w:pBdr>
        <w:rPr>
          <w:rStyle w:val="45"/>
          <w:rFonts w:hint="default" w:ascii="TimesNewRoman" w:hAnsi="TimesNewRoman" w:cs="TimesNewRoman"/>
          <w:color w:val="000000"/>
          <w:sz w:val="32"/>
          <w:szCs w:val="32"/>
        </w:rPr>
      </w:pPr>
    </w:p>
    <w:p>
      <w:pPr>
        <w:pBdr>
          <w:top w:val="single" w:color="auto" w:sz="6" w:space="1"/>
          <w:bottom w:val="single" w:color="auto" w:sz="6" w:space="1"/>
        </w:pBdr>
        <w:spacing w:line="576" w:lineRule="exact"/>
        <w:rPr>
          <w:rFonts w:hint="default" w:ascii="TimesNewRoman" w:hAnsi="TimesNewRoman" w:cs="TimesNewRoman"/>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1985" w:right="1446" w:bottom="1644" w:left="1446" w:header="851" w:footer="992" w:gutter="0"/>
          <w:pgNumType w:fmt="numberInDash"/>
          <w:cols w:space="720" w:num="1"/>
          <w:rtlGutter w:val="1"/>
          <w:docGrid w:linePitch="360" w:charSpace="0"/>
        </w:sectPr>
      </w:pPr>
      <w:r>
        <w:rPr>
          <w:rStyle w:val="45"/>
          <w:rFonts w:hint="default" w:ascii="TimesNewRoman" w:hAnsi="TimesNewRoman" w:cs="TimesNewRoman"/>
          <w:color w:val="000000"/>
          <w:sz w:val="32"/>
          <w:szCs w:val="32"/>
        </w:rPr>
        <w:t>　</w:t>
      </w:r>
      <w:r>
        <w:rPr>
          <w:rFonts w:hint="default" w:ascii="TimesNewRoman" w:hAnsi="TimesNewRoman" w:cs="TimesNewRoman"/>
          <w:position w:val="6"/>
          <w:sz w:val="28"/>
          <w:szCs w:val="28"/>
        </w:rPr>
        <w:t>重庆市司法局办公室                      2021年11月16日印发</w:t>
      </w:r>
    </w:p>
    <w:p>
      <w:pPr>
        <w:adjustRightInd w:val="0"/>
        <w:spacing w:line="594" w:lineRule="exact"/>
        <w:jc w:val="left"/>
        <w:rPr>
          <w:rFonts w:hint="default" w:ascii="TimesNewRoman" w:hAnsi="TimesNewRoman" w:cs="TimesNewRoman"/>
          <w:sz w:val="32"/>
          <w:szCs w:val="32"/>
        </w:rPr>
      </w:pPr>
      <w:r>
        <w:rPr>
          <w:rFonts w:hint="default" w:ascii="TimesNewRoman" w:hAnsi="TimesNewRoman" w:cs="TimesNewRoman"/>
          <w:sz w:val="32"/>
          <w:szCs w:val="32"/>
        </w:rPr>
        <w:t>附件2</w:t>
      </w:r>
    </w:p>
    <w:p>
      <w:pPr>
        <w:adjustRightInd w:val="0"/>
        <w:spacing w:line="594" w:lineRule="exact"/>
        <w:ind w:firstLine="886" w:firstLineChars="200"/>
        <w:jc w:val="center"/>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垫江县村（居）法律顾问工作</w:t>
      </w:r>
    </w:p>
    <w:p>
      <w:pPr>
        <w:adjustRightInd w:val="0"/>
        <w:spacing w:line="594" w:lineRule="exact"/>
        <w:ind w:firstLine="886" w:firstLineChars="200"/>
        <w:jc w:val="center"/>
        <w:rPr>
          <w:rFonts w:hint="default" w:ascii="TimesNewRoman" w:hAnsi="TimesNewRoman" w:eastAsia="方正小标宋_GBK" w:cs="TimesNewRoman"/>
          <w:sz w:val="44"/>
          <w:szCs w:val="44"/>
        </w:rPr>
      </w:pPr>
      <w:r>
        <w:rPr>
          <w:rFonts w:hint="default" w:ascii="TimesNewRoman" w:hAnsi="TimesNewRoman" w:eastAsia="方正小标宋_GBK" w:cs="TimesNewRoman"/>
          <w:sz w:val="44"/>
          <w:szCs w:val="44"/>
        </w:rPr>
        <w:t>考核评分表</w:t>
      </w:r>
    </w:p>
    <w:p>
      <w:pPr>
        <w:adjustRightInd w:val="0"/>
        <w:spacing w:line="594" w:lineRule="exact"/>
        <w:ind w:firstLine="646" w:firstLineChars="200"/>
        <w:jc w:val="right"/>
        <w:rPr>
          <w:rFonts w:hint="default" w:ascii="TimesNewRoman" w:hAnsi="TimesNewRoman" w:cs="TimesNewRoman"/>
          <w:sz w:val="32"/>
          <w:szCs w:val="32"/>
        </w:rPr>
      </w:pPr>
      <w:r>
        <w:rPr>
          <w:rFonts w:hint="default" w:ascii="TimesNewRoman" w:hAnsi="TimesNewRoman" w:cs="TimesNewRoman"/>
          <w:sz w:val="32"/>
          <w:szCs w:val="32"/>
        </w:rPr>
        <w:t>填表日期： 年   月   日</w:t>
      </w:r>
    </w:p>
    <w:tbl>
      <w:tblPr>
        <w:tblStyle w:val="1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504"/>
        <w:gridCol w:w="236"/>
        <w:gridCol w:w="614"/>
        <w:gridCol w:w="803"/>
        <w:gridCol w:w="1204"/>
        <w:gridCol w:w="1560"/>
        <w:gridCol w:w="1654"/>
        <w:gridCol w:w="123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2046" w:type="dxa"/>
            <w:gridSpan w:val="4"/>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乡镇（街道）</w:t>
            </w:r>
          </w:p>
        </w:tc>
        <w:tc>
          <w:tcPr>
            <w:tcW w:w="2007" w:type="dxa"/>
            <w:gridSpan w:val="2"/>
            <w:vAlign w:val="center"/>
          </w:tcPr>
          <w:p>
            <w:pPr>
              <w:widowControl/>
              <w:spacing w:line="300" w:lineRule="exact"/>
              <w:jc w:val="center"/>
              <w:rPr>
                <w:rFonts w:hint="default" w:ascii="TimesNewRoman" w:hAnsi="TimesNewRoman" w:cs="TimesNewRoman"/>
                <w:sz w:val="28"/>
                <w:szCs w:val="28"/>
              </w:rPr>
            </w:pPr>
          </w:p>
        </w:tc>
        <w:tc>
          <w:tcPr>
            <w:tcW w:w="1560" w:type="dxa"/>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村（居）</w:t>
            </w:r>
          </w:p>
        </w:tc>
        <w:tc>
          <w:tcPr>
            <w:tcW w:w="1654" w:type="dxa"/>
            <w:vAlign w:val="center"/>
          </w:tcPr>
          <w:p>
            <w:pPr>
              <w:widowControl/>
              <w:spacing w:line="300" w:lineRule="exact"/>
              <w:jc w:val="center"/>
              <w:rPr>
                <w:rFonts w:hint="default" w:ascii="TimesNewRoman" w:hAnsi="TimesNewRoman" w:cs="TimesNewRoman"/>
                <w:sz w:val="28"/>
                <w:szCs w:val="28"/>
              </w:rPr>
            </w:pPr>
          </w:p>
        </w:tc>
        <w:tc>
          <w:tcPr>
            <w:tcW w:w="1239" w:type="dxa"/>
            <w:vMerge w:val="restart"/>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考核</w:t>
            </w:r>
          </w:p>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等级</w:t>
            </w:r>
          </w:p>
        </w:tc>
        <w:tc>
          <w:tcPr>
            <w:tcW w:w="1260" w:type="dxa"/>
            <w:vMerge w:val="restart"/>
            <w:vAlign w:val="center"/>
          </w:tcPr>
          <w:p>
            <w:pPr>
              <w:widowControl/>
              <w:spacing w:line="300" w:lineRule="exact"/>
              <w:jc w:val="center"/>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2046" w:type="dxa"/>
            <w:gridSpan w:val="4"/>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法律服务单位</w:t>
            </w:r>
          </w:p>
        </w:tc>
        <w:tc>
          <w:tcPr>
            <w:tcW w:w="2007" w:type="dxa"/>
            <w:gridSpan w:val="2"/>
            <w:vAlign w:val="center"/>
          </w:tcPr>
          <w:p>
            <w:pPr>
              <w:widowControl/>
              <w:spacing w:line="300" w:lineRule="exact"/>
              <w:jc w:val="center"/>
              <w:rPr>
                <w:rFonts w:hint="default" w:ascii="TimesNewRoman" w:hAnsi="TimesNewRoman" w:cs="TimesNewRoman"/>
                <w:sz w:val="28"/>
                <w:szCs w:val="28"/>
              </w:rPr>
            </w:pPr>
          </w:p>
        </w:tc>
        <w:tc>
          <w:tcPr>
            <w:tcW w:w="1560" w:type="dxa"/>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顾问姓名</w:t>
            </w:r>
          </w:p>
        </w:tc>
        <w:tc>
          <w:tcPr>
            <w:tcW w:w="1654" w:type="dxa"/>
            <w:vAlign w:val="center"/>
          </w:tcPr>
          <w:p>
            <w:pPr>
              <w:widowControl/>
              <w:spacing w:line="300" w:lineRule="exact"/>
              <w:jc w:val="center"/>
              <w:rPr>
                <w:rFonts w:hint="default" w:ascii="TimesNewRoman" w:hAnsi="TimesNewRoman" w:cs="TimesNewRoman"/>
                <w:sz w:val="28"/>
                <w:szCs w:val="28"/>
              </w:rPr>
            </w:pPr>
          </w:p>
        </w:tc>
        <w:tc>
          <w:tcPr>
            <w:tcW w:w="1239" w:type="dxa"/>
            <w:vMerge w:val="continue"/>
            <w:vAlign w:val="center"/>
          </w:tcPr>
          <w:p>
            <w:pPr>
              <w:widowControl/>
              <w:spacing w:line="300" w:lineRule="exact"/>
              <w:jc w:val="center"/>
              <w:rPr>
                <w:rFonts w:hint="default" w:ascii="TimesNewRoman" w:hAnsi="TimesNewRoman" w:cs="TimesNewRoman"/>
                <w:sz w:val="28"/>
                <w:szCs w:val="28"/>
              </w:rPr>
            </w:pPr>
          </w:p>
        </w:tc>
        <w:tc>
          <w:tcPr>
            <w:tcW w:w="1260" w:type="dxa"/>
            <w:vMerge w:val="continue"/>
            <w:vAlign w:val="center"/>
          </w:tcPr>
          <w:p>
            <w:pPr>
              <w:widowControl/>
              <w:spacing w:line="300" w:lineRule="exact"/>
              <w:jc w:val="center"/>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jc w:val="center"/>
        </w:trPr>
        <w:tc>
          <w:tcPr>
            <w:tcW w:w="692" w:type="dxa"/>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序号</w:t>
            </w: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工作内容</w:t>
            </w:r>
          </w:p>
        </w:tc>
        <w:tc>
          <w:tcPr>
            <w:tcW w:w="4181" w:type="dxa"/>
            <w:gridSpan w:val="4"/>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考核内容及分值</w:t>
            </w:r>
          </w:p>
        </w:tc>
        <w:tc>
          <w:tcPr>
            <w:tcW w:w="1654" w:type="dxa"/>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评分标准</w:t>
            </w:r>
          </w:p>
        </w:tc>
        <w:tc>
          <w:tcPr>
            <w:tcW w:w="1239"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自评分</w:t>
            </w:r>
          </w:p>
        </w:tc>
        <w:tc>
          <w:tcPr>
            <w:tcW w:w="1260" w:type="dxa"/>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restart"/>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第一板块</w:t>
            </w: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第一板块</w:t>
            </w: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jc w:val="center"/>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基本情况调查</w:t>
            </w: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应对顾问单位的常住人口、外来人口、组织机构等基本情况进行调查，并填写调查表。2分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未填写调查表的不得分。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工作计划</w:t>
            </w: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应根据顾问单位具体情况制定年度法律服务工作计划。3分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未制定工作计划的不得分。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顾问合同</w:t>
            </w: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律师和基层法律服务工作者担任村(居)法律顾问，所在单位应与</w:t>
            </w:r>
            <w:r>
              <w:rPr>
                <w:rFonts w:hint="default" w:ascii="TimesNewRoman" w:hAnsi="TimesNewRoman" w:cs="TimesNewRoman"/>
                <w:color w:val="000000"/>
                <w:sz w:val="28"/>
                <w:szCs w:val="28"/>
              </w:rPr>
              <w:t>村(居)签订统一格式常年法律顾问合同。5</w:t>
            </w:r>
            <w:r>
              <w:rPr>
                <w:rFonts w:hint="default" w:ascii="TimesNewRoman" w:hAnsi="TimesNewRoman" w:cs="TimesNewRoman"/>
                <w:sz w:val="28"/>
                <w:szCs w:val="28"/>
              </w:rPr>
              <w:t>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1.未采用统一格式的扣3分。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2.未及时上交的扣2分。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restart"/>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法律服务</w:t>
            </w: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法律顾问应在各村居 (居)公共法律服务点等地摆设联系卡。2分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未摆设联系卡的不得分；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每月提供不少于6小时的现场法律服务(含电话、微信联系)，并有详细记录。6分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1.现场法律服务每少一小时扣0.5分；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2.未记录的扣3分；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3.一次记录不详细的扣0.2分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每半年到顾问单位至少举办一场法治讲课，并提供相关材料和照片记录在案。8分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举办讲座次数每少一次扣4分；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每半年到顾问单位的公共法律服务点坐班服务不少于一次，提供法律咨询、文书代写等工作，以照片、文档记录为准。8分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坐班服务少于一次扣4分；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建立法律服务工作微信群。2分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未建立微信群的不得分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村居法律顾问小程序推广用户数是否达到100人/村（居）。4分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未达到的一个村居扣0.1分；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村居法律顾问后台服务档案数是否达到10条。4分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未达到的扣0.1分；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到辖区居打考勤次数是否达到每月2次。4分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一次未达到的扣0.1分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restart"/>
            <w:tcMar>
              <w:top w:w="0" w:type="dxa"/>
              <w:left w:w="108" w:type="dxa"/>
              <w:bottom w:w="0" w:type="dxa"/>
              <w:right w:w="108" w:type="dxa"/>
            </w:tcMar>
            <w:vAlign w:val="center"/>
          </w:tcPr>
          <w:p>
            <w:pPr>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工作完成</w:t>
            </w: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积极参与依法治理，制定、修改居规章制度、村规民约，开展村（居）、集体经济组织等“法律体检”。2分</w:t>
            </w:r>
          </w:p>
        </w:tc>
        <w:tc>
          <w:tcPr>
            <w:tcW w:w="1654" w:type="dxa"/>
            <w:vMerge w:val="restart"/>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应完成未完成的扣2分 </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2"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参与对外谈判，起草、审查有关合同等村（居）重大事项决策。2分</w:t>
            </w:r>
          </w:p>
        </w:tc>
        <w:tc>
          <w:tcPr>
            <w:tcW w:w="1654"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7"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参与村（居）的人民调解工作，对出具调解书内容进行审查、指导。2分</w:t>
            </w:r>
          </w:p>
        </w:tc>
        <w:tc>
          <w:tcPr>
            <w:tcW w:w="1654"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5"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为村（居）民提供维权服务。2分</w:t>
            </w:r>
          </w:p>
        </w:tc>
        <w:tc>
          <w:tcPr>
            <w:tcW w:w="1654"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vMerge w:val="continue"/>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协助、指导村（居）换届选举。2分</w:t>
            </w:r>
          </w:p>
        </w:tc>
        <w:tc>
          <w:tcPr>
            <w:tcW w:w="1654"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3"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重大事项报告</w:t>
            </w: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法律顾问按照</w:t>
            </w:r>
            <w:r>
              <w:rPr>
                <w:rFonts w:hint="default" w:ascii="TimesNewRoman" w:hAnsi="TimesNewRoman" w:cs="TimesNewRoman"/>
                <w:color w:val="000000"/>
                <w:sz w:val="28"/>
                <w:szCs w:val="28"/>
              </w:rPr>
              <w:t>规定</w:t>
            </w:r>
            <w:r>
              <w:rPr>
                <w:rFonts w:hint="default" w:ascii="TimesNewRoman" w:hAnsi="TimesNewRoman" w:cs="TimesNewRoman"/>
                <w:sz w:val="28"/>
                <w:szCs w:val="28"/>
              </w:rPr>
              <w:t>报告重大事项。10分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应报告而未报告的不得分。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工作总结　</w:t>
            </w: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法律顾问在年度考核前完成书面总结；工作总结须经顾问单位盖章确认后存档。6分</w:t>
            </w:r>
          </w:p>
        </w:tc>
        <w:tc>
          <w:tcPr>
            <w:tcW w:w="1654" w:type="dxa"/>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1.无工作总结的不得分；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2.未盖章确认的扣3分．</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692" w:type="dxa"/>
            <w:vMerge w:val="continue"/>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p>
        </w:tc>
        <w:tc>
          <w:tcPr>
            <w:tcW w:w="740"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台帐档案立卷归档</w:t>
            </w:r>
          </w:p>
        </w:tc>
        <w:tc>
          <w:tcPr>
            <w:tcW w:w="4181" w:type="dxa"/>
            <w:gridSpan w:val="4"/>
            <w:tcMar>
              <w:top w:w="0" w:type="dxa"/>
              <w:left w:w="108" w:type="dxa"/>
              <w:bottom w:w="0" w:type="dxa"/>
              <w:right w:w="108" w:type="dxa"/>
            </w:tcMar>
            <w:vAlign w:val="center"/>
          </w:tcPr>
          <w:p>
            <w:pPr>
              <w:spacing w:line="300" w:lineRule="exact"/>
              <w:rPr>
                <w:rFonts w:hint="default" w:ascii="TimesNewRoman" w:hAnsi="TimesNewRoman" w:cs="TimesNewRoman"/>
                <w:color w:val="000000"/>
                <w:sz w:val="28"/>
                <w:szCs w:val="28"/>
              </w:rPr>
            </w:pPr>
            <w:r>
              <w:rPr>
                <w:rFonts w:hint="default" w:ascii="TimesNewRoman" w:hAnsi="TimesNewRoman" w:cs="TimesNewRoman"/>
                <w:color w:val="000000"/>
                <w:sz w:val="28"/>
                <w:szCs w:val="28"/>
              </w:rPr>
              <w:t>法律顾问为顾问单位提供法律服务，应做好工作记录、建立工作台账，台账的具体顺序为：</w:t>
            </w:r>
          </w:p>
          <w:p>
            <w:pPr>
              <w:pStyle w:val="44"/>
              <w:spacing w:line="300" w:lineRule="exact"/>
              <w:ind w:firstLine="31680"/>
              <w:rPr>
                <w:rFonts w:hint="default" w:ascii="TimesNewRoman" w:hAnsi="TimesNewRoman" w:eastAsia="方正仿宋_GBK" w:cs="TimesNewRoman"/>
                <w:sz w:val="28"/>
                <w:szCs w:val="28"/>
              </w:rPr>
            </w:pPr>
            <w:r>
              <w:rPr>
                <w:rFonts w:hint="default" w:ascii="TimesNewRoman" w:hAnsi="TimesNewRoman" w:eastAsia="方正仿宋_GBK" w:cs="TimesNewRoman"/>
                <w:sz w:val="28"/>
                <w:szCs w:val="28"/>
              </w:rPr>
              <w:t>(1)聘请常年村(居)法律顾问合同；</w:t>
            </w:r>
          </w:p>
          <w:p>
            <w:pPr>
              <w:spacing w:line="300" w:lineRule="exact"/>
              <w:ind w:firstLine="566" w:firstLineChars="200"/>
              <w:rPr>
                <w:rFonts w:hint="default" w:ascii="TimesNewRoman" w:hAnsi="TimesNewRoman" w:cs="TimesNewRoman"/>
                <w:sz w:val="28"/>
                <w:szCs w:val="28"/>
              </w:rPr>
            </w:pPr>
            <w:r>
              <w:rPr>
                <w:rFonts w:hint="default" w:ascii="TimesNewRoman" w:hAnsi="TimesNewRoman" w:cs="TimesNewRoman"/>
                <w:sz w:val="28"/>
                <w:szCs w:val="28"/>
              </w:rPr>
              <w:t>(2)垫江县村(居)法律顾问单位基本情况调查表(见附件)和年度工作计划；</w:t>
            </w:r>
          </w:p>
          <w:p>
            <w:pPr>
              <w:spacing w:line="300" w:lineRule="exact"/>
              <w:ind w:firstLine="566" w:firstLineChars="200"/>
              <w:rPr>
                <w:rFonts w:hint="default" w:ascii="TimesNewRoman" w:hAnsi="TimesNewRoman" w:cs="TimesNewRoman"/>
                <w:sz w:val="28"/>
                <w:szCs w:val="28"/>
              </w:rPr>
            </w:pPr>
            <w:r>
              <w:rPr>
                <w:rFonts w:hint="default" w:ascii="TimesNewRoman" w:hAnsi="TimesNewRoman" w:cs="TimesNewRoman"/>
                <w:sz w:val="28"/>
                <w:szCs w:val="28"/>
              </w:rPr>
              <w:t>(3)办理各类法律事务(如帮助修订村规民约、审查合同、举办法治讲座、参与诉讼、定期走访、提供法律建议或意见、咨询、代书等)的工作记录，应当详细记载提供法律服务的时间、内容、方式方法，做到一村(居)一记、一事一记和一次一记和有关材料；</w:t>
            </w:r>
          </w:p>
          <w:p>
            <w:pPr>
              <w:spacing w:line="300" w:lineRule="exact"/>
              <w:ind w:firstLine="566" w:firstLineChars="200"/>
              <w:rPr>
                <w:rFonts w:hint="default" w:ascii="TimesNewRoman" w:hAnsi="TimesNewRoman" w:cs="TimesNewRoman"/>
                <w:sz w:val="28"/>
                <w:szCs w:val="28"/>
              </w:rPr>
            </w:pPr>
            <w:r>
              <w:rPr>
                <w:rFonts w:hint="default" w:ascii="TimesNewRoman" w:hAnsi="TimesNewRoman" w:cs="TimesNewRoman"/>
                <w:sz w:val="28"/>
                <w:szCs w:val="28"/>
              </w:rPr>
              <w:t>(4)重大事件报告、工作总结等。6分</w:t>
            </w:r>
          </w:p>
        </w:tc>
        <w:tc>
          <w:tcPr>
            <w:tcW w:w="1654" w:type="dxa"/>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1.未装订的不得分；</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2.装订不规范的扣3分；</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2.要素不齐全的扣3分；</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3.被市司法局考核不合格的不得分。</w:t>
            </w:r>
          </w:p>
          <w:p>
            <w:pPr>
              <w:widowControl/>
              <w:spacing w:line="300" w:lineRule="exact"/>
              <w:rPr>
                <w:rFonts w:hint="default" w:ascii="TimesNewRoman" w:hAnsi="TimesNewRoman" w:cs="TimesNewRoman"/>
                <w:sz w:val="28"/>
                <w:szCs w:val="28"/>
              </w:rPr>
            </w:pP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jc w:val="center"/>
        </w:trPr>
        <w:tc>
          <w:tcPr>
            <w:tcW w:w="692" w:type="dxa"/>
            <w:vMerge w:val="restart"/>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第二板块</w:t>
            </w:r>
          </w:p>
          <w:p>
            <w:pPr>
              <w:widowControl/>
              <w:spacing w:line="300" w:lineRule="exact"/>
              <w:jc w:val="center"/>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为顾问单位提供的法律服务存在重大失误或者提供的法律服务违法，给顾问单位造成重大经济损失的；</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spacing w:line="300" w:lineRule="exact"/>
              <w:rPr>
                <w:rFonts w:hint="default" w:ascii="TimesNewRoman" w:hAnsi="TimesNewRoman" w:cs="TimesNewRoman"/>
                <w:sz w:val="28"/>
                <w:szCs w:val="28"/>
              </w:rPr>
            </w:pPr>
            <w:r>
              <w:rPr>
                <w:rFonts w:hint="default" w:ascii="TimesNewRoman" w:hAnsi="TimesNewRoman" w:cs="TimesNewRoman"/>
                <w:sz w:val="28"/>
                <w:szCs w:val="28"/>
              </w:rPr>
              <w:t> </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692"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向顾问单位索要现金、礼品、土特产、纪念品等；</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jc w:val="center"/>
        </w:trPr>
        <w:tc>
          <w:tcPr>
            <w:tcW w:w="692"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缺乏政治意识和大局观念，因工作失误造成有关人员上访或者参加集体上访的；</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692"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在考核工作中向考核机构提供虚假材料或有弄虚作假行为的；</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692" w:type="dxa"/>
            <w:vMerge w:val="continue"/>
            <w:tcMar>
              <w:top w:w="0" w:type="dxa"/>
              <w:left w:w="108" w:type="dxa"/>
              <w:bottom w:w="0" w:type="dxa"/>
              <w:right w:w="108" w:type="dxa"/>
            </w:tcMar>
            <w:vAlign w:val="center"/>
          </w:tcPr>
          <w:p>
            <w:pPr>
              <w:widowControl/>
              <w:spacing w:line="300" w:lineRule="exact"/>
              <w:rPr>
                <w:rFonts w:hint="default" w:ascii="TimesNewRoman" w:hAnsi="TimesNewRoman" w:cs="TimesNewRoman"/>
                <w:sz w:val="28"/>
                <w:szCs w:val="28"/>
              </w:rPr>
            </w:pPr>
          </w:p>
        </w:tc>
        <w:tc>
          <w:tcPr>
            <w:tcW w:w="6575" w:type="dxa"/>
            <w:gridSpan w:val="7"/>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未按规定时间提供档案的或者不按规定参加考核的。</w:t>
            </w:r>
          </w:p>
        </w:tc>
        <w:tc>
          <w:tcPr>
            <w:tcW w:w="1239"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c>
          <w:tcPr>
            <w:tcW w:w="1260" w:type="dxa"/>
            <w:tcMar>
              <w:top w:w="0" w:type="dxa"/>
              <w:left w:w="108" w:type="dxa"/>
              <w:bottom w:w="0" w:type="dxa"/>
              <w:right w:w="108" w:type="dxa"/>
            </w:tcMa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jc w:val="center"/>
        </w:trPr>
        <w:tc>
          <w:tcPr>
            <w:tcW w:w="692" w:type="dxa"/>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第三板块</w:t>
            </w:r>
          </w:p>
          <w:p>
            <w:pPr>
              <w:spacing w:line="300" w:lineRule="exact"/>
              <w:rPr>
                <w:rFonts w:hint="default" w:ascii="TimesNewRoman" w:hAnsi="TimesNewRoman" w:cs="TimesNewRoman"/>
                <w:sz w:val="28"/>
                <w:szCs w:val="28"/>
              </w:rPr>
            </w:pPr>
          </w:p>
        </w:tc>
        <w:tc>
          <w:tcPr>
            <w:tcW w:w="2157" w:type="dxa"/>
            <w:gridSpan w:val="4"/>
            <w:tcMar>
              <w:top w:w="0" w:type="dxa"/>
              <w:left w:w="108" w:type="dxa"/>
              <w:bottom w:w="0" w:type="dxa"/>
              <w:right w:w="108" w:type="dxa"/>
            </w:tcMar>
            <w:vAlign w:val="center"/>
          </w:tcPr>
          <w:p>
            <w:pPr>
              <w:spacing w:line="300" w:lineRule="exact"/>
              <w:rPr>
                <w:rFonts w:hint="default" w:ascii="TimesNewRoman" w:hAnsi="TimesNewRoman" w:cs="TimesNewRoman"/>
                <w:sz w:val="28"/>
                <w:szCs w:val="28"/>
              </w:rPr>
            </w:pPr>
            <w:r>
              <w:rPr>
                <w:rFonts w:hint="default" w:ascii="TimesNewRoman" w:hAnsi="TimesNewRoman" w:cs="TimesNewRoman"/>
                <w:sz w:val="28"/>
                <w:szCs w:val="28"/>
              </w:rPr>
              <w:t>顾问单位对法律顾问工作进行满意度评分，档次分三档：满意、基本满意、不满意。20分</w:t>
            </w:r>
          </w:p>
        </w:tc>
        <w:tc>
          <w:tcPr>
            <w:tcW w:w="4418" w:type="dxa"/>
            <w:gridSpan w:val="3"/>
            <w:vAlign w:val="center"/>
          </w:tcPr>
          <w:p>
            <w:pPr>
              <w:widowControl/>
              <w:numPr>
                <w:ilvl w:val="0"/>
                <w:numId w:val="1"/>
              </w:numPr>
              <w:spacing w:line="300" w:lineRule="exact"/>
              <w:rPr>
                <w:rFonts w:hint="default" w:ascii="TimesNewRoman" w:hAnsi="TimesNewRoman" w:cs="TimesNewRoman"/>
                <w:sz w:val="28"/>
                <w:szCs w:val="28"/>
              </w:rPr>
            </w:pPr>
            <w:r>
              <w:rPr>
                <w:rFonts w:hint="default" w:ascii="TimesNewRoman" w:hAnsi="TimesNewRoman" w:cs="TimesNewRoman"/>
                <w:sz w:val="28"/>
                <w:szCs w:val="28"/>
              </w:rPr>
              <w:t>基本满意扣5分；</w:t>
            </w:r>
          </w:p>
          <w:p>
            <w:pPr>
              <w:widowControl/>
              <w:numPr>
                <w:ilvl w:val="0"/>
                <w:numId w:val="1"/>
              </w:numPr>
              <w:spacing w:line="300" w:lineRule="exact"/>
              <w:rPr>
                <w:rFonts w:hint="default" w:ascii="TimesNewRoman" w:hAnsi="TimesNewRoman" w:cs="TimesNewRoman"/>
                <w:sz w:val="28"/>
                <w:szCs w:val="28"/>
              </w:rPr>
            </w:pPr>
            <w:r>
              <w:rPr>
                <w:rFonts w:hint="default" w:ascii="TimesNewRoman" w:hAnsi="TimesNewRoman" w:cs="TimesNewRoman"/>
                <w:sz w:val="28"/>
                <w:szCs w:val="28"/>
              </w:rPr>
              <w:t>不满意扣15分。</w:t>
            </w:r>
          </w:p>
        </w:tc>
        <w:tc>
          <w:tcPr>
            <w:tcW w:w="1239" w:type="dxa"/>
            <w:vAlign w:val="center"/>
          </w:tcPr>
          <w:p>
            <w:pPr>
              <w:widowControl/>
              <w:spacing w:line="300" w:lineRule="exact"/>
              <w:rPr>
                <w:rFonts w:hint="default" w:ascii="TimesNewRoman" w:hAnsi="TimesNewRoman" w:cs="TimesNewRoman"/>
                <w:sz w:val="28"/>
                <w:szCs w:val="28"/>
              </w:rPr>
            </w:pPr>
          </w:p>
        </w:tc>
        <w:tc>
          <w:tcPr>
            <w:tcW w:w="1260" w:type="dxa"/>
            <w:vAlign w:val="center"/>
          </w:tcPr>
          <w:p>
            <w:pPr>
              <w:widowControl/>
              <w:spacing w:line="300" w:lineRule="exact"/>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7267" w:type="dxa"/>
            <w:gridSpan w:val="8"/>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b/>
                <w:bCs/>
                <w:sz w:val="28"/>
                <w:szCs w:val="28"/>
              </w:rPr>
              <w:t>总   分</w:t>
            </w:r>
          </w:p>
        </w:tc>
        <w:tc>
          <w:tcPr>
            <w:tcW w:w="1239" w:type="dxa"/>
            <w:vAlign w:val="center"/>
          </w:tcPr>
          <w:p>
            <w:pPr>
              <w:widowControl/>
              <w:spacing w:line="300" w:lineRule="exact"/>
              <w:jc w:val="center"/>
              <w:rPr>
                <w:rFonts w:hint="default" w:ascii="TimesNewRoman" w:hAnsi="TimesNewRoman" w:cs="TimesNewRoman"/>
                <w:sz w:val="28"/>
                <w:szCs w:val="28"/>
              </w:rPr>
            </w:pPr>
          </w:p>
        </w:tc>
        <w:tc>
          <w:tcPr>
            <w:tcW w:w="1260" w:type="dxa"/>
            <w:vAlign w:val="center"/>
          </w:tcPr>
          <w:p>
            <w:pPr>
              <w:widowControl/>
              <w:spacing w:line="300" w:lineRule="exact"/>
              <w:jc w:val="center"/>
              <w:rPr>
                <w:rFonts w:hint="default" w:ascii="TimesNewRoman" w:hAnsi="TimesNewRoman" w:cs="TimesNew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jc w:val="center"/>
        </w:trPr>
        <w:tc>
          <w:tcPr>
            <w:tcW w:w="1196" w:type="dxa"/>
            <w:gridSpan w:val="2"/>
            <w:tcMar>
              <w:top w:w="0" w:type="dxa"/>
              <w:left w:w="108" w:type="dxa"/>
              <w:bottom w:w="0" w:type="dxa"/>
              <w:right w:w="108" w:type="dxa"/>
            </w:tcMar>
            <w:vAlign w:val="center"/>
          </w:tcPr>
          <w:p>
            <w:pPr>
              <w:widowControl/>
              <w:spacing w:line="300" w:lineRule="exact"/>
              <w:jc w:val="center"/>
              <w:rPr>
                <w:rFonts w:hint="default" w:ascii="TimesNewRoman" w:hAnsi="TimesNewRoman" w:cs="TimesNewRoman"/>
                <w:sz w:val="28"/>
                <w:szCs w:val="28"/>
              </w:rPr>
            </w:pPr>
            <w:r>
              <w:rPr>
                <w:rFonts w:hint="default" w:ascii="TimesNewRoman" w:hAnsi="TimesNewRoman" w:cs="TimesNewRoman"/>
                <w:sz w:val="28"/>
                <w:szCs w:val="28"/>
              </w:rPr>
              <w:t>备注</w:t>
            </w:r>
          </w:p>
        </w:tc>
        <w:tc>
          <w:tcPr>
            <w:tcW w:w="8570" w:type="dxa"/>
            <w:gridSpan w:val="8"/>
            <w:vAlign w:val="center"/>
          </w:tcPr>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1.各乡镇（街道）人民政府（办事处）在垫江县村居（居）法律顾问工作考核评分表自评分栏打分，考核组在考评分栏打分；</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2.第一板块每个子项目的分数均以扣完为限；</w:t>
            </w:r>
          </w:p>
          <w:p>
            <w:pPr>
              <w:widowControl/>
              <w:spacing w:line="300" w:lineRule="exact"/>
              <w:rPr>
                <w:rFonts w:hint="default" w:ascii="TimesNewRoman" w:hAnsi="TimesNewRoman" w:cs="TimesNewRoman"/>
                <w:sz w:val="28"/>
                <w:szCs w:val="28"/>
              </w:rPr>
            </w:pPr>
            <w:r>
              <w:rPr>
                <w:rFonts w:hint="default" w:ascii="TimesNewRoman" w:hAnsi="TimesNewRoman" w:cs="TimesNewRoman"/>
                <w:sz w:val="28"/>
                <w:szCs w:val="28"/>
              </w:rPr>
              <w:t>3.第二板块自评分和考评分填有/无。</w:t>
            </w:r>
          </w:p>
        </w:tc>
      </w:tr>
    </w:tbl>
    <w:tbl>
      <w:tblPr>
        <w:tblStyle w:val="15"/>
        <w:tblpPr w:leftFromText="180" w:rightFromText="180" w:vertAnchor="text" w:tblpX="10568" w:tblpY="-4107"/>
        <w:tblOverlap w:val="never"/>
        <w:tblW w:w="1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6" w:type="dxa"/>
          </w:tcPr>
          <w:p>
            <w:pPr>
              <w:widowControl/>
              <w:spacing w:line="300" w:lineRule="exact"/>
              <w:jc w:val="left"/>
              <w:rPr>
                <w:rFonts w:hint="default" w:ascii="TimesNewRoman" w:hAnsi="TimesNewRoman" w:cs="TimesNewRoman"/>
                <w:sz w:val="28"/>
                <w:szCs w:val="28"/>
              </w:rPr>
            </w:pPr>
          </w:p>
        </w:tc>
      </w:tr>
    </w:tbl>
    <w:tbl>
      <w:tblPr>
        <w:tblStyle w:val="15"/>
        <w:tblpPr w:leftFromText="180" w:rightFromText="180" w:vertAnchor="text" w:tblpX="10568" w:tblpY="-32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26" w:type="dxa"/>
          </w:tcPr>
          <w:p>
            <w:pPr>
              <w:widowControl/>
              <w:spacing w:line="300" w:lineRule="exact"/>
              <w:jc w:val="left"/>
              <w:rPr>
                <w:rFonts w:hint="default" w:ascii="TimesNewRoman" w:hAnsi="TimesNewRoman" w:cs="TimesNewRoman"/>
                <w:sz w:val="28"/>
                <w:szCs w:val="28"/>
              </w:rPr>
            </w:pPr>
          </w:p>
        </w:tc>
      </w:tr>
    </w:tbl>
    <w:tbl>
      <w:tblPr>
        <w:tblStyle w:val="15"/>
        <w:tblpPr w:leftFromText="180" w:rightFromText="180" w:vertAnchor="text" w:tblpX="10568" w:tblpY="-30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86" w:type="dxa"/>
          </w:tcPr>
          <w:p>
            <w:pPr>
              <w:widowControl/>
              <w:spacing w:line="300" w:lineRule="exact"/>
              <w:jc w:val="left"/>
              <w:rPr>
                <w:rFonts w:hint="default" w:ascii="TimesNewRoman" w:hAnsi="TimesNewRoman" w:cs="TimesNewRoman"/>
                <w:sz w:val="28"/>
                <w:szCs w:val="28"/>
              </w:rPr>
            </w:pPr>
          </w:p>
        </w:tc>
      </w:tr>
    </w:tbl>
    <w:p>
      <w:pPr>
        <w:widowControl/>
        <w:spacing w:line="300" w:lineRule="exact"/>
        <w:jc w:val="left"/>
        <w:rPr>
          <w:rFonts w:hint="default" w:ascii="TimesNewRoman" w:hAnsi="TimesNewRoman" w:cs="TimesNewRoman"/>
          <w:sz w:val="28"/>
          <w:szCs w:val="28"/>
        </w:rPr>
      </w:pPr>
    </w:p>
    <w:p>
      <w:pPr>
        <w:widowControl/>
        <w:spacing w:line="300" w:lineRule="exact"/>
        <w:jc w:val="left"/>
        <w:rPr>
          <w:rFonts w:hint="default" w:ascii="TimesNewRoman" w:hAnsi="TimesNewRoman" w:cs="TimesNewRoman"/>
          <w:szCs w:val="21"/>
        </w:rPr>
      </w:pPr>
    </w:p>
    <w:p>
      <w:pPr>
        <w:widowControl/>
        <w:spacing w:line="300" w:lineRule="exact"/>
        <w:jc w:val="left"/>
        <w:rPr>
          <w:rFonts w:hint="default" w:ascii="TimesNewRoman" w:hAnsi="TimesNewRoman" w:cs="TimesNewRoman"/>
          <w:szCs w:val="21"/>
        </w:rPr>
      </w:pPr>
    </w:p>
    <w:p>
      <w:pPr>
        <w:widowControl/>
        <w:spacing w:line="300" w:lineRule="exact"/>
        <w:jc w:val="left"/>
        <w:rPr>
          <w:rFonts w:hint="default" w:ascii="TimesNewRoman" w:hAnsi="TimesNewRoman" w:cs="TimesNewRoman"/>
          <w:szCs w:val="21"/>
        </w:rPr>
      </w:pPr>
    </w:p>
    <w:p>
      <w:pPr>
        <w:widowControl/>
        <w:spacing w:line="300" w:lineRule="exact"/>
        <w:jc w:val="left"/>
        <w:rPr>
          <w:rFonts w:hint="default" w:ascii="TimesNewRoman" w:hAnsi="TimesNewRoman" w:cs="TimesNewRoman"/>
          <w:szCs w:val="21"/>
        </w:rPr>
      </w:pPr>
    </w:p>
    <w:p>
      <w:pPr>
        <w:widowControl/>
        <w:spacing w:line="300" w:lineRule="exact"/>
        <w:jc w:val="left"/>
        <w:rPr>
          <w:rFonts w:hint="default" w:ascii="TimesNewRoman" w:hAnsi="TimesNewRoman" w:cs="TimesNewRoman"/>
          <w:sz w:val="28"/>
          <w:szCs w:val="28"/>
        </w:rPr>
      </w:pPr>
      <w:r>
        <w:rPr>
          <w:rFonts w:hint="default" w:ascii="TimesNewRoman" w:hAnsi="TimesNewRoman" w:cs="TimesNewRoman"/>
          <w:sz w:val="28"/>
          <w:szCs w:val="28"/>
        </w:rPr>
        <w:t>顾问单位：（加盖公章）               考评单位：（加盖公章）</w:t>
      </w:r>
      <w:r>
        <w:rPr>
          <w:rFonts w:hint="default" w:ascii="TimesNewRoman" w:hAnsi="TimesNewRoman" w:cs="TimesNewRoman"/>
          <w:sz w:val="28"/>
          <w:szCs w:val="28"/>
        </w:rPr>
        <w:br w:type="textWrapping"/>
      </w:r>
    </w:p>
    <w:p>
      <w:pPr>
        <w:widowControl/>
        <w:spacing w:line="300" w:lineRule="exact"/>
        <w:jc w:val="left"/>
        <w:rPr>
          <w:rFonts w:hint="default" w:ascii="TimesNewRoman" w:hAnsi="TimesNewRoman" w:cs="TimesNewRoman"/>
          <w:sz w:val="28"/>
          <w:szCs w:val="28"/>
        </w:rPr>
      </w:pPr>
    </w:p>
    <w:p>
      <w:pPr>
        <w:widowControl/>
        <w:spacing w:line="300" w:lineRule="exact"/>
        <w:ind w:firstLine="566" w:firstLineChars="200"/>
        <w:jc w:val="left"/>
        <w:rPr>
          <w:rFonts w:hint="default" w:ascii="TimesNewRoman" w:hAnsi="TimesNewRoman" w:cs="TimesNewRoman"/>
          <w:sz w:val="28"/>
          <w:szCs w:val="28"/>
        </w:rPr>
      </w:pPr>
      <w:r>
        <w:rPr>
          <w:rFonts w:hint="default" w:ascii="TimesNewRoman" w:hAnsi="TimesNewRoman" w:cs="TimesNewRoman"/>
          <w:sz w:val="28"/>
          <w:szCs w:val="28"/>
        </w:rPr>
        <w:t>年   月   日                          年   月   日</w:t>
      </w:r>
    </w:p>
    <w:p>
      <w:pPr>
        <w:widowControl/>
        <w:spacing w:line="300" w:lineRule="exact"/>
        <w:ind w:firstLine="1215" w:firstLineChars="500"/>
        <w:jc w:val="left"/>
        <w:rPr>
          <w:rFonts w:hint="default" w:ascii="TimesNewRoman" w:hAnsi="TimesNewRoman" w:cs="TimesNewRoman"/>
          <w:sz w:val="24"/>
          <w:szCs w:val="24"/>
        </w:rPr>
      </w:pPr>
      <w:r>
        <w:rPr>
          <w:rFonts w:hint="default" w:ascii="TimesNewRoman" w:hAnsi="TimesNewRoman" w:cs="TimesNewRoman"/>
          <w:sz w:val="24"/>
          <w:szCs w:val="24"/>
        </w:rPr>
        <w:t xml:space="preserve">                             </w:t>
      </w:r>
    </w:p>
    <w:p>
      <w:pPr>
        <w:widowControl/>
        <w:spacing w:line="300" w:lineRule="exact"/>
        <w:jc w:val="left"/>
        <w:rPr>
          <w:rFonts w:hint="default" w:ascii="TimesNewRoman" w:hAnsi="TimesNewRoman" w:cs="TimesNewRoman"/>
          <w:sz w:val="24"/>
          <w:szCs w:val="24"/>
        </w:rPr>
      </w:pPr>
      <w:r>
        <w:rPr>
          <w:rFonts w:hint="default" w:ascii="TimesNewRoman" w:hAnsi="TimesNewRoman" w:cs="TimesNewRoman"/>
          <w:sz w:val="24"/>
          <w:szCs w:val="24"/>
        </w:rPr>
        <w:t xml:space="preserve">           </w:t>
      </w:r>
    </w:p>
    <w:p>
      <w:pPr>
        <w:tabs>
          <w:tab w:val="left" w:pos="1005"/>
        </w:tabs>
        <w:spacing w:line="594" w:lineRule="exact"/>
        <w:ind w:left="31680" w:hanging="1998" w:hangingChars="600"/>
        <w:rPr>
          <w:rFonts w:hint="default" w:ascii="TimesNewRoman" w:hAnsi="TimesNewRoman" w:cs="TimesNewRoman"/>
          <w:szCs w:val="32"/>
        </w:rPr>
      </w:pPr>
    </w:p>
    <w:p>
      <w:pPr>
        <w:tabs>
          <w:tab w:val="left" w:pos="1005"/>
        </w:tabs>
        <w:spacing w:line="594" w:lineRule="exact"/>
        <w:ind w:left="1983" w:leftChars="200" w:hanging="1317" w:hangingChars="396"/>
        <w:rPr>
          <w:rFonts w:hint="default" w:ascii="TimesNewRoman" w:hAnsi="TimesNewRoman" w:cs="TimesNewRoman"/>
          <w:szCs w:val="32"/>
        </w:rPr>
      </w:pPr>
    </w:p>
    <w:p>
      <w:pPr>
        <w:pStyle w:val="3"/>
        <w:spacing w:after="0" w:line="580" w:lineRule="exact"/>
        <w:ind w:firstLine="2830" w:firstLineChars="1000"/>
        <w:rPr>
          <w:rFonts w:hint="default" w:ascii="TimesNewRoman" w:hAnsi="TimesNewRoman" w:cs="TimesNewRoman"/>
          <w:sz w:val="28"/>
          <w:szCs w:val="28"/>
        </w:rPr>
      </w:pPr>
    </w:p>
    <w:p>
      <w:pPr>
        <w:spacing w:line="580" w:lineRule="exact"/>
        <w:rPr>
          <w:rFonts w:hint="default" w:ascii="TimesNewRoman" w:hAnsi="TimesNewRoman" w:cs="TimesNewRoman"/>
          <w:sz w:val="32"/>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p>
    <w:p>
      <w:pPr>
        <w:spacing w:line="580" w:lineRule="exact"/>
        <w:rPr>
          <w:rFonts w:hint="default" w:ascii="TimesNewRoman" w:hAnsi="TimesNewRoman" w:cs="TimesNewRoman"/>
          <w:szCs w:val="32"/>
        </w:rPr>
      </w:pPr>
      <w:bookmarkStart w:id="1" w:name="_GoBack"/>
      <w:bookmarkEnd w:id="1"/>
    </w:p>
    <w:sectPr>
      <w:footerReference r:id="rId9" w:type="default"/>
      <w:pgSz w:w="11906" w:h="16838"/>
      <w:pgMar w:top="1985" w:right="1446" w:bottom="1644" w:left="1446" w:header="851" w:footer="1474" w:gutter="0"/>
      <w:pgNumType w:fmt="numberInDash"/>
      <w:cols w:space="720" w:num="1"/>
      <w:rtlGutter w:val="1"/>
      <w:docGrid w:type="linesAndChars" w:linePitch="600" w:charSpace="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FangSong_GB2312">
    <w:altName w:val="方正仿宋_GBK"/>
    <w:panose1 w:val="02010609060101010101"/>
    <w:charset w:val="00"/>
    <w:family w:val="roman"/>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_GB2312">
    <w:altName w:val="DejaVu Sans"/>
    <w:panose1 w:val="00000000000000000000"/>
    <w:charset w:val="00"/>
    <w:family w:val="auto"/>
    <w:pitch w:val="default"/>
    <w:sig w:usb0="00000000" w:usb1="00000000" w:usb2="00000000" w:usb3="00000000" w:csb0="00000001" w:csb1="00000000"/>
  </w:font>
  <w:font w:name="TimesNewRoman">
    <w:panose1 w:val="02020603050405020304"/>
    <w:charset w:val="00"/>
    <w:family w:val="auto"/>
    <w:pitch w:val="default"/>
    <w:sig w:usb0="E0002EFF" w:usb1="D00078FF" w:usb2="00000029" w:usb3="00000000" w:csb0="6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- 1 -</w:t>
    </w:r>
    <w:r>
      <w:rPr>
        <w:rStyle w:val="19"/>
        <w:rFonts w:ascii="宋体" w:hAnsi="宋体" w:eastAsia="宋体"/>
        <w:sz w:val="28"/>
        <w:szCs w:val="28"/>
      </w:rPr>
      <w:fldChar w:fldCharType="end"/>
    </w:r>
  </w:p>
  <w:p>
    <w:pPr>
      <w:pStyle w:val="50"/>
      <w:pBdr>
        <w:top w:val="none" w:color="auto" w:sz="0" w:space="0"/>
        <w:left w:val="none" w:color="auto" w:sz="0" w:space="0"/>
        <w:bottom w:val="none" w:color="auto" w:sz="0" w:space="0"/>
        <w:right w:val="none" w:color="auto" w:sz="0" w:space="0"/>
        <w:between w:val="none" w:color="auto" w:sz="0" w:space="0"/>
      </w:pBdr>
      <w:wordWrap w:val="0"/>
      <w:ind w:right="360" w:firstLine="31680"/>
      <w:jc w:val="right"/>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pPr>
      <w:pStyle w:val="50"/>
      <w:pBdr>
        <w:top w:val="none" w:color="auto" w:sz="0" w:space="0"/>
        <w:left w:val="none" w:color="auto" w:sz="0" w:space="0"/>
        <w:bottom w:val="none" w:color="auto" w:sz="0" w:space="0"/>
        <w:right w:val="none" w:color="auto" w:sz="0" w:space="0"/>
        <w:between w:val="none" w:color="auto" w:sz="0" w:space="0"/>
      </w:pBdr>
      <w:ind w:right="360" w:firstLine="360" w:firstLineChars="0"/>
      <w:rPr>
        <w:rStyle w:val="51"/>
        <w:rFonts w:ascii="宋体" w:hAnsi="宋体" w:eastAsia="宋体"/>
        <w:sz w:val="28"/>
        <w:szCs w:val="28"/>
      </w:rPr>
    </w:pPr>
    <w:r>
      <w:rPr>
        <w:rStyle w:val="51"/>
        <w:rFonts w:hint="eastAsia" w:ascii="宋体" w:hAnsi="宋体" w:eastAsia="宋体"/>
        <w:sz w:val="28"/>
        <w:szCs w:val="28"/>
      </w:rPr>
      <w:t>　</w:t>
    </w:r>
    <w:r>
      <w:rPr>
        <w:rStyle w:val="51"/>
        <w:rFonts w:ascii="宋体" w:hAnsi="宋体" w:eastAsia="宋体"/>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none" w:color="auto" w:sz="0" w:space="0"/>
        <w:left w:val="none" w:color="auto" w:sz="0" w:space="0"/>
        <w:bottom w:val="none" w:color="auto" w:sz="0" w:space="0"/>
        <w:right w:val="none" w:color="auto" w:sz="0" w:space="0"/>
        <w:between w:val="none" w:color="auto" w:sz="0" w:space="0"/>
      </w:pBdr>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26"/>
              <wp:cNvGraphicFramePr/>
              <a:graphic xmlns:a="http://schemas.openxmlformats.org/drawingml/2006/main">
                <a:graphicData uri="http://schemas.microsoft.com/office/word/2010/wordprocessingShape">
                  <wps:wsp>
                    <wps:cNvSpPr txBox="true"/>
                    <wps:spPr>
                      <a:xfrm>
                        <a:off x="0" y="0"/>
                        <a:ext cx="534035" cy="230505"/>
                      </a:xfrm>
                      <a:prstGeom prst="rect">
                        <a:avLst/>
                      </a:prstGeom>
                      <a:noFill/>
                      <a:ln>
                        <a:noFill/>
                      </a:ln>
                    </wps:spPr>
                    <wps:txbx>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- 15 -</w:t>
                          </w:r>
                          <w:r>
                            <w:rPr>
                              <w:rFonts w:ascii="宋体" w:hAnsi="宋体" w:eastAsia="宋体" w:cs="宋体"/>
                              <w:sz w:val="28"/>
                              <w:szCs w:val="28"/>
                            </w:rPr>
                            <w:fldChar w:fldCharType="end"/>
                          </w:r>
                        </w:p>
                      </w:txbxContent>
                    </wps:txbx>
                    <wps:bodyPr wrap="none" lIns="0" tIns="0" rIns="0" bIns="0" upright="true">
                      <a:spAutoFit/>
                    </wps:bodyPr>
                  </wps:wsp>
                </a:graphicData>
              </a:graphic>
            </wp:anchor>
          </w:drawing>
        </mc:Choice>
        <mc:Fallback>
          <w:pict>
            <v:shape id="文本框 26"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PD2TH3RAAAAAwEAAA8AAAAAAAAAAQAgAAAAOAAAAGRycy9kb3du&#10;cmV2LnhtbFBLAQIUABQAAAAIAIdO4kCItQS/twEAAFADAAAOAAAAAAAAAAEAIAAAADYBAABkcnMv&#10;ZTJvRG9jLnhtbFBLBQYAAAAABgAGAFkBAABfBQAAAAA=&#10;">
              <v:fill on="f" focussize="0,0"/>
              <v:stroke on="f"/>
              <v:imagedata o:title=""/>
              <o:lock v:ext="edit" aspectratio="f"/>
              <v:textbox inset="0mm,0mm,0mm,0mm" style="mso-fit-shape-to-text:t;">
                <w:txbxContent>
                  <w:p>
                    <w:pPr>
                      <w:snapToGrid w:val="0"/>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- 15 -</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top w:val="none" w:color="auto" w:sz="0" w:space="0"/>
        <w:left w:val="none" w:color="auto" w:sz="0" w:space="0"/>
        <w:bottom w:val="none" w:color="auto" w:sz="0" w:space="0"/>
        <w:right w:val="none" w:color="auto" w:sz="0" w:space="0"/>
        <w:between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top w:val="none" w:color="auto" w:sz="0" w:space="0"/>
        <w:left w:val="none" w:color="auto" w:sz="0" w:space="0"/>
        <w:bottom w:val="none" w:color="auto" w:sz="0" w:space="0"/>
        <w:right w:val="none" w:color="auto" w:sz="0" w:space="0"/>
        <w:between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top w:val="none" w:color="auto" w:sz="0" w:space="0"/>
        <w:left w:val="none" w:color="auto" w:sz="0" w:space="0"/>
        <w:bottom w:val="none" w:color="auto" w:sz="0" w:space="0"/>
        <w:right w:val="none" w:color="auto" w:sz="0" w:space="0"/>
        <w:between w:val="none" w:color="auto" w:sz="0" w:space="0"/>
      </w:pBdr>
      <w:ind w:firstLine="31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2E88F"/>
    <w:multiLevelType w:val="singleLevel"/>
    <w:tmpl w:val="ECF2E88F"/>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7"/>
  <w:drawingGridVerticalSpacing w:val="300"/>
  <w:noPunctuationKerning w:val="true"/>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EF"/>
    <w:rsid w:val="00000C28"/>
    <w:rsid w:val="00001EF6"/>
    <w:rsid w:val="00002611"/>
    <w:rsid w:val="000046C0"/>
    <w:rsid w:val="00007DCC"/>
    <w:rsid w:val="00012843"/>
    <w:rsid w:val="00012ED0"/>
    <w:rsid w:val="000205E9"/>
    <w:rsid w:val="00024BC4"/>
    <w:rsid w:val="000271B1"/>
    <w:rsid w:val="00031F4D"/>
    <w:rsid w:val="00033A2F"/>
    <w:rsid w:val="000414B0"/>
    <w:rsid w:val="00041967"/>
    <w:rsid w:val="000421E8"/>
    <w:rsid w:val="000434AB"/>
    <w:rsid w:val="00044848"/>
    <w:rsid w:val="00044A65"/>
    <w:rsid w:val="00045DF0"/>
    <w:rsid w:val="0004777A"/>
    <w:rsid w:val="00050331"/>
    <w:rsid w:val="00051CB9"/>
    <w:rsid w:val="0005204B"/>
    <w:rsid w:val="000524E2"/>
    <w:rsid w:val="00052BA5"/>
    <w:rsid w:val="000548EC"/>
    <w:rsid w:val="000553A0"/>
    <w:rsid w:val="00056B10"/>
    <w:rsid w:val="00065109"/>
    <w:rsid w:val="0006543D"/>
    <w:rsid w:val="00066753"/>
    <w:rsid w:val="000669F5"/>
    <w:rsid w:val="0006705B"/>
    <w:rsid w:val="00072036"/>
    <w:rsid w:val="000739FA"/>
    <w:rsid w:val="00074E15"/>
    <w:rsid w:val="0007670C"/>
    <w:rsid w:val="000769DC"/>
    <w:rsid w:val="00082DB8"/>
    <w:rsid w:val="0008430C"/>
    <w:rsid w:val="000870FC"/>
    <w:rsid w:val="00091A73"/>
    <w:rsid w:val="00091E38"/>
    <w:rsid w:val="00092276"/>
    <w:rsid w:val="000933D4"/>
    <w:rsid w:val="00094C51"/>
    <w:rsid w:val="00095FAA"/>
    <w:rsid w:val="0009683B"/>
    <w:rsid w:val="00096CC8"/>
    <w:rsid w:val="00097431"/>
    <w:rsid w:val="000A0D18"/>
    <w:rsid w:val="000A0DA4"/>
    <w:rsid w:val="000A43E8"/>
    <w:rsid w:val="000A4C8D"/>
    <w:rsid w:val="000A5F33"/>
    <w:rsid w:val="000A6757"/>
    <w:rsid w:val="000A6E22"/>
    <w:rsid w:val="000A6FA6"/>
    <w:rsid w:val="000A760A"/>
    <w:rsid w:val="000B1EBC"/>
    <w:rsid w:val="000B22AB"/>
    <w:rsid w:val="000B5CC6"/>
    <w:rsid w:val="000B5D01"/>
    <w:rsid w:val="000B7A93"/>
    <w:rsid w:val="000C244C"/>
    <w:rsid w:val="000C38A8"/>
    <w:rsid w:val="000C5137"/>
    <w:rsid w:val="000C53D8"/>
    <w:rsid w:val="000C6EF0"/>
    <w:rsid w:val="000D07FF"/>
    <w:rsid w:val="000D0B90"/>
    <w:rsid w:val="000D1FC7"/>
    <w:rsid w:val="000D20A2"/>
    <w:rsid w:val="000D5C1B"/>
    <w:rsid w:val="000D6119"/>
    <w:rsid w:val="000D6A4E"/>
    <w:rsid w:val="000E0A0E"/>
    <w:rsid w:val="000E1D51"/>
    <w:rsid w:val="000E3664"/>
    <w:rsid w:val="000E3D91"/>
    <w:rsid w:val="000E504B"/>
    <w:rsid w:val="000E5A65"/>
    <w:rsid w:val="000E63F3"/>
    <w:rsid w:val="000E7318"/>
    <w:rsid w:val="000F49C1"/>
    <w:rsid w:val="000F4A39"/>
    <w:rsid w:val="000F4EF1"/>
    <w:rsid w:val="000F56C4"/>
    <w:rsid w:val="000F7499"/>
    <w:rsid w:val="00103231"/>
    <w:rsid w:val="00104E27"/>
    <w:rsid w:val="0010522B"/>
    <w:rsid w:val="0010629F"/>
    <w:rsid w:val="00106BF9"/>
    <w:rsid w:val="00107282"/>
    <w:rsid w:val="00107DCD"/>
    <w:rsid w:val="001108BC"/>
    <w:rsid w:val="001109CC"/>
    <w:rsid w:val="001126BD"/>
    <w:rsid w:val="00112ED0"/>
    <w:rsid w:val="00120744"/>
    <w:rsid w:val="001278FD"/>
    <w:rsid w:val="0013003E"/>
    <w:rsid w:val="00130A8A"/>
    <w:rsid w:val="001317CE"/>
    <w:rsid w:val="001340EC"/>
    <w:rsid w:val="0013534E"/>
    <w:rsid w:val="0013659D"/>
    <w:rsid w:val="001404F4"/>
    <w:rsid w:val="00140ADF"/>
    <w:rsid w:val="001419E9"/>
    <w:rsid w:val="00141B91"/>
    <w:rsid w:val="00142F48"/>
    <w:rsid w:val="0014319B"/>
    <w:rsid w:val="00143DE2"/>
    <w:rsid w:val="00144EDC"/>
    <w:rsid w:val="00147130"/>
    <w:rsid w:val="00147C7D"/>
    <w:rsid w:val="00152E03"/>
    <w:rsid w:val="0015356D"/>
    <w:rsid w:val="001611BA"/>
    <w:rsid w:val="00162E49"/>
    <w:rsid w:val="00164DE9"/>
    <w:rsid w:val="001678EB"/>
    <w:rsid w:val="0017047A"/>
    <w:rsid w:val="00172494"/>
    <w:rsid w:val="00172A4F"/>
    <w:rsid w:val="00174FB8"/>
    <w:rsid w:val="0018080B"/>
    <w:rsid w:val="00181950"/>
    <w:rsid w:val="00181FA0"/>
    <w:rsid w:val="00182051"/>
    <w:rsid w:val="00183244"/>
    <w:rsid w:val="00183983"/>
    <w:rsid w:val="00185741"/>
    <w:rsid w:val="001862BE"/>
    <w:rsid w:val="001863B6"/>
    <w:rsid w:val="00186B55"/>
    <w:rsid w:val="00187546"/>
    <w:rsid w:val="00190DAC"/>
    <w:rsid w:val="00190DF1"/>
    <w:rsid w:val="00191588"/>
    <w:rsid w:val="0019288B"/>
    <w:rsid w:val="00192B23"/>
    <w:rsid w:val="001A0533"/>
    <w:rsid w:val="001A06FA"/>
    <w:rsid w:val="001A57BD"/>
    <w:rsid w:val="001B5D80"/>
    <w:rsid w:val="001B66CD"/>
    <w:rsid w:val="001C15F5"/>
    <w:rsid w:val="001C19C4"/>
    <w:rsid w:val="001C2788"/>
    <w:rsid w:val="001C4C2F"/>
    <w:rsid w:val="001C712C"/>
    <w:rsid w:val="001C7B68"/>
    <w:rsid w:val="001C7D71"/>
    <w:rsid w:val="001D05B1"/>
    <w:rsid w:val="001D0E60"/>
    <w:rsid w:val="001D28B5"/>
    <w:rsid w:val="001D2E6D"/>
    <w:rsid w:val="001D43FF"/>
    <w:rsid w:val="001D7475"/>
    <w:rsid w:val="001E05F1"/>
    <w:rsid w:val="001E0DE1"/>
    <w:rsid w:val="001E1FA2"/>
    <w:rsid w:val="001E20F5"/>
    <w:rsid w:val="001E3203"/>
    <w:rsid w:val="001E3580"/>
    <w:rsid w:val="001E6091"/>
    <w:rsid w:val="001E6576"/>
    <w:rsid w:val="001E79FF"/>
    <w:rsid w:val="001F08DE"/>
    <w:rsid w:val="001F1927"/>
    <w:rsid w:val="001F2B6B"/>
    <w:rsid w:val="001F3FE6"/>
    <w:rsid w:val="001F5525"/>
    <w:rsid w:val="001F5F73"/>
    <w:rsid w:val="001F7633"/>
    <w:rsid w:val="0020027B"/>
    <w:rsid w:val="002026B1"/>
    <w:rsid w:val="00203584"/>
    <w:rsid w:val="002048C0"/>
    <w:rsid w:val="002052FD"/>
    <w:rsid w:val="0020627F"/>
    <w:rsid w:val="002062B4"/>
    <w:rsid w:val="00206FDC"/>
    <w:rsid w:val="00207A81"/>
    <w:rsid w:val="0021070E"/>
    <w:rsid w:val="00210E60"/>
    <w:rsid w:val="002111C5"/>
    <w:rsid w:val="00212532"/>
    <w:rsid w:val="00213041"/>
    <w:rsid w:val="00213957"/>
    <w:rsid w:val="0021476C"/>
    <w:rsid w:val="0021551F"/>
    <w:rsid w:val="00215C7E"/>
    <w:rsid w:val="002240E0"/>
    <w:rsid w:val="00224835"/>
    <w:rsid w:val="00224EFB"/>
    <w:rsid w:val="00225107"/>
    <w:rsid w:val="00227364"/>
    <w:rsid w:val="00230780"/>
    <w:rsid w:val="002343E8"/>
    <w:rsid w:val="00235AE9"/>
    <w:rsid w:val="0023601D"/>
    <w:rsid w:val="0023675D"/>
    <w:rsid w:val="00236F4F"/>
    <w:rsid w:val="00237454"/>
    <w:rsid w:val="00242CBD"/>
    <w:rsid w:val="0024375A"/>
    <w:rsid w:val="00243B68"/>
    <w:rsid w:val="00245150"/>
    <w:rsid w:val="002459D2"/>
    <w:rsid w:val="002470FD"/>
    <w:rsid w:val="00247F6A"/>
    <w:rsid w:val="00250F5D"/>
    <w:rsid w:val="00257080"/>
    <w:rsid w:val="00262E0F"/>
    <w:rsid w:val="00263F71"/>
    <w:rsid w:val="00271CDA"/>
    <w:rsid w:val="00273BC3"/>
    <w:rsid w:val="00273BD7"/>
    <w:rsid w:val="00273D78"/>
    <w:rsid w:val="002752EA"/>
    <w:rsid w:val="0027670F"/>
    <w:rsid w:val="00280EEE"/>
    <w:rsid w:val="00282CB3"/>
    <w:rsid w:val="0028363F"/>
    <w:rsid w:val="002836CE"/>
    <w:rsid w:val="00284979"/>
    <w:rsid w:val="00284A4F"/>
    <w:rsid w:val="00292335"/>
    <w:rsid w:val="00294133"/>
    <w:rsid w:val="00295C31"/>
    <w:rsid w:val="002A0126"/>
    <w:rsid w:val="002A1086"/>
    <w:rsid w:val="002A1203"/>
    <w:rsid w:val="002A486A"/>
    <w:rsid w:val="002A622E"/>
    <w:rsid w:val="002A69AD"/>
    <w:rsid w:val="002A7F8C"/>
    <w:rsid w:val="002B001D"/>
    <w:rsid w:val="002B097E"/>
    <w:rsid w:val="002B155A"/>
    <w:rsid w:val="002B648E"/>
    <w:rsid w:val="002B7B3D"/>
    <w:rsid w:val="002C0F52"/>
    <w:rsid w:val="002C12F5"/>
    <w:rsid w:val="002C3C96"/>
    <w:rsid w:val="002C4B58"/>
    <w:rsid w:val="002C6DDC"/>
    <w:rsid w:val="002D4AB2"/>
    <w:rsid w:val="002D63C9"/>
    <w:rsid w:val="002D72FE"/>
    <w:rsid w:val="002D7625"/>
    <w:rsid w:val="002E6581"/>
    <w:rsid w:val="002E6901"/>
    <w:rsid w:val="002E696D"/>
    <w:rsid w:val="002E7E76"/>
    <w:rsid w:val="002F041A"/>
    <w:rsid w:val="002F0676"/>
    <w:rsid w:val="002F0EE7"/>
    <w:rsid w:val="002F15CD"/>
    <w:rsid w:val="002F3717"/>
    <w:rsid w:val="002F37A1"/>
    <w:rsid w:val="002F3988"/>
    <w:rsid w:val="002F452C"/>
    <w:rsid w:val="002F54F9"/>
    <w:rsid w:val="002F5DEE"/>
    <w:rsid w:val="002F6343"/>
    <w:rsid w:val="00300038"/>
    <w:rsid w:val="003004A8"/>
    <w:rsid w:val="00301663"/>
    <w:rsid w:val="00302734"/>
    <w:rsid w:val="00304DAD"/>
    <w:rsid w:val="0030603D"/>
    <w:rsid w:val="00306873"/>
    <w:rsid w:val="00314314"/>
    <w:rsid w:val="00314506"/>
    <w:rsid w:val="0031454C"/>
    <w:rsid w:val="00315DD1"/>
    <w:rsid w:val="003211D5"/>
    <w:rsid w:val="003230DD"/>
    <w:rsid w:val="003246B8"/>
    <w:rsid w:val="00326662"/>
    <w:rsid w:val="00326CA0"/>
    <w:rsid w:val="003310BB"/>
    <w:rsid w:val="0033143D"/>
    <w:rsid w:val="0033475C"/>
    <w:rsid w:val="00334A8C"/>
    <w:rsid w:val="0033569C"/>
    <w:rsid w:val="00335DBA"/>
    <w:rsid w:val="00340F16"/>
    <w:rsid w:val="00341027"/>
    <w:rsid w:val="003411F5"/>
    <w:rsid w:val="00341540"/>
    <w:rsid w:val="003421E7"/>
    <w:rsid w:val="00344662"/>
    <w:rsid w:val="00344AD3"/>
    <w:rsid w:val="00346C67"/>
    <w:rsid w:val="00347827"/>
    <w:rsid w:val="00350182"/>
    <w:rsid w:val="00353175"/>
    <w:rsid w:val="00355602"/>
    <w:rsid w:val="00357FF9"/>
    <w:rsid w:val="00362127"/>
    <w:rsid w:val="00362766"/>
    <w:rsid w:val="0036478D"/>
    <w:rsid w:val="003650A7"/>
    <w:rsid w:val="00365BC0"/>
    <w:rsid w:val="003706EA"/>
    <w:rsid w:val="00373A50"/>
    <w:rsid w:val="00374F75"/>
    <w:rsid w:val="00375831"/>
    <w:rsid w:val="00375D81"/>
    <w:rsid w:val="00380D98"/>
    <w:rsid w:val="0038293D"/>
    <w:rsid w:val="00382A34"/>
    <w:rsid w:val="003908D9"/>
    <w:rsid w:val="00390F3F"/>
    <w:rsid w:val="003921E3"/>
    <w:rsid w:val="00392890"/>
    <w:rsid w:val="00392F22"/>
    <w:rsid w:val="0039444E"/>
    <w:rsid w:val="003A106D"/>
    <w:rsid w:val="003A3C81"/>
    <w:rsid w:val="003A4B60"/>
    <w:rsid w:val="003A7D6E"/>
    <w:rsid w:val="003B09D4"/>
    <w:rsid w:val="003B12E3"/>
    <w:rsid w:val="003B1632"/>
    <w:rsid w:val="003B1ED4"/>
    <w:rsid w:val="003B290F"/>
    <w:rsid w:val="003B3432"/>
    <w:rsid w:val="003B5568"/>
    <w:rsid w:val="003C4B16"/>
    <w:rsid w:val="003C58F6"/>
    <w:rsid w:val="003D0603"/>
    <w:rsid w:val="003D12B0"/>
    <w:rsid w:val="003D25AF"/>
    <w:rsid w:val="003D4A7A"/>
    <w:rsid w:val="003D618B"/>
    <w:rsid w:val="003D659B"/>
    <w:rsid w:val="003E0076"/>
    <w:rsid w:val="003E14E2"/>
    <w:rsid w:val="003E2241"/>
    <w:rsid w:val="003E2CCB"/>
    <w:rsid w:val="003E4C3B"/>
    <w:rsid w:val="003E4CF1"/>
    <w:rsid w:val="003F49AB"/>
    <w:rsid w:val="003F50B1"/>
    <w:rsid w:val="00402AA6"/>
    <w:rsid w:val="0040421F"/>
    <w:rsid w:val="004051D1"/>
    <w:rsid w:val="00411D0F"/>
    <w:rsid w:val="00413000"/>
    <w:rsid w:val="00414B49"/>
    <w:rsid w:val="00414DC5"/>
    <w:rsid w:val="0041551A"/>
    <w:rsid w:val="00416AFD"/>
    <w:rsid w:val="004173EE"/>
    <w:rsid w:val="00420904"/>
    <w:rsid w:val="00423332"/>
    <w:rsid w:val="00425528"/>
    <w:rsid w:val="00427E9C"/>
    <w:rsid w:val="00431844"/>
    <w:rsid w:val="0043258C"/>
    <w:rsid w:val="0044220D"/>
    <w:rsid w:val="00442FFD"/>
    <w:rsid w:val="0044356F"/>
    <w:rsid w:val="00443704"/>
    <w:rsid w:val="00444748"/>
    <w:rsid w:val="004459F4"/>
    <w:rsid w:val="004462EF"/>
    <w:rsid w:val="00446AB4"/>
    <w:rsid w:val="00446E0B"/>
    <w:rsid w:val="00447C98"/>
    <w:rsid w:val="00451042"/>
    <w:rsid w:val="004539DA"/>
    <w:rsid w:val="00457E76"/>
    <w:rsid w:val="0046063C"/>
    <w:rsid w:val="004613AE"/>
    <w:rsid w:val="004613EC"/>
    <w:rsid w:val="004629B6"/>
    <w:rsid w:val="00464F64"/>
    <w:rsid w:val="00465456"/>
    <w:rsid w:val="0046577B"/>
    <w:rsid w:val="00467147"/>
    <w:rsid w:val="00471774"/>
    <w:rsid w:val="00471FFE"/>
    <w:rsid w:val="004726E8"/>
    <w:rsid w:val="00474837"/>
    <w:rsid w:val="004753AB"/>
    <w:rsid w:val="0047557B"/>
    <w:rsid w:val="00476344"/>
    <w:rsid w:val="004771FD"/>
    <w:rsid w:val="0048005A"/>
    <w:rsid w:val="00480989"/>
    <w:rsid w:val="004824D6"/>
    <w:rsid w:val="00484476"/>
    <w:rsid w:val="00485B48"/>
    <w:rsid w:val="0048629F"/>
    <w:rsid w:val="00492FFE"/>
    <w:rsid w:val="004938BB"/>
    <w:rsid w:val="00494B41"/>
    <w:rsid w:val="00497015"/>
    <w:rsid w:val="0049754A"/>
    <w:rsid w:val="004A2302"/>
    <w:rsid w:val="004A4395"/>
    <w:rsid w:val="004A4E3A"/>
    <w:rsid w:val="004A54C0"/>
    <w:rsid w:val="004A5D89"/>
    <w:rsid w:val="004A6991"/>
    <w:rsid w:val="004A757C"/>
    <w:rsid w:val="004A7C38"/>
    <w:rsid w:val="004B1F0F"/>
    <w:rsid w:val="004B4EDA"/>
    <w:rsid w:val="004B5706"/>
    <w:rsid w:val="004B7FDF"/>
    <w:rsid w:val="004C096A"/>
    <w:rsid w:val="004C0CBF"/>
    <w:rsid w:val="004C1164"/>
    <w:rsid w:val="004C1F6B"/>
    <w:rsid w:val="004C2AA2"/>
    <w:rsid w:val="004C2B75"/>
    <w:rsid w:val="004C7745"/>
    <w:rsid w:val="004C7AE4"/>
    <w:rsid w:val="004C7E0C"/>
    <w:rsid w:val="004D18A9"/>
    <w:rsid w:val="004D1DBF"/>
    <w:rsid w:val="004D30E8"/>
    <w:rsid w:val="004D3EC4"/>
    <w:rsid w:val="004D3EDA"/>
    <w:rsid w:val="004D49F2"/>
    <w:rsid w:val="004D4C1E"/>
    <w:rsid w:val="004D54AD"/>
    <w:rsid w:val="004D5D8F"/>
    <w:rsid w:val="004E4DAF"/>
    <w:rsid w:val="004F00B5"/>
    <w:rsid w:val="004F28F5"/>
    <w:rsid w:val="004F76BE"/>
    <w:rsid w:val="00500090"/>
    <w:rsid w:val="00500B79"/>
    <w:rsid w:val="00503B80"/>
    <w:rsid w:val="005044CB"/>
    <w:rsid w:val="00504603"/>
    <w:rsid w:val="00505DD6"/>
    <w:rsid w:val="0050784A"/>
    <w:rsid w:val="00507F00"/>
    <w:rsid w:val="00512E04"/>
    <w:rsid w:val="00514B6B"/>
    <w:rsid w:val="0051665B"/>
    <w:rsid w:val="00516721"/>
    <w:rsid w:val="005179F8"/>
    <w:rsid w:val="00517BE5"/>
    <w:rsid w:val="00522B3B"/>
    <w:rsid w:val="00522FC1"/>
    <w:rsid w:val="00524C56"/>
    <w:rsid w:val="005256EF"/>
    <w:rsid w:val="00530842"/>
    <w:rsid w:val="00531EA8"/>
    <w:rsid w:val="00535D8D"/>
    <w:rsid w:val="005362EA"/>
    <w:rsid w:val="00536B81"/>
    <w:rsid w:val="00536CEE"/>
    <w:rsid w:val="00540D4A"/>
    <w:rsid w:val="005433AD"/>
    <w:rsid w:val="005463AC"/>
    <w:rsid w:val="00550A2D"/>
    <w:rsid w:val="00551F99"/>
    <w:rsid w:val="00554B3B"/>
    <w:rsid w:val="00565791"/>
    <w:rsid w:val="00566E37"/>
    <w:rsid w:val="00567267"/>
    <w:rsid w:val="00567BAE"/>
    <w:rsid w:val="00567F2E"/>
    <w:rsid w:val="00571BB2"/>
    <w:rsid w:val="00571EFD"/>
    <w:rsid w:val="0057319D"/>
    <w:rsid w:val="00573377"/>
    <w:rsid w:val="00573D86"/>
    <w:rsid w:val="005756A3"/>
    <w:rsid w:val="0057622E"/>
    <w:rsid w:val="00577443"/>
    <w:rsid w:val="005821E9"/>
    <w:rsid w:val="00582D61"/>
    <w:rsid w:val="00586ED1"/>
    <w:rsid w:val="005871DF"/>
    <w:rsid w:val="0059133F"/>
    <w:rsid w:val="00591D7A"/>
    <w:rsid w:val="005923E4"/>
    <w:rsid w:val="00594836"/>
    <w:rsid w:val="00596486"/>
    <w:rsid w:val="005A0B86"/>
    <w:rsid w:val="005A1AE2"/>
    <w:rsid w:val="005A42B3"/>
    <w:rsid w:val="005A4B10"/>
    <w:rsid w:val="005A739F"/>
    <w:rsid w:val="005A782B"/>
    <w:rsid w:val="005B2D16"/>
    <w:rsid w:val="005B3133"/>
    <w:rsid w:val="005B33BF"/>
    <w:rsid w:val="005C0B15"/>
    <w:rsid w:val="005C0E74"/>
    <w:rsid w:val="005C21C6"/>
    <w:rsid w:val="005D1121"/>
    <w:rsid w:val="005D1149"/>
    <w:rsid w:val="005D1523"/>
    <w:rsid w:val="005D4FA9"/>
    <w:rsid w:val="005E03F2"/>
    <w:rsid w:val="005F01CC"/>
    <w:rsid w:val="005F314F"/>
    <w:rsid w:val="005F4246"/>
    <w:rsid w:val="005F47D5"/>
    <w:rsid w:val="005F616E"/>
    <w:rsid w:val="005F6E7C"/>
    <w:rsid w:val="005F7157"/>
    <w:rsid w:val="005F78CF"/>
    <w:rsid w:val="006043D5"/>
    <w:rsid w:val="00606FB6"/>
    <w:rsid w:val="00610888"/>
    <w:rsid w:val="00610E6E"/>
    <w:rsid w:val="00611DBA"/>
    <w:rsid w:val="00613471"/>
    <w:rsid w:val="0061569A"/>
    <w:rsid w:val="0061707B"/>
    <w:rsid w:val="00621034"/>
    <w:rsid w:val="00630504"/>
    <w:rsid w:val="00631728"/>
    <w:rsid w:val="006323C5"/>
    <w:rsid w:val="0063383A"/>
    <w:rsid w:val="00634972"/>
    <w:rsid w:val="006350B2"/>
    <w:rsid w:val="00636623"/>
    <w:rsid w:val="00637ABA"/>
    <w:rsid w:val="00637D1E"/>
    <w:rsid w:val="00637E6B"/>
    <w:rsid w:val="006401F1"/>
    <w:rsid w:val="00640FB9"/>
    <w:rsid w:val="006436FA"/>
    <w:rsid w:val="006470D1"/>
    <w:rsid w:val="006546B8"/>
    <w:rsid w:val="00655FB7"/>
    <w:rsid w:val="00663DCE"/>
    <w:rsid w:val="006646C8"/>
    <w:rsid w:val="00667B27"/>
    <w:rsid w:val="00672734"/>
    <w:rsid w:val="00672F01"/>
    <w:rsid w:val="00673066"/>
    <w:rsid w:val="00673507"/>
    <w:rsid w:val="006819D2"/>
    <w:rsid w:val="00682666"/>
    <w:rsid w:val="00682C76"/>
    <w:rsid w:val="0068315C"/>
    <w:rsid w:val="00686011"/>
    <w:rsid w:val="00687BE9"/>
    <w:rsid w:val="00691348"/>
    <w:rsid w:val="00691450"/>
    <w:rsid w:val="006919E5"/>
    <w:rsid w:val="00692B46"/>
    <w:rsid w:val="006963E2"/>
    <w:rsid w:val="006A0529"/>
    <w:rsid w:val="006A09C1"/>
    <w:rsid w:val="006A0B0B"/>
    <w:rsid w:val="006A0B7C"/>
    <w:rsid w:val="006A2D54"/>
    <w:rsid w:val="006A73DD"/>
    <w:rsid w:val="006B14E1"/>
    <w:rsid w:val="006B1925"/>
    <w:rsid w:val="006B25F5"/>
    <w:rsid w:val="006B3FF3"/>
    <w:rsid w:val="006B40A3"/>
    <w:rsid w:val="006B4D49"/>
    <w:rsid w:val="006C18CE"/>
    <w:rsid w:val="006C406A"/>
    <w:rsid w:val="006C615F"/>
    <w:rsid w:val="006D0AAB"/>
    <w:rsid w:val="006D129B"/>
    <w:rsid w:val="006D179F"/>
    <w:rsid w:val="006D17BB"/>
    <w:rsid w:val="006D1842"/>
    <w:rsid w:val="006D1DFA"/>
    <w:rsid w:val="006D31F4"/>
    <w:rsid w:val="006D613F"/>
    <w:rsid w:val="006D684C"/>
    <w:rsid w:val="006D68D8"/>
    <w:rsid w:val="006D69DD"/>
    <w:rsid w:val="006E181D"/>
    <w:rsid w:val="006E19C5"/>
    <w:rsid w:val="006E1D92"/>
    <w:rsid w:val="006E2BEB"/>
    <w:rsid w:val="006E372C"/>
    <w:rsid w:val="006E4159"/>
    <w:rsid w:val="006E763D"/>
    <w:rsid w:val="006F343E"/>
    <w:rsid w:val="006F3EF5"/>
    <w:rsid w:val="006F5080"/>
    <w:rsid w:val="006F7F6F"/>
    <w:rsid w:val="00703661"/>
    <w:rsid w:val="007131E4"/>
    <w:rsid w:val="007148DD"/>
    <w:rsid w:val="00714BAE"/>
    <w:rsid w:val="00716A8D"/>
    <w:rsid w:val="007203CC"/>
    <w:rsid w:val="00720490"/>
    <w:rsid w:val="00725B3E"/>
    <w:rsid w:val="0072699E"/>
    <w:rsid w:val="007307D1"/>
    <w:rsid w:val="007324BA"/>
    <w:rsid w:val="0073349B"/>
    <w:rsid w:val="007337F9"/>
    <w:rsid w:val="007359A3"/>
    <w:rsid w:val="00736225"/>
    <w:rsid w:val="007368BA"/>
    <w:rsid w:val="00737C25"/>
    <w:rsid w:val="007416D7"/>
    <w:rsid w:val="00741ED6"/>
    <w:rsid w:val="00745CF5"/>
    <w:rsid w:val="00746AF4"/>
    <w:rsid w:val="00750B63"/>
    <w:rsid w:val="00750CF9"/>
    <w:rsid w:val="0075124A"/>
    <w:rsid w:val="00751A10"/>
    <w:rsid w:val="0075599E"/>
    <w:rsid w:val="00760DFD"/>
    <w:rsid w:val="00762DD3"/>
    <w:rsid w:val="00763B9F"/>
    <w:rsid w:val="00767065"/>
    <w:rsid w:val="0076757B"/>
    <w:rsid w:val="00767F71"/>
    <w:rsid w:val="00771481"/>
    <w:rsid w:val="00771995"/>
    <w:rsid w:val="00774D18"/>
    <w:rsid w:val="007764F4"/>
    <w:rsid w:val="00780D90"/>
    <w:rsid w:val="00784091"/>
    <w:rsid w:val="00791312"/>
    <w:rsid w:val="00792E9C"/>
    <w:rsid w:val="007932B2"/>
    <w:rsid w:val="00794183"/>
    <w:rsid w:val="00794C2D"/>
    <w:rsid w:val="00794F8D"/>
    <w:rsid w:val="00795674"/>
    <w:rsid w:val="00795A5D"/>
    <w:rsid w:val="00795EA8"/>
    <w:rsid w:val="00795F1A"/>
    <w:rsid w:val="00796D90"/>
    <w:rsid w:val="007972E3"/>
    <w:rsid w:val="007973B9"/>
    <w:rsid w:val="007A0A44"/>
    <w:rsid w:val="007A0FAD"/>
    <w:rsid w:val="007A41DF"/>
    <w:rsid w:val="007A492A"/>
    <w:rsid w:val="007B29FA"/>
    <w:rsid w:val="007B6E86"/>
    <w:rsid w:val="007B7466"/>
    <w:rsid w:val="007C050E"/>
    <w:rsid w:val="007C096F"/>
    <w:rsid w:val="007C1764"/>
    <w:rsid w:val="007C17AA"/>
    <w:rsid w:val="007C1B77"/>
    <w:rsid w:val="007C3C55"/>
    <w:rsid w:val="007C522B"/>
    <w:rsid w:val="007C536C"/>
    <w:rsid w:val="007C55F0"/>
    <w:rsid w:val="007C7D4C"/>
    <w:rsid w:val="007C7F56"/>
    <w:rsid w:val="007D1CBD"/>
    <w:rsid w:val="007D2376"/>
    <w:rsid w:val="007D2AD9"/>
    <w:rsid w:val="007D2C5A"/>
    <w:rsid w:val="007D4033"/>
    <w:rsid w:val="007D6292"/>
    <w:rsid w:val="007E0E76"/>
    <w:rsid w:val="007E20BE"/>
    <w:rsid w:val="007E29D6"/>
    <w:rsid w:val="007E50FB"/>
    <w:rsid w:val="007E5FAB"/>
    <w:rsid w:val="007F0D34"/>
    <w:rsid w:val="007F1926"/>
    <w:rsid w:val="007F5DFE"/>
    <w:rsid w:val="007F7646"/>
    <w:rsid w:val="00802002"/>
    <w:rsid w:val="0080387D"/>
    <w:rsid w:val="008045DF"/>
    <w:rsid w:val="00805C9E"/>
    <w:rsid w:val="00806F8F"/>
    <w:rsid w:val="008118DB"/>
    <w:rsid w:val="008157CB"/>
    <w:rsid w:val="00815ACA"/>
    <w:rsid w:val="008205E2"/>
    <w:rsid w:val="00822A7F"/>
    <w:rsid w:val="008235FC"/>
    <w:rsid w:val="00824519"/>
    <w:rsid w:val="008256CD"/>
    <w:rsid w:val="00825F86"/>
    <w:rsid w:val="00832B78"/>
    <w:rsid w:val="00833FD1"/>
    <w:rsid w:val="00834DB3"/>
    <w:rsid w:val="00836076"/>
    <w:rsid w:val="00836906"/>
    <w:rsid w:val="008375D1"/>
    <w:rsid w:val="0084035B"/>
    <w:rsid w:val="00842C68"/>
    <w:rsid w:val="00843C8F"/>
    <w:rsid w:val="00845182"/>
    <w:rsid w:val="00845C80"/>
    <w:rsid w:val="00846268"/>
    <w:rsid w:val="00847096"/>
    <w:rsid w:val="00852892"/>
    <w:rsid w:val="00853665"/>
    <w:rsid w:val="0085446A"/>
    <w:rsid w:val="0085775C"/>
    <w:rsid w:val="00861BB4"/>
    <w:rsid w:val="00865A31"/>
    <w:rsid w:val="008662E7"/>
    <w:rsid w:val="008703DA"/>
    <w:rsid w:val="008750F4"/>
    <w:rsid w:val="008779DC"/>
    <w:rsid w:val="0088331C"/>
    <w:rsid w:val="00884405"/>
    <w:rsid w:val="00885297"/>
    <w:rsid w:val="00885CEA"/>
    <w:rsid w:val="008876AE"/>
    <w:rsid w:val="00891E8B"/>
    <w:rsid w:val="008925AF"/>
    <w:rsid w:val="00893EBC"/>
    <w:rsid w:val="00895D56"/>
    <w:rsid w:val="00895E7C"/>
    <w:rsid w:val="00896955"/>
    <w:rsid w:val="0089774D"/>
    <w:rsid w:val="00897EB0"/>
    <w:rsid w:val="008A1D50"/>
    <w:rsid w:val="008A1DCD"/>
    <w:rsid w:val="008A3F54"/>
    <w:rsid w:val="008A405B"/>
    <w:rsid w:val="008B07C8"/>
    <w:rsid w:val="008B2014"/>
    <w:rsid w:val="008B278C"/>
    <w:rsid w:val="008B28CD"/>
    <w:rsid w:val="008B322C"/>
    <w:rsid w:val="008B3675"/>
    <w:rsid w:val="008B77DD"/>
    <w:rsid w:val="008B7BD5"/>
    <w:rsid w:val="008C1418"/>
    <w:rsid w:val="008C3E71"/>
    <w:rsid w:val="008C516B"/>
    <w:rsid w:val="008C5D50"/>
    <w:rsid w:val="008D09D1"/>
    <w:rsid w:val="008D3600"/>
    <w:rsid w:val="008D4606"/>
    <w:rsid w:val="008D49B9"/>
    <w:rsid w:val="008D79AD"/>
    <w:rsid w:val="008D7C26"/>
    <w:rsid w:val="008D7EE6"/>
    <w:rsid w:val="008E04DB"/>
    <w:rsid w:val="008E1C7A"/>
    <w:rsid w:val="008E4095"/>
    <w:rsid w:val="008E6261"/>
    <w:rsid w:val="008E655E"/>
    <w:rsid w:val="008F1936"/>
    <w:rsid w:val="008F2C53"/>
    <w:rsid w:val="008F2FA1"/>
    <w:rsid w:val="008F313D"/>
    <w:rsid w:val="008F316F"/>
    <w:rsid w:val="008F326C"/>
    <w:rsid w:val="008F3689"/>
    <w:rsid w:val="008F3CD4"/>
    <w:rsid w:val="008F4B6C"/>
    <w:rsid w:val="008F4EA1"/>
    <w:rsid w:val="008F5284"/>
    <w:rsid w:val="008F6842"/>
    <w:rsid w:val="008F6965"/>
    <w:rsid w:val="008F7125"/>
    <w:rsid w:val="008F78DA"/>
    <w:rsid w:val="00902AA2"/>
    <w:rsid w:val="00902D3B"/>
    <w:rsid w:val="0090472C"/>
    <w:rsid w:val="00905267"/>
    <w:rsid w:val="0090566D"/>
    <w:rsid w:val="00907933"/>
    <w:rsid w:val="0091071E"/>
    <w:rsid w:val="00915935"/>
    <w:rsid w:val="009164BC"/>
    <w:rsid w:val="009167B5"/>
    <w:rsid w:val="00916847"/>
    <w:rsid w:val="009201F8"/>
    <w:rsid w:val="009205CE"/>
    <w:rsid w:val="00920D49"/>
    <w:rsid w:val="00921561"/>
    <w:rsid w:val="009229DC"/>
    <w:rsid w:val="00922FF8"/>
    <w:rsid w:val="00925FB1"/>
    <w:rsid w:val="009263D0"/>
    <w:rsid w:val="00926C74"/>
    <w:rsid w:val="00930E24"/>
    <w:rsid w:val="00932FF0"/>
    <w:rsid w:val="00935707"/>
    <w:rsid w:val="00936938"/>
    <w:rsid w:val="00937563"/>
    <w:rsid w:val="00937E56"/>
    <w:rsid w:val="00943F0E"/>
    <w:rsid w:val="00944223"/>
    <w:rsid w:val="009444FB"/>
    <w:rsid w:val="00944BD2"/>
    <w:rsid w:val="009459AF"/>
    <w:rsid w:val="009511F4"/>
    <w:rsid w:val="00951D07"/>
    <w:rsid w:val="00953534"/>
    <w:rsid w:val="009558DD"/>
    <w:rsid w:val="00956617"/>
    <w:rsid w:val="00957302"/>
    <w:rsid w:val="00960FF9"/>
    <w:rsid w:val="0096179B"/>
    <w:rsid w:val="00961A7B"/>
    <w:rsid w:val="00961CEF"/>
    <w:rsid w:val="00962A2E"/>
    <w:rsid w:val="00962B88"/>
    <w:rsid w:val="009632E6"/>
    <w:rsid w:val="00963574"/>
    <w:rsid w:val="00964245"/>
    <w:rsid w:val="00964CC9"/>
    <w:rsid w:val="0096568E"/>
    <w:rsid w:val="009663E7"/>
    <w:rsid w:val="009667AC"/>
    <w:rsid w:val="00970735"/>
    <w:rsid w:val="00972C87"/>
    <w:rsid w:val="00973B04"/>
    <w:rsid w:val="00974E83"/>
    <w:rsid w:val="00976C17"/>
    <w:rsid w:val="00977CAF"/>
    <w:rsid w:val="00980891"/>
    <w:rsid w:val="009846AD"/>
    <w:rsid w:val="00984AE8"/>
    <w:rsid w:val="00984E86"/>
    <w:rsid w:val="00984FEF"/>
    <w:rsid w:val="0098509F"/>
    <w:rsid w:val="00985168"/>
    <w:rsid w:val="00991632"/>
    <w:rsid w:val="00991B0B"/>
    <w:rsid w:val="009A2159"/>
    <w:rsid w:val="009A295B"/>
    <w:rsid w:val="009A2FE4"/>
    <w:rsid w:val="009A6274"/>
    <w:rsid w:val="009A7A14"/>
    <w:rsid w:val="009B290A"/>
    <w:rsid w:val="009B4248"/>
    <w:rsid w:val="009B6B46"/>
    <w:rsid w:val="009B6F5C"/>
    <w:rsid w:val="009C1B9F"/>
    <w:rsid w:val="009C3159"/>
    <w:rsid w:val="009C4936"/>
    <w:rsid w:val="009C52B0"/>
    <w:rsid w:val="009C7663"/>
    <w:rsid w:val="009D0C54"/>
    <w:rsid w:val="009D1D2B"/>
    <w:rsid w:val="009D1FEF"/>
    <w:rsid w:val="009D5B14"/>
    <w:rsid w:val="009E1A94"/>
    <w:rsid w:val="009E3705"/>
    <w:rsid w:val="009E6667"/>
    <w:rsid w:val="009E6993"/>
    <w:rsid w:val="009E6BD8"/>
    <w:rsid w:val="009F0D17"/>
    <w:rsid w:val="009F16ED"/>
    <w:rsid w:val="009F3253"/>
    <w:rsid w:val="009F34D1"/>
    <w:rsid w:val="009F4027"/>
    <w:rsid w:val="009F5966"/>
    <w:rsid w:val="009F613B"/>
    <w:rsid w:val="009F6E0E"/>
    <w:rsid w:val="009F7BF5"/>
    <w:rsid w:val="00A009A3"/>
    <w:rsid w:val="00A01780"/>
    <w:rsid w:val="00A02139"/>
    <w:rsid w:val="00A05527"/>
    <w:rsid w:val="00A05968"/>
    <w:rsid w:val="00A11AD8"/>
    <w:rsid w:val="00A137EB"/>
    <w:rsid w:val="00A15485"/>
    <w:rsid w:val="00A15FEF"/>
    <w:rsid w:val="00A160A9"/>
    <w:rsid w:val="00A20DD6"/>
    <w:rsid w:val="00A2129C"/>
    <w:rsid w:val="00A212DC"/>
    <w:rsid w:val="00A227D2"/>
    <w:rsid w:val="00A234A7"/>
    <w:rsid w:val="00A26256"/>
    <w:rsid w:val="00A32A1B"/>
    <w:rsid w:val="00A3356B"/>
    <w:rsid w:val="00A36250"/>
    <w:rsid w:val="00A36323"/>
    <w:rsid w:val="00A40C4F"/>
    <w:rsid w:val="00A41779"/>
    <w:rsid w:val="00A4366A"/>
    <w:rsid w:val="00A446F5"/>
    <w:rsid w:val="00A453A9"/>
    <w:rsid w:val="00A46485"/>
    <w:rsid w:val="00A467DE"/>
    <w:rsid w:val="00A47021"/>
    <w:rsid w:val="00A548FD"/>
    <w:rsid w:val="00A608C5"/>
    <w:rsid w:val="00A61681"/>
    <w:rsid w:val="00A62BE6"/>
    <w:rsid w:val="00A637D1"/>
    <w:rsid w:val="00A65E21"/>
    <w:rsid w:val="00A70B47"/>
    <w:rsid w:val="00A71FD3"/>
    <w:rsid w:val="00A72697"/>
    <w:rsid w:val="00A7305A"/>
    <w:rsid w:val="00A76426"/>
    <w:rsid w:val="00A77A0A"/>
    <w:rsid w:val="00A80462"/>
    <w:rsid w:val="00A806AC"/>
    <w:rsid w:val="00A80F50"/>
    <w:rsid w:val="00A83114"/>
    <w:rsid w:val="00A83F60"/>
    <w:rsid w:val="00A84370"/>
    <w:rsid w:val="00A8582F"/>
    <w:rsid w:val="00A85ACA"/>
    <w:rsid w:val="00A8622A"/>
    <w:rsid w:val="00A91925"/>
    <w:rsid w:val="00A97157"/>
    <w:rsid w:val="00AA59A3"/>
    <w:rsid w:val="00AA708B"/>
    <w:rsid w:val="00AA7D2B"/>
    <w:rsid w:val="00AB06B4"/>
    <w:rsid w:val="00AB17C7"/>
    <w:rsid w:val="00AB1B8F"/>
    <w:rsid w:val="00AB2B22"/>
    <w:rsid w:val="00AB3D1F"/>
    <w:rsid w:val="00AB42DC"/>
    <w:rsid w:val="00AB51C4"/>
    <w:rsid w:val="00AB562E"/>
    <w:rsid w:val="00AC36C2"/>
    <w:rsid w:val="00AC5621"/>
    <w:rsid w:val="00AC5CF1"/>
    <w:rsid w:val="00AC7FD9"/>
    <w:rsid w:val="00AD0057"/>
    <w:rsid w:val="00AD0468"/>
    <w:rsid w:val="00AD5348"/>
    <w:rsid w:val="00AD7F21"/>
    <w:rsid w:val="00AE00F6"/>
    <w:rsid w:val="00AE0C57"/>
    <w:rsid w:val="00AE1DF0"/>
    <w:rsid w:val="00AE3020"/>
    <w:rsid w:val="00AE4337"/>
    <w:rsid w:val="00AE55F4"/>
    <w:rsid w:val="00AE585F"/>
    <w:rsid w:val="00AF0D99"/>
    <w:rsid w:val="00AF3FA3"/>
    <w:rsid w:val="00AF43B5"/>
    <w:rsid w:val="00AF6921"/>
    <w:rsid w:val="00AF6DDD"/>
    <w:rsid w:val="00AF7D47"/>
    <w:rsid w:val="00B01746"/>
    <w:rsid w:val="00B01A5A"/>
    <w:rsid w:val="00B03155"/>
    <w:rsid w:val="00B04697"/>
    <w:rsid w:val="00B04714"/>
    <w:rsid w:val="00B04C71"/>
    <w:rsid w:val="00B06FC5"/>
    <w:rsid w:val="00B10C12"/>
    <w:rsid w:val="00B11151"/>
    <w:rsid w:val="00B115E0"/>
    <w:rsid w:val="00B1210A"/>
    <w:rsid w:val="00B16D17"/>
    <w:rsid w:val="00B1705A"/>
    <w:rsid w:val="00B203D9"/>
    <w:rsid w:val="00B219BC"/>
    <w:rsid w:val="00B21FBD"/>
    <w:rsid w:val="00B23A92"/>
    <w:rsid w:val="00B31C7A"/>
    <w:rsid w:val="00B36734"/>
    <w:rsid w:val="00B42BA5"/>
    <w:rsid w:val="00B43906"/>
    <w:rsid w:val="00B45935"/>
    <w:rsid w:val="00B4668F"/>
    <w:rsid w:val="00B4679D"/>
    <w:rsid w:val="00B475CE"/>
    <w:rsid w:val="00B51451"/>
    <w:rsid w:val="00B51D79"/>
    <w:rsid w:val="00B53EEF"/>
    <w:rsid w:val="00B56402"/>
    <w:rsid w:val="00B56B1E"/>
    <w:rsid w:val="00B5769F"/>
    <w:rsid w:val="00B617AF"/>
    <w:rsid w:val="00B61923"/>
    <w:rsid w:val="00B61CB1"/>
    <w:rsid w:val="00B64973"/>
    <w:rsid w:val="00B658DF"/>
    <w:rsid w:val="00B66849"/>
    <w:rsid w:val="00B67BE4"/>
    <w:rsid w:val="00B67C01"/>
    <w:rsid w:val="00B703F6"/>
    <w:rsid w:val="00B72703"/>
    <w:rsid w:val="00B72E80"/>
    <w:rsid w:val="00B73103"/>
    <w:rsid w:val="00B753A1"/>
    <w:rsid w:val="00B7715B"/>
    <w:rsid w:val="00B83BA0"/>
    <w:rsid w:val="00B8543A"/>
    <w:rsid w:val="00B86AB5"/>
    <w:rsid w:val="00B9032B"/>
    <w:rsid w:val="00B91064"/>
    <w:rsid w:val="00B91754"/>
    <w:rsid w:val="00B92196"/>
    <w:rsid w:val="00B96431"/>
    <w:rsid w:val="00BA1046"/>
    <w:rsid w:val="00BA1866"/>
    <w:rsid w:val="00BA6C28"/>
    <w:rsid w:val="00BA7132"/>
    <w:rsid w:val="00BA719A"/>
    <w:rsid w:val="00BA727D"/>
    <w:rsid w:val="00BC21FB"/>
    <w:rsid w:val="00BC22B4"/>
    <w:rsid w:val="00BD1B23"/>
    <w:rsid w:val="00BD1D45"/>
    <w:rsid w:val="00BD2AD5"/>
    <w:rsid w:val="00BD4A20"/>
    <w:rsid w:val="00BD5197"/>
    <w:rsid w:val="00BD62CC"/>
    <w:rsid w:val="00BD6D8E"/>
    <w:rsid w:val="00BD7095"/>
    <w:rsid w:val="00BE0021"/>
    <w:rsid w:val="00BE134B"/>
    <w:rsid w:val="00BE33AC"/>
    <w:rsid w:val="00BE3984"/>
    <w:rsid w:val="00BE6C30"/>
    <w:rsid w:val="00BE7C66"/>
    <w:rsid w:val="00BF32D4"/>
    <w:rsid w:val="00C00871"/>
    <w:rsid w:val="00C04AC9"/>
    <w:rsid w:val="00C060AE"/>
    <w:rsid w:val="00C06670"/>
    <w:rsid w:val="00C0692A"/>
    <w:rsid w:val="00C06BFA"/>
    <w:rsid w:val="00C0740A"/>
    <w:rsid w:val="00C10EE2"/>
    <w:rsid w:val="00C11D29"/>
    <w:rsid w:val="00C11F2F"/>
    <w:rsid w:val="00C11FA1"/>
    <w:rsid w:val="00C12FB8"/>
    <w:rsid w:val="00C135A4"/>
    <w:rsid w:val="00C17029"/>
    <w:rsid w:val="00C238E7"/>
    <w:rsid w:val="00C24D5D"/>
    <w:rsid w:val="00C270B5"/>
    <w:rsid w:val="00C27F61"/>
    <w:rsid w:val="00C33FFE"/>
    <w:rsid w:val="00C355F3"/>
    <w:rsid w:val="00C4079F"/>
    <w:rsid w:val="00C40D0C"/>
    <w:rsid w:val="00C40F60"/>
    <w:rsid w:val="00C4261B"/>
    <w:rsid w:val="00C4388F"/>
    <w:rsid w:val="00C43972"/>
    <w:rsid w:val="00C44E45"/>
    <w:rsid w:val="00C4537A"/>
    <w:rsid w:val="00C476F7"/>
    <w:rsid w:val="00C478E1"/>
    <w:rsid w:val="00C505D3"/>
    <w:rsid w:val="00C52163"/>
    <w:rsid w:val="00C52D36"/>
    <w:rsid w:val="00C52F63"/>
    <w:rsid w:val="00C54412"/>
    <w:rsid w:val="00C55E3E"/>
    <w:rsid w:val="00C57B39"/>
    <w:rsid w:val="00C604CA"/>
    <w:rsid w:val="00C61161"/>
    <w:rsid w:val="00C617EE"/>
    <w:rsid w:val="00C6199F"/>
    <w:rsid w:val="00C62229"/>
    <w:rsid w:val="00C64AF9"/>
    <w:rsid w:val="00C64D02"/>
    <w:rsid w:val="00C64F38"/>
    <w:rsid w:val="00C65381"/>
    <w:rsid w:val="00C70908"/>
    <w:rsid w:val="00C712CC"/>
    <w:rsid w:val="00C71430"/>
    <w:rsid w:val="00C715A2"/>
    <w:rsid w:val="00C72A0B"/>
    <w:rsid w:val="00C74620"/>
    <w:rsid w:val="00C84455"/>
    <w:rsid w:val="00C9169C"/>
    <w:rsid w:val="00C94F08"/>
    <w:rsid w:val="00C95CB3"/>
    <w:rsid w:val="00C975E7"/>
    <w:rsid w:val="00CA5900"/>
    <w:rsid w:val="00CA5B71"/>
    <w:rsid w:val="00CA656D"/>
    <w:rsid w:val="00CA75C2"/>
    <w:rsid w:val="00CA7DC9"/>
    <w:rsid w:val="00CB0E59"/>
    <w:rsid w:val="00CB1382"/>
    <w:rsid w:val="00CB23D8"/>
    <w:rsid w:val="00CB2DF4"/>
    <w:rsid w:val="00CB4E8C"/>
    <w:rsid w:val="00CB5A36"/>
    <w:rsid w:val="00CB5C89"/>
    <w:rsid w:val="00CB7D55"/>
    <w:rsid w:val="00CC1D18"/>
    <w:rsid w:val="00CC1F24"/>
    <w:rsid w:val="00CC2708"/>
    <w:rsid w:val="00CC4B8C"/>
    <w:rsid w:val="00CC7305"/>
    <w:rsid w:val="00CD02E0"/>
    <w:rsid w:val="00CD1AE6"/>
    <w:rsid w:val="00CD20CD"/>
    <w:rsid w:val="00CD2AC1"/>
    <w:rsid w:val="00CD422C"/>
    <w:rsid w:val="00CD46A4"/>
    <w:rsid w:val="00CE3808"/>
    <w:rsid w:val="00CE4968"/>
    <w:rsid w:val="00CE50A1"/>
    <w:rsid w:val="00CE6483"/>
    <w:rsid w:val="00CF1237"/>
    <w:rsid w:val="00CF5428"/>
    <w:rsid w:val="00CF5C79"/>
    <w:rsid w:val="00CF6C10"/>
    <w:rsid w:val="00CF72F9"/>
    <w:rsid w:val="00D00A78"/>
    <w:rsid w:val="00D02A77"/>
    <w:rsid w:val="00D065A0"/>
    <w:rsid w:val="00D07D34"/>
    <w:rsid w:val="00D10307"/>
    <w:rsid w:val="00D103B7"/>
    <w:rsid w:val="00D10FC7"/>
    <w:rsid w:val="00D1234A"/>
    <w:rsid w:val="00D128D2"/>
    <w:rsid w:val="00D1546E"/>
    <w:rsid w:val="00D15780"/>
    <w:rsid w:val="00D20DE5"/>
    <w:rsid w:val="00D21929"/>
    <w:rsid w:val="00D2413F"/>
    <w:rsid w:val="00D274F9"/>
    <w:rsid w:val="00D31CEE"/>
    <w:rsid w:val="00D33831"/>
    <w:rsid w:val="00D3558E"/>
    <w:rsid w:val="00D35749"/>
    <w:rsid w:val="00D370A5"/>
    <w:rsid w:val="00D37D11"/>
    <w:rsid w:val="00D404F1"/>
    <w:rsid w:val="00D41583"/>
    <w:rsid w:val="00D4479E"/>
    <w:rsid w:val="00D50B1D"/>
    <w:rsid w:val="00D52D70"/>
    <w:rsid w:val="00D536FB"/>
    <w:rsid w:val="00D55BE0"/>
    <w:rsid w:val="00D566A2"/>
    <w:rsid w:val="00D60447"/>
    <w:rsid w:val="00D607FA"/>
    <w:rsid w:val="00D617D4"/>
    <w:rsid w:val="00D639DD"/>
    <w:rsid w:val="00D70873"/>
    <w:rsid w:val="00D70A1A"/>
    <w:rsid w:val="00D72E0C"/>
    <w:rsid w:val="00D7342F"/>
    <w:rsid w:val="00D73B04"/>
    <w:rsid w:val="00D75D73"/>
    <w:rsid w:val="00D75EEE"/>
    <w:rsid w:val="00D76B6C"/>
    <w:rsid w:val="00D76CD4"/>
    <w:rsid w:val="00D77224"/>
    <w:rsid w:val="00D77B8F"/>
    <w:rsid w:val="00D80AD5"/>
    <w:rsid w:val="00D81C9A"/>
    <w:rsid w:val="00D81D0A"/>
    <w:rsid w:val="00D83057"/>
    <w:rsid w:val="00D85733"/>
    <w:rsid w:val="00D9032F"/>
    <w:rsid w:val="00D91977"/>
    <w:rsid w:val="00D924D8"/>
    <w:rsid w:val="00D92903"/>
    <w:rsid w:val="00D937AB"/>
    <w:rsid w:val="00D942E7"/>
    <w:rsid w:val="00D9455D"/>
    <w:rsid w:val="00D9513D"/>
    <w:rsid w:val="00D95169"/>
    <w:rsid w:val="00DA3219"/>
    <w:rsid w:val="00DA3A55"/>
    <w:rsid w:val="00DA5DE3"/>
    <w:rsid w:val="00DA70EF"/>
    <w:rsid w:val="00DB269B"/>
    <w:rsid w:val="00DB5C9A"/>
    <w:rsid w:val="00DC2560"/>
    <w:rsid w:val="00DC2A2C"/>
    <w:rsid w:val="00DC40A2"/>
    <w:rsid w:val="00DC69BC"/>
    <w:rsid w:val="00DC78EA"/>
    <w:rsid w:val="00DC7F50"/>
    <w:rsid w:val="00DD0879"/>
    <w:rsid w:val="00DD6874"/>
    <w:rsid w:val="00DD729F"/>
    <w:rsid w:val="00DE097E"/>
    <w:rsid w:val="00DE0F8B"/>
    <w:rsid w:val="00DE1B46"/>
    <w:rsid w:val="00DE3698"/>
    <w:rsid w:val="00DE36CA"/>
    <w:rsid w:val="00DE3F82"/>
    <w:rsid w:val="00DE6CF7"/>
    <w:rsid w:val="00DF14D0"/>
    <w:rsid w:val="00DF21D3"/>
    <w:rsid w:val="00DF2B6F"/>
    <w:rsid w:val="00DF343C"/>
    <w:rsid w:val="00DF47EF"/>
    <w:rsid w:val="00DF577C"/>
    <w:rsid w:val="00DF5F51"/>
    <w:rsid w:val="00DF69E0"/>
    <w:rsid w:val="00DF7377"/>
    <w:rsid w:val="00DF7C1D"/>
    <w:rsid w:val="00E026C9"/>
    <w:rsid w:val="00E0385C"/>
    <w:rsid w:val="00E07C08"/>
    <w:rsid w:val="00E07E0F"/>
    <w:rsid w:val="00E100B3"/>
    <w:rsid w:val="00E11B0C"/>
    <w:rsid w:val="00E11B78"/>
    <w:rsid w:val="00E16931"/>
    <w:rsid w:val="00E20996"/>
    <w:rsid w:val="00E213E3"/>
    <w:rsid w:val="00E25C92"/>
    <w:rsid w:val="00E276DE"/>
    <w:rsid w:val="00E36618"/>
    <w:rsid w:val="00E375D0"/>
    <w:rsid w:val="00E41317"/>
    <w:rsid w:val="00E415C7"/>
    <w:rsid w:val="00E457A3"/>
    <w:rsid w:val="00E46FD2"/>
    <w:rsid w:val="00E50055"/>
    <w:rsid w:val="00E5050C"/>
    <w:rsid w:val="00E50732"/>
    <w:rsid w:val="00E519EC"/>
    <w:rsid w:val="00E529E1"/>
    <w:rsid w:val="00E5482C"/>
    <w:rsid w:val="00E54964"/>
    <w:rsid w:val="00E54B89"/>
    <w:rsid w:val="00E6029B"/>
    <w:rsid w:val="00E609BA"/>
    <w:rsid w:val="00E62BDC"/>
    <w:rsid w:val="00E6480E"/>
    <w:rsid w:val="00E64AE0"/>
    <w:rsid w:val="00E66774"/>
    <w:rsid w:val="00E66F06"/>
    <w:rsid w:val="00E6734D"/>
    <w:rsid w:val="00E7129A"/>
    <w:rsid w:val="00E752B8"/>
    <w:rsid w:val="00E76B2C"/>
    <w:rsid w:val="00E80C59"/>
    <w:rsid w:val="00E81024"/>
    <w:rsid w:val="00E81103"/>
    <w:rsid w:val="00E8111E"/>
    <w:rsid w:val="00E8343E"/>
    <w:rsid w:val="00E83518"/>
    <w:rsid w:val="00E837A0"/>
    <w:rsid w:val="00E83990"/>
    <w:rsid w:val="00E842D4"/>
    <w:rsid w:val="00E85D66"/>
    <w:rsid w:val="00E873EC"/>
    <w:rsid w:val="00E87B50"/>
    <w:rsid w:val="00E91CA6"/>
    <w:rsid w:val="00E9202D"/>
    <w:rsid w:val="00EA1B8B"/>
    <w:rsid w:val="00EA485C"/>
    <w:rsid w:val="00EA5AA0"/>
    <w:rsid w:val="00EA7CC2"/>
    <w:rsid w:val="00EA7F78"/>
    <w:rsid w:val="00EB1EB6"/>
    <w:rsid w:val="00EB2A34"/>
    <w:rsid w:val="00EB41FE"/>
    <w:rsid w:val="00EB6742"/>
    <w:rsid w:val="00EC298D"/>
    <w:rsid w:val="00EC684A"/>
    <w:rsid w:val="00EC6BFF"/>
    <w:rsid w:val="00ED0059"/>
    <w:rsid w:val="00ED19F4"/>
    <w:rsid w:val="00ED1E19"/>
    <w:rsid w:val="00ED230F"/>
    <w:rsid w:val="00ED3BDC"/>
    <w:rsid w:val="00EE0C64"/>
    <w:rsid w:val="00EE1050"/>
    <w:rsid w:val="00EE167C"/>
    <w:rsid w:val="00EE1C88"/>
    <w:rsid w:val="00EE4214"/>
    <w:rsid w:val="00EE5069"/>
    <w:rsid w:val="00EE72B2"/>
    <w:rsid w:val="00EF020E"/>
    <w:rsid w:val="00EF0A31"/>
    <w:rsid w:val="00EF2ABA"/>
    <w:rsid w:val="00EF49ED"/>
    <w:rsid w:val="00EF69B5"/>
    <w:rsid w:val="00F00FFB"/>
    <w:rsid w:val="00F01AFC"/>
    <w:rsid w:val="00F10EFF"/>
    <w:rsid w:val="00F1158D"/>
    <w:rsid w:val="00F15348"/>
    <w:rsid w:val="00F15849"/>
    <w:rsid w:val="00F15AE8"/>
    <w:rsid w:val="00F16231"/>
    <w:rsid w:val="00F1730E"/>
    <w:rsid w:val="00F22806"/>
    <w:rsid w:val="00F22F61"/>
    <w:rsid w:val="00F23593"/>
    <w:rsid w:val="00F24B28"/>
    <w:rsid w:val="00F3166C"/>
    <w:rsid w:val="00F32DA8"/>
    <w:rsid w:val="00F344DB"/>
    <w:rsid w:val="00F3584C"/>
    <w:rsid w:val="00F41276"/>
    <w:rsid w:val="00F4186D"/>
    <w:rsid w:val="00F41D5F"/>
    <w:rsid w:val="00F44533"/>
    <w:rsid w:val="00F44F7F"/>
    <w:rsid w:val="00F5446F"/>
    <w:rsid w:val="00F5647E"/>
    <w:rsid w:val="00F56ECB"/>
    <w:rsid w:val="00F60DDF"/>
    <w:rsid w:val="00F61F8C"/>
    <w:rsid w:val="00F6373E"/>
    <w:rsid w:val="00F63E96"/>
    <w:rsid w:val="00F67DF9"/>
    <w:rsid w:val="00F70053"/>
    <w:rsid w:val="00F77428"/>
    <w:rsid w:val="00F829CF"/>
    <w:rsid w:val="00F836D3"/>
    <w:rsid w:val="00F83894"/>
    <w:rsid w:val="00F85CE8"/>
    <w:rsid w:val="00F869B2"/>
    <w:rsid w:val="00F9034A"/>
    <w:rsid w:val="00F91171"/>
    <w:rsid w:val="00F92611"/>
    <w:rsid w:val="00F92DAD"/>
    <w:rsid w:val="00F9470E"/>
    <w:rsid w:val="00F9473B"/>
    <w:rsid w:val="00F94E2B"/>
    <w:rsid w:val="00F9510A"/>
    <w:rsid w:val="00FA256F"/>
    <w:rsid w:val="00FA2CEB"/>
    <w:rsid w:val="00FA35BE"/>
    <w:rsid w:val="00FA5448"/>
    <w:rsid w:val="00FB08B0"/>
    <w:rsid w:val="00FB0C66"/>
    <w:rsid w:val="00FB178B"/>
    <w:rsid w:val="00FB2889"/>
    <w:rsid w:val="00FB33E8"/>
    <w:rsid w:val="00FB3AD8"/>
    <w:rsid w:val="00FB4947"/>
    <w:rsid w:val="00FB5B32"/>
    <w:rsid w:val="00FB5C99"/>
    <w:rsid w:val="00FB60EF"/>
    <w:rsid w:val="00FB6446"/>
    <w:rsid w:val="00FB6A6A"/>
    <w:rsid w:val="00FB6E8A"/>
    <w:rsid w:val="00FC0CBD"/>
    <w:rsid w:val="00FC2732"/>
    <w:rsid w:val="00FC6562"/>
    <w:rsid w:val="00FC7584"/>
    <w:rsid w:val="00FC7919"/>
    <w:rsid w:val="00FC7D28"/>
    <w:rsid w:val="00FD1868"/>
    <w:rsid w:val="00FD4092"/>
    <w:rsid w:val="00FD544D"/>
    <w:rsid w:val="00FD7834"/>
    <w:rsid w:val="00FE039F"/>
    <w:rsid w:val="00FE1AC4"/>
    <w:rsid w:val="00FE1E82"/>
    <w:rsid w:val="00FE41A0"/>
    <w:rsid w:val="00FE78A5"/>
    <w:rsid w:val="00FE7F6A"/>
    <w:rsid w:val="00FF2D51"/>
    <w:rsid w:val="00FF4BB1"/>
    <w:rsid w:val="00FF5A24"/>
    <w:rsid w:val="00FF5CF9"/>
    <w:rsid w:val="00FF724A"/>
    <w:rsid w:val="011F0F1F"/>
    <w:rsid w:val="02635408"/>
    <w:rsid w:val="0287541E"/>
    <w:rsid w:val="029B3CBA"/>
    <w:rsid w:val="035F57EC"/>
    <w:rsid w:val="0410282C"/>
    <w:rsid w:val="04927B59"/>
    <w:rsid w:val="04D532E9"/>
    <w:rsid w:val="061B1C59"/>
    <w:rsid w:val="06887688"/>
    <w:rsid w:val="07385B3D"/>
    <w:rsid w:val="09DE1971"/>
    <w:rsid w:val="0ACB0716"/>
    <w:rsid w:val="0BF76022"/>
    <w:rsid w:val="0C11374A"/>
    <w:rsid w:val="0D6F025D"/>
    <w:rsid w:val="0E782E6A"/>
    <w:rsid w:val="102438F9"/>
    <w:rsid w:val="12262EC5"/>
    <w:rsid w:val="12B45720"/>
    <w:rsid w:val="14037EBA"/>
    <w:rsid w:val="14443427"/>
    <w:rsid w:val="15377B85"/>
    <w:rsid w:val="163803FF"/>
    <w:rsid w:val="16702231"/>
    <w:rsid w:val="1995482B"/>
    <w:rsid w:val="19D70A72"/>
    <w:rsid w:val="1A0376DD"/>
    <w:rsid w:val="1BC008E1"/>
    <w:rsid w:val="1D6359B3"/>
    <w:rsid w:val="1D9B1901"/>
    <w:rsid w:val="1EAF0A71"/>
    <w:rsid w:val="1EFE77C4"/>
    <w:rsid w:val="1F1258D2"/>
    <w:rsid w:val="1FBD699E"/>
    <w:rsid w:val="1FE841EE"/>
    <w:rsid w:val="20060448"/>
    <w:rsid w:val="206D0AD8"/>
    <w:rsid w:val="23E324E9"/>
    <w:rsid w:val="23E373C9"/>
    <w:rsid w:val="23FA4D2E"/>
    <w:rsid w:val="242E3EA4"/>
    <w:rsid w:val="2489025A"/>
    <w:rsid w:val="250C1EE4"/>
    <w:rsid w:val="25C42477"/>
    <w:rsid w:val="26670032"/>
    <w:rsid w:val="26EA66C9"/>
    <w:rsid w:val="270D65D7"/>
    <w:rsid w:val="27F6136E"/>
    <w:rsid w:val="286E083C"/>
    <w:rsid w:val="287A6A41"/>
    <w:rsid w:val="293D7906"/>
    <w:rsid w:val="296C2334"/>
    <w:rsid w:val="2A296DF7"/>
    <w:rsid w:val="2BBD1138"/>
    <w:rsid w:val="2C1454A4"/>
    <w:rsid w:val="2E6770B2"/>
    <w:rsid w:val="2EA05442"/>
    <w:rsid w:val="2F9C6E67"/>
    <w:rsid w:val="32C54B44"/>
    <w:rsid w:val="36816E5C"/>
    <w:rsid w:val="36CA2204"/>
    <w:rsid w:val="3769509F"/>
    <w:rsid w:val="38D56679"/>
    <w:rsid w:val="393A768B"/>
    <w:rsid w:val="3A596ECF"/>
    <w:rsid w:val="3B960D61"/>
    <w:rsid w:val="3B9C3F8D"/>
    <w:rsid w:val="3BD02A12"/>
    <w:rsid w:val="3C603A6C"/>
    <w:rsid w:val="3D2A39A1"/>
    <w:rsid w:val="3EA826B1"/>
    <w:rsid w:val="3F363669"/>
    <w:rsid w:val="401A50F1"/>
    <w:rsid w:val="417012E2"/>
    <w:rsid w:val="42BD487D"/>
    <w:rsid w:val="42C75AA8"/>
    <w:rsid w:val="443648D1"/>
    <w:rsid w:val="44DB164B"/>
    <w:rsid w:val="48617B99"/>
    <w:rsid w:val="4AAA1A70"/>
    <w:rsid w:val="4C5269C7"/>
    <w:rsid w:val="4DAC5C08"/>
    <w:rsid w:val="4DED6F60"/>
    <w:rsid w:val="4DF61F8C"/>
    <w:rsid w:val="503A1A64"/>
    <w:rsid w:val="50CA50EA"/>
    <w:rsid w:val="50D02B36"/>
    <w:rsid w:val="52660433"/>
    <w:rsid w:val="52707459"/>
    <w:rsid w:val="52D049B1"/>
    <w:rsid w:val="53321CA2"/>
    <w:rsid w:val="53C81CC1"/>
    <w:rsid w:val="53EC631B"/>
    <w:rsid w:val="5432341C"/>
    <w:rsid w:val="54E327E0"/>
    <w:rsid w:val="54E80C9C"/>
    <w:rsid w:val="558C019B"/>
    <w:rsid w:val="583A29B6"/>
    <w:rsid w:val="585B25E7"/>
    <w:rsid w:val="58EA6FF4"/>
    <w:rsid w:val="59C77503"/>
    <w:rsid w:val="5A372F98"/>
    <w:rsid w:val="5A95457C"/>
    <w:rsid w:val="5AC35452"/>
    <w:rsid w:val="5AC94BBE"/>
    <w:rsid w:val="5C9A2810"/>
    <w:rsid w:val="5E164636"/>
    <w:rsid w:val="5FF70998"/>
    <w:rsid w:val="63EA3F4A"/>
    <w:rsid w:val="64C360DE"/>
    <w:rsid w:val="64ED6008"/>
    <w:rsid w:val="67450EE3"/>
    <w:rsid w:val="678E1562"/>
    <w:rsid w:val="69B81169"/>
    <w:rsid w:val="6B0B0DDE"/>
    <w:rsid w:val="6B75694F"/>
    <w:rsid w:val="6BB9065A"/>
    <w:rsid w:val="6C801507"/>
    <w:rsid w:val="6CC759D5"/>
    <w:rsid w:val="6D7F4196"/>
    <w:rsid w:val="6D99634F"/>
    <w:rsid w:val="6EBF5294"/>
    <w:rsid w:val="6F624B31"/>
    <w:rsid w:val="6F8775FD"/>
    <w:rsid w:val="6FCA3A44"/>
    <w:rsid w:val="6FD125AE"/>
    <w:rsid w:val="7030598D"/>
    <w:rsid w:val="70446F76"/>
    <w:rsid w:val="7174016A"/>
    <w:rsid w:val="737410F7"/>
    <w:rsid w:val="73A2630C"/>
    <w:rsid w:val="74A77D36"/>
    <w:rsid w:val="766C7A88"/>
    <w:rsid w:val="77217540"/>
    <w:rsid w:val="77502D78"/>
    <w:rsid w:val="776F1A44"/>
    <w:rsid w:val="77EE7B66"/>
    <w:rsid w:val="7843668A"/>
    <w:rsid w:val="786B462C"/>
    <w:rsid w:val="79342333"/>
    <w:rsid w:val="7A7E64A8"/>
    <w:rsid w:val="7AC61B9F"/>
    <w:rsid w:val="7C1532C4"/>
    <w:rsid w:val="7D8A09D0"/>
    <w:rsid w:val="7DE01D48"/>
    <w:rsid w:val="7ED918F6"/>
    <w:rsid w:val="7FEE359A"/>
    <w:rsid w:val="9BFAED57"/>
    <w:rsid w:val="AAEFB645"/>
    <w:rsid w:val="FFBFA2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3"/>
      <w:szCs w:val="33"/>
      <w:lang w:val="en-US" w:eastAsia="zh-CN" w:bidi="ar-SA"/>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rPr>
  </w:style>
  <w:style w:type="paragraph" w:styleId="3">
    <w:name w:val="Body Text"/>
    <w:basedOn w:val="1"/>
    <w:link w:val="32"/>
    <w:qFormat/>
    <w:uiPriority w:val="99"/>
    <w:pPr>
      <w:spacing w:after="120"/>
    </w:pPr>
  </w:style>
  <w:style w:type="paragraph" w:styleId="4">
    <w:name w:val="Body Text Indent"/>
    <w:basedOn w:val="1"/>
    <w:link w:val="28"/>
    <w:qFormat/>
    <w:uiPriority w:val="99"/>
    <w:pPr>
      <w:spacing w:after="120"/>
      <w:ind w:left="420" w:leftChars="200"/>
    </w:pPr>
    <w:rPr>
      <w:rFonts w:eastAsia="宋体"/>
      <w:sz w:val="32"/>
      <w:szCs w:val="24"/>
    </w:rPr>
  </w:style>
  <w:style w:type="paragraph" w:styleId="5">
    <w:name w:val="Block Text"/>
    <w:basedOn w:val="1"/>
    <w:qFormat/>
    <w:uiPriority w:val="99"/>
    <w:pPr>
      <w:ind w:left="-115" w:leftChars="-36" w:right="-115" w:rightChars="-36" w:firstLine="640" w:firstLineChars="200"/>
    </w:pPr>
    <w:rPr>
      <w:rFonts w:ascii="FangSong_GB2312" w:eastAsia="Times New Roman"/>
      <w:sz w:val="32"/>
      <w:szCs w:val="20"/>
    </w:rPr>
  </w:style>
  <w:style w:type="paragraph" w:styleId="6">
    <w:name w:val="Plain Text"/>
    <w:basedOn w:val="1"/>
    <w:link w:val="33"/>
    <w:qFormat/>
    <w:uiPriority w:val="99"/>
    <w:rPr>
      <w:rFonts w:ascii="宋体" w:hAnsi="Courier New" w:eastAsia="宋体"/>
      <w:sz w:val="21"/>
      <w:szCs w:val="24"/>
    </w:rPr>
  </w:style>
  <w:style w:type="paragraph" w:styleId="7">
    <w:name w:val="Date"/>
    <w:basedOn w:val="1"/>
    <w:next w:val="1"/>
    <w:link w:val="29"/>
    <w:qFormat/>
    <w:uiPriority w:val="99"/>
    <w:pPr>
      <w:ind w:left="100" w:leftChars="2500"/>
    </w:pPr>
  </w:style>
  <w:style w:type="paragraph" w:styleId="8">
    <w:name w:val="Body Text Indent 2"/>
    <w:basedOn w:val="1"/>
    <w:link w:val="30"/>
    <w:qFormat/>
    <w:uiPriority w:val="99"/>
    <w:pPr>
      <w:spacing w:line="560" w:lineRule="atLeast"/>
      <w:ind w:firstLine="645"/>
    </w:pPr>
    <w:rPr>
      <w:rFonts w:ascii="FangSong_GB2312" w:eastAsia="Times New Roman"/>
      <w:sz w:val="32"/>
      <w:szCs w:val="20"/>
    </w:rPr>
  </w:style>
  <w:style w:type="paragraph" w:styleId="9">
    <w:name w:val="footer"/>
    <w:basedOn w:val="1"/>
    <w:link w:val="41"/>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43"/>
    <w:qFormat/>
    <w:uiPriority w:val="99"/>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after="40"/>
      <w:jc w:val="left"/>
    </w:pPr>
    <w:rPr>
      <w:rFonts w:ascii="Times New Roman" w:hAnsi="Times New Roman" w:eastAsia="宋体"/>
      <w:kern w:val="0"/>
      <w:sz w:val="18"/>
      <w:szCs w:val="20"/>
    </w:rPr>
  </w:style>
  <w:style w:type="paragraph" w:styleId="12">
    <w:name w:val="Body Text Indent 3"/>
    <w:basedOn w:val="1"/>
    <w:link w:val="27"/>
    <w:qFormat/>
    <w:uiPriority w:val="99"/>
    <w:pPr>
      <w:spacing w:after="120"/>
      <w:ind w:left="420" w:leftChars="200"/>
    </w:pPr>
    <w:rPr>
      <w:rFonts w:eastAsia="宋体"/>
      <w:sz w:val="16"/>
      <w:szCs w:val="16"/>
    </w:rPr>
  </w:style>
  <w:style w:type="paragraph" w:styleId="13">
    <w:name w:val="Body Text 2"/>
    <w:basedOn w:val="1"/>
    <w:link w:val="35"/>
    <w:qFormat/>
    <w:uiPriority w:val="99"/>
    <w:pPr>
      <w:spacing w:after="120" w:line="480" w:lineRule="auto"/>
    </w:pPr>
  </w:style>
  <w:style w:type="paragraph" w:styleId="14">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table" w:styleId="16">
    <w:name w:val="Table Grid"/>
    <w:basedOn w:val="15"/>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page number"/>
    <w:basedOn w:val="17"/>
    <w:qFormat/>
    <w:uiPriority w:val="99"/>
    <w:rPr>
      <w:rFonts w:ascii="Tahoma" w:hAnsi="Tahoma" w:cs="Tahoma"/>
      <w:sz w:val="24"/>
    </w:rPr>
  </w:style>
  <w:style w:type="character" w:styleId="20">
    <w:name w:val="Hyperlink"/>
    <w:basedOn w:val="17"/>
    <w:qFormat/>
    <w:uiPriority w:val="99"/>
    <w:rPr>
      <w:rFonts w:cs="Times New Roman"/>
      <w:color w:val="0000FF"/>
      <w:u w:val="single"/>
    </w:rPr>
  </w:style>
  <w:style w:type="character" w:customStyle="1" w:styleId="21">
    <w:name w:val="font21"/>
    <w:qFormat/>
    <w:uiPriority w:val="99"/>
    <w:rPr>
      <w:rFonts w:ascii="宋体" w:hAnsi="宋体" w:eastAsia="宋体"/>
      <w:color w:val="000000"/>
      <w:sz w:val="22"/>
      <w:u w:val="none"/>
    </w:rPr>
  </w:style>
  <w:style w:type="character" w:customStyle="1" w:styleId="22">
    <w:name w:val="ca-21"/>
    <w:qFormat/>
    <w:uiPriority w:val="99"/>
    <w:rPr>
      <w:rFonts w:ascii="FangSong_GB2312" w:eastAsia="Times New Roman"/>
      <w:sz w:val="36"/>
    </w:rPr>
  </w:style>
  <w:style w:type="character" w:customStyle="1" w:styleId="23">
    <w:name w:val="font01"/>
    <w:qFormat/>
    <w:uiPriority w:val="99"/>
    <w:rPr>
      <w:rFonts w:ascii="Times New Roman" w:hAnsi="Times New Roman"/>
      <w:color w:val="000000"/>
      <w:sz w:val="22"/>
      <w:u w:val="none"/>
    </w:rPr>
  </w:style>
  <w:style w:type="character" w:customStyle="1" w:styleId="24">
    <w:name w:val="Footer Char"/>
    <w:basedOn w:val="17"/>
    <w:link w:val="9"/>
    <w:semiHidden/>
    <w:qFormat/>
    <w:locked/>
    <w:uiPriority w:val="99"/>
    <w:rPr>
      <w:rFonts w:eastAsia="方正仿宋_GBK" w:cs="Times New Roman"/>
      <w:sz w:val="18"/>
      <w:szCs w:val="18"/>
    </w:rPr>
  </w:style>
  <w:style w:type="character" w:customStyle="1" w:styleId="25">
    <w:name w:val="Header Char"/>
    <w:basedOn w:val="17"/>
    <w:link w:val="10"/>
    <w:semiHidden/>
    <w:qFormat/>
    <w:locked/>
    <w:uiPriority w:val="99"/>
    <w:rPr>
      <w:rFonts w:eastAsia="方正仿宋_GBK" w:cs="Times New Roman"/>
      <w:sz w:val="18"/>
      <w:szCs w:val="18"/>
    </w:rPr>
  </w:style>
  <w:style w:type="paragraph" w:customStyle="1" w:styleId="26">
    <w:name w:val="Char Char Char"/>
    <w:basedOn w:val="1"/>
    <w:qFormat/>
    <w:uiPriority w:val="99"/>
    <w:rPr>
      <w:rFonts w:ascii="Tahoma" w:hAnsi="Tahoma" w:eastAsia="宋体"/>
      <w:sz w:val="24"/>
      <w:szCs w:val="20"/>
    </w:rPr>
  </w:style>
  <w:style w:type="character" w:customStyle="1" w:styleId="27">
    <w:name w:val="Body Text Indent 3 Char"/>
    <w:basedOn w:val="17"/>
    <w:link w:val="12"/>
    <w:semiHidden/>
    <w:qFormat/>
    <w:locked/>
    <w:uiPriority w:val="99"/>
    <w:rPr>
      <w:rFonts w:eastAsia="方正仿宋_GBK" w:cs="Times New Roman"/>
      <w:sz w:val="16"/>
      <w:szCs w:val="16"/>
    </w:rPr>
  </w:style>
  <w:style w:type="character" w:customStyle="1" w:styleId="28">
    <w:name w:val="Body Text Indent Char"/>
    <w:basedOn w:val="17"/>
    <w:link w:val="4"/>
    <w:semiHidden/>
    <w:qFormat/>
    <w:locked/>
    <w:uiPriority w:val="99"/>
    <w:rPr>
      <w:rFonts w:eastAsia="方正仿宋_GBK" w:cs="Times New Roman"/>
      <w:sz w:val="33"/>
      <w:szCs w:val="33"/>
    </w:rPr>
  </w:style>
  <w:style w:type="character" w:customStyle="1" w:styleId="29">
    <w:name w:val="Date Char"/>
    <w:basedOn w:val="17"/>
    <w:link w:val="7"/>
    <w:semiHidden/>
    <w:qFormat/>
    <w:locked/>
    <w:uiPriority w:val="99"/>
    <w:rPr>
      <w:rFonts w:eastAsia="方正仿宋_GBK" w:cs="Times New Roman"/>
      <w:sz w:val="33"/>
      <w:szCs w:val="33"/>
    </w:rPr>
  </w:style>
  <w:style w:type="character" w:customStyle="1" w:styleId="30">
    <w:name w:val="Body Text Indent 2 Char"/>
    <w:basedOn w:val="17"/>
    <w:link w:val="8"/>
    <w:semiHidden/>
    <w:qFormat/>
    <w:locked/>
    <w:uiPriority w:val="99"/>
    <w:rPr>
      <w:rFonts w:eastAsia="方正仿宋_GBK" w:cs="Times New Roman"/>
      <w:sz w:val="33"/>
      <w:szCs w:val="33"/>
    </w:rPr>
  </w:style>
  <w:style w:type="paragraph" w:customStyle="1" w:styleId="31">
    <w:name w:val="pa-2"/>
    <w:basedOn w:val="1"/>
    <w:qFormat/>
    <w:uiPriority w:val="99"/>
    <w:pPr>
      <w:widowControl/>
      <w:spacing w:line="400" w:lineRule="atLeast"/>
      <w:ind w:firstLine="720"/>
    </w:pPr>
    <w:rPr>
      <w:rFonts w:ascii="宋体" w:hAnsi="宋体" w:eastAsia="宋体" w:cs="宋体"/>
      <w:kern w:val="0"/>
      <w:sz w:val="24"/>
      <w:szCs w:val="24"/>
    </w:rPr>
  </w:style>
  <w:style w:type="character" w:customStyle="1" w:styleId="32">
    <w:name w:val="Body Text Char"/>
    <w:basedOn w:val="17"/>
    <w:link w:val="3"/>
    <w:semiHidden/>
    <w:qFormat/>
    <w:locked/>
    <w:uiPriority w:val="99"/>
    <w:rPr>
      <w:rFonts w:eastAsia="方正仿宋_GBK" w:cs="Times New Roman"/>
      <w:sz w:val="33"/>
      <w:szCs w:val="33"/>
    </w:rPr>
  </w:style>
  <w:style w:type="character" w:customStyle="1" w:styleId="33">
    <w:name w:val="Plain Text Char"/>
    <w:basedOn w:val="17"/>
    <w:link w:val="6"/>
    <w:semiHidden/>
    <w:qFormat/>
    <w:locked/>
    <w:uiPriority w:val="99"/>
    <w:rPr>
      <w:rFonts w:ascii="宋体" w:hAnsi="Courier New" w:cs="Courier New"/>
      <w:sz w:val="21"/>
      <w:szCs w:val="21"/>
    </w:rPr>
  </w:style>
  <w:style w:type="paragraph" w:customStyle="1" w:styleId="34">
    <w:name w:val="p0"/>
    <w:basedOn w:val="1"/>
    <w:qFormat/>
    <w:uiPriority w:val="99"/>
    <w:pPr>
      <w:widowControl/>
    </w:pPr>
    <w:rPr>
      <w:rFonts w:eastAsia="宋体"/>
      <w:kern w:val="0"/>
      <w:sz w:val="21"/>
      <w:szCs w:val="21"/>
    </w:rPr>
  </w:style>
  <w:style w:type="character" w:customStyle="1" w:styleId="35">
    <w:name w:val="Body Text 2 Char"/>
    <w:basedOn w:val="17"/>
    <w:link w:val="13"/>
    <w:semiHidden/>
    <w:qFormat/>
    <w:locked/>
    <w:uiPriority w:val="99"/>
    <w:rPr>
      <w:rFonts w:eastAsia="方正仿宋_GBK" w:cs="Times New Roman"/>
      <w:sz w:val="33"/>
      <w:szCs w:val="33"/>
    </w:rPr>
  </w:style>
  <w:style w:type="paragraph" w:customStyle="1" w:styleId="36">
    <w:name w:val="Char Char Char Char Char Char Char Char Char Char Char Char Char Char Char Char Char Char Char Char Char Char"/>
    <w:basedOn w:val="1"/>
    <w:qFormat/>
    <w:uiPriority w:val="99"/>
    <w:rPr>
      <w:rFonts w:eastAsia="宋体"/>
      <w:sz w:val="21"/>
      <w:szCs w:val="24"/>
    </w:rPr>
  </w:style>
  <w:style w:type="paragraph" w:customStyle="1" w:styleId="37">
    <w:name w:val="Char Char Char Char"/>
    <w:basedOn w:val="1"/>
    <w:qFormat/>
    <w:uiPriority w:val="99"/>
    <w:rPr>
      <w:rFonts w:ascii="Tahoma" w:hAnsi="Tahoma" w:cs="Tahoma"/>
      <w:sz w:val="24"/>
    </w:rPr>
  </w:style>
  <w:style w:type="paragraph" w:customStyle="1" w:styleId="38">
    <w:name w:val="Char"/>
    <w:basedOn w:val="1"/>
    <w:qFormat/>
    <w:uiPriority w:val="99"/>
    <w:pPr>
      <w:spacing w:before="100" w:beforeAutospacing="1" w:after="100" w:afterAutospacing="1"/>
    </w:pPr>
    <w:rPr>
      <w:rFonts w:ascii="FangSong_GB2312" w:eastAsia="Times New Roman"/>
      <w:b/>
      <w:sz w:val="32"/>
      <w:szCs w:val="32"/>
    </w:rPr>
  </w:style>
  <w:style w:type="paragraph" w:customStyle="1" w:styleId="39">
    <w:name w:val="Char1 Char Char Char"/>
    <w:basedOn w:val="1"/>
    <w:qFormat/>
    <w:uiPriority w:val="99"/>
    <w:pPr>
      <w:widowControl/>
      <w:spacing w:after="160" w:line="240" w:lineRule="exact"/>
      <w:jc w:val="left"/>
    </w:pPr>
    <w:rPr>
      <w:rFonts w:eastAsia="宋体"/>
      <w:sz w:val="21"/>
      <w:szCs w:val="24"/>
    </w:rPr>
  </w:style>
  <w:style w:type="paragraph" w:customStyle="1" w:styleId="40">
    <w:name w:val="普通(网站)1"/>
    <w:basedOn w:val="1"/>
    <w:qFormat/>
    <w:uiPriority w:val="99"/>
    <w:pPr>
      <w:jc w:val="left"/>
    </w:pPr>
    <w:rPr>
      <w:rFonts w:eastAsia="宋体"/>
      <w:sz w:val="24"/>
      <w:szCs w:val="24"/>
    </w:rPr>
  </w:style>
  <w:style w:type="character" w:customStyle="1" w:styleId="41">
    <w:name w:val="Footer Char1"/>
    <w:basedOn w:val="17"/>
    <w:link w:val="9"/>
    <w:qFormat/>
    <w:locked/>
    <w:uiPriority w:val="99"/>
    <w:rPr>
      <w:rFonts w:ascii="Calibri" w:hAnsi="Calibri" w:eastAsia="方正仿宋_GBK" w:cs="Times New Roman"/>
      <w:kern w:val="2"/>
      <w:sz w:val="18"/>
      <w:szCs w:val="18"/>
      <w:lang w:val="en-US" w:eastAsia="zh-CN" w:bidi="ar-SA"/>
    </w:rPr>
  </w:style>
  <w:style w:type="paragraph" w:customStyle="1" w:styleId="42">
    <w:name w:val="Normal Indent1"/>
    <w:basedOn w:val="1"/>
    <w:qFormat/>
    <w:uiPriority w:val="99"/>
    <w:pPr>
      <w:ind w:firstLine="200" w:firstLineChars="200"/>
    </w:pPr>
    <w:rPr>
      <w:rFonts w:ascii="Times New Roman" w:hAnsi="Times New Roman" w:eastAsia="宋体"/>
      <w:sz w:val="21"/>
      <w:szCs w:val="20"/>
    </w:rPr>
  </w:style>
  <w:style w:type="character" w:customStyle="1" w:styleId="43">
    <w:name w:val="Footnote Text Char"/>
    <w:basedOn w:val="17"/>
    <w:link w:val="11"/>
    <w:semiHidden/>
    <w:qFormat/>
    <w:uiPriority w:val="99"/>
    <w:rPr>
      <w:rFonts w:eastAsia="方正仿宋_GBK"/>
      <w:sz w:val="18"/>
      <w:szCs w:val="18"/>
    </w:rPr>
  </w:style>
  <w:style w:type="paragraph" w:styleId="44">
    <w:name w:val="List Paragraph"/>
    <w:basedOn w:val="1"/>
    <w:qFormat/>
    <w:uiPriority w:val="99"/>
    <w:pPr>
      <w:ind w:firstLine="420" w:firstLineChars="200"/>
    </w:pPr>
    <w:rPr>
      <w:rFonts w:ascii="Times New Roman" w:hAnsi="Times New Roman" w:eastAsia="宋体"/>
      <w:sz w:val="21"/>
      <w:szCs w:val="20"/>
    </w:rPr>
  </w:style>
  <w:style w:type="character" w:customStyle="1" w:styleId="45">
    <w:name w:val="NormalCharacter"/>
    <w:qFormat/>
    <w:uiPriority w:val="99"/>
    <w:rPr>
      <w:rFonts w:ascii="Calibri" w:hAnsi="Calibri" w:eastAsia="宋体"/>
      <w:kern w:val="2"/>
      <w:sz w:val="24"/>
      <w:lang w:val="en-US" w:eastAsia="zh-CN"/>
    </w:rPr>
  </w:style>
  <w:style w:type="paragraph" w:customStyle="1" w:styleId="46">
    <w:name w:val="正文1"/>
    <w:next w:val="47"/>
    <w:link w:val="51"/>
    <w:qFormat/>
    <w:uiPriority w:val="99"/>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594" w:lineRule="exact"/>
      <w:ind w:firstLine="880" w:firstLineChars="200"/>
      <w:jc w:val="both"/>
    </w:pPr>
    <w:rPr>
      <w:rFonts w:ascii="Calibri" w:hAnsi="Calibri" w:eastAsia="方正仿宋_GBK" w:cs="Times New Roman"/>
      <w:kern w:val="0"/>
      <w:sz w:val="32"/>
      <w:szCs w:val="24"/>
      <w:lang w:val="en-US" w:eastAsia="zh-CN" w:bidi="ar-SA"/>
    </w:rPr>
  </w:style>
  <w:style w:type="paragraph" w:customStyle="1" w:styleId="47">
    <w:name w:val="正文文本1"/>
    <w:basedOn w:val="46"/>
    <w:qFormat/>
    <w:uiPriority w:val="99"/>
    <w:pPr>
      <w:spacing w:line="560" w:lineRule="exact"/>
      <w:jc w:val="left"/>
    </w:pPr>
    <w:rPr>
      <w:rFonts w:ascii="黑体" w:hAnsi="??_GB2312" w:eastAsia="黑体"/>
      <w:szCs w:val="20"/>
    </w:rPr>
  </w:style>
  <w:style w:type="paragraph" w:customStyle="1" w:styleId="48">
    <w:name w:val="BodyText"/>
    <w:basedOn w:val="1"/>
    <w:qFormat/>
    <w:uiPriority w:val="99"/>
    <w:pPr>
      <w:spacing w:line="560" w:lineRule="exact"/>
      <w:textAlignment w:val="baseline"/>
    </w:pPr>
    <w:rPr>
      <w:rFonts w:ascii="黑体" w:hAnsi="FangSong_GB2312" w:eastAsia="黑体"/>
      <w:sz w:val="32"/>
      <w:szCs w:val="20"/>
    </w:rPr>
  </w:style>
  <w:style w:type="paragraph" w:customStyle="1" w:styleId="49">
    <w:name w:val="页眉1"/>
    <w:basedOn w:val="46"/>
    <w:qFormat/>
    <w:uiPriority w:val="99"/>
    <w:pPr>
      <w:pBdr>
        <w:top w:val="none" w:color="000000" w:sz="0" w:space="1"/>
        <w:left w:val="none" w:color="000000" w:sz="0" w:space="4"/>
        <w:bottom w:val="none" w:color="000000" w:sz="0" w:space="1"/>
        <w:right w:val="none" w:color="000000" w:sz="0" w:space="4"/>
      </w:pBdr>
      <w:tabs>
        <w:tab w:val="center" w:pos="4153"/>
        <w:tab w:val="right" w:pos="8306"/>
      </w:tabs>
      <w:spacing w:line="240" w:lineRule="auto"/>
    </w:pPr>
    <w:rPr>
      <w:sz w:val="18"/>
    </w:rPr>
  </w:style>
  <w:style w:type="paragraph" w:customStyle="1" w:styleId="50">
    <w:name w:val="页脚1"/>
    <w:basedOn w:val="46"/>
    <w:qFormat/>
    <w:uiPriority w:val="99"/>
    <w:pPr>
      <w:tabs>
        <w:tab w:val="center" w:pos="4153"/>
        <w:tab w:val="right" w:pos="8306"/>
      </w:tabs>
      <w:jc w:val="left"/>
    </w:pPr>
    <w:rPr>
      <w:sz w:val="18"/>
    </w:rPr>
  </w:style>
  <w:style w:type="character" w:customStyle="1" w:styleId="51">
    <w:name w:val="页码1"/>
    <w:basedOn w:val="17"/>
    <w:link w:val="46"/>
    <w:qFormat/>
    <w:locked/>
    <w:uiPriority w:val="99"/>
    <w:rPr>
      <w:rFonts w:ascii="Calibri" w:hAnsi="Calibri" w:eastAsia="方正仿宋_GBK"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WwW.YlmF.CoM</Company>
  <Pages>18</Pages>
  <Words>1169</Words>
  <Characters>6668</Characters>
  <Lines>0</Lines>
  <Paragraphs>0</Paragraphs>
  <TotalTime>28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2022-10-25T18:27:00Z</dcterms:created>
  <dc:creator>雨林木风</dc:creator>
  <cp:lastModifiedBy>司法局收文员</cp:lastModifiedBy>
  <cp:lastPrinted>2022-04-27T01:40:00Z</cp:lastPrinted>
  <dcterms:modified xsi:type="dcterms:W3CDTF">2023-01-07T17:44:49Z</dcterms:modified>
  <dc:title>№ 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