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NewRoman" w:hAnsi="TimesNewRoman" w:eastAsia="方正小标宋_GBK" w:cs="TimesNewRoman"/>
          <w:sz w:val="44"/>
          <w:szCs w:val="44"/>
        </w:rPr>
      </w:pPr>
      <w:r>
        <w:rPr>
          <w:rFonts w:hint="eastAsia" w:ascii="TimesNewRoman" w:hAnsi="TimesNewRoman" w:eastAsia="方正小标宋_GBK" w:cs="TimesNewRoman"/>
          <w:sz w:val="44"/>
          <w:szCs w:val="44"/>
        </w:rPr>
        <w:t>重庆市垫江县司法局（本级）</w:t>
      </w:r>
    </w:p>
    <w:p>
      <w:pPr>
        <w:spacing w:line="594" w:lineRule="exact"/>
        <w:jc w:val="center"/>
        <w:rPr>
          <w:rFonts w:ascii="TimesNewRoman" w:hAnsi="TimesNewRoman" w:eastAsia="方正小标宋_GBK" w:cs="TimesNewRoman"/>
          <w:sz w:val="44"/>
          <w:szCs w:val="44"/>
        </w:rPr>
      </w:pPr>
      <w:r>
        <w:rPr>
          <w:rFonts w:ascii="TimesNewRoman" w:hAnsi="TimesNewRoman" w:eastAsia="方正小标宋_GBK" w:cs="TimesNewRoman"/>
          <w:sz w:val="44"/>
          <w:szCs w:val="44"/>
        </w:rPr>
        <w:t>2021</w:t>
      </w:r>
      <w:r>
        <w:rPr>
          <w:rFonts w:hint="eastAsia" w:ascii="TimesNewRoman" w:hAnsi="TimesNewRoman" w:eastAsia="方正小标宋_GBK" w:cs="TimesNewRoman"/>
          <w:sz w:val="44"/>
          <w:szCs w:val="44"/>
        </w:rPr>
        <w:t>年度部门决算补充公开的情况说明</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 xml:space="preserve">  </w:t>
      </w:r>
    </w:p>
    <w:p>
      <w:pPr>
        <w:spacing w:line="594" w:lineRule="exact"/>
        <w:ind w:firstLine="640" w:firstLineChars="200"/>
        <w:jc w:val="both"/>
        <w:rPr>
          <w:rFonts w:ascii="TimesNewRoman" w:hAnsi="TimesNewRoman" w:eastAsia="方正黑体_GBK" w:cs="TimesNewRoman"/>
          <w:sz w:val="32"/>
          <w:szCs w:val="32"/>
        </w:rPr>
      </w:pPr>
      <w:r>
        <w:rPr>
          <w:rFonts w:hint="eastAsia" w:ascii="TimesNewRoman" w:hAnsi="TimesNewRoman" w:eastAsia="方正黑体_GBK" w:cs="TimesNewRoman"/>
          <w:sz w:val="32"/>
          <w:szCs w:val="32"/>
        </w:rPr>
        <w:t>一、部门基本情况</w:t>
      </w:r>
    </w:p>
    <w:p>
      <w:pPr>
        <w:spacing w:line="594"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（一）职能职责</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1.</w:t>
      </w:r>
      <w:r>
        <w:rPr>
          <w:rFonts w:hint="eastAsia" w:ascii="TimesNewRoman" w:hAnsi="TimesNewRoman" w:eastAsia="方正仿宋_GBK" w:cs="TimesNewRoman"/>
          <w:sz w:val="32"/>
          <w:szCs w:val="32"/>
        </w:rPr>
        <w:t>承担全面依法治县重大问题的政策研究，协调有关方面提出全面依法治县中长期规划建议，负责有关重大决策部署督察和考核工作。</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2.</w:t>
      </w:r>
      <w:r>
        <w:rPr>
          <w:rFonts w:hint="eastAsia" w:ascii="TimesNewRoman" w:hAnsi="TimesNewRoman" w:eastAsia="方正仿宋_GBK" w:cs="TimesNewRoman"/>
          <w:sz w:val="32"/>
          <w:szCs w:val="32"/>
        </w:rPr>
        <w:t>负责协调乡镇（街道）和部门实施法律、法规、规章中的有关争议和问题。负责县政府及县政府办公室规范性文件的合法性审查，负责乡镇政府（街道办事处）和县政府部门规范性文件的备案审查工作。承办县政府规范性文件的解释工作。组织开展规范性文件清理工作。</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3.</w:t>
      </w:r>
      <w:r>
        <w:rPr>
          <w:rFonts w:hint="eastAsia" w:ascii="TimesNewRoman" w:hAnsi="TimesNewRoman" w:eastAsia="方正仿宋_GBK" w:cs="TimesNewRoman"/>
          <w:sz w:val="32"/>
          <w:szCs w:val="32"/>
        </w:rPr>
        <w:t>承担统筹推进法治政府建设的责任。指导、监督全县依法行政工作。承担推进行政执法体制改革有关工作，负责综合协调行政执法，推进严格规范公正文明执法。承办县政府管辖的行政复议、国家赔偿案件，以及由此引起的行政诉讼案件。负责垫江县司法局管辖的行政复议、国家赔偿、行政应诉工作。指导、监督全县行政复议、国家赔偿、行政应诉和行政裁决工作。</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4.</w:t>
      </w:r>
      <w:r>
        <w:rPr>
          <w:rFonts w:hint="eastAsia" w:ascii="TimesNewRoman" w:hAnsi="TimesNewRoman" w:eastAsia="方正仿宋_GBK" w:cs="TimesNewRoman"/>
          <w:sz w:val="32"/>
          <w:szCs w:val="32"/>
        </w:rPr>
        <w:t>推进法治社会建设。负责拟订法治宣传教育规划，组织实施普法宣传工作。指导依法治理和法治创建工作。</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5.</w:t>
      </w:r>
      <w:r>
        <w:rPr>
          <w:rFonts w:hint="eastAsia" w:ascii="TimesNewRoman" w:hAnsi="TimesNewRoman" w:eastAsia="方正仿宋_GBK" w:cs="TimesNewRoman"/>
          <w:sz w:val="32"/>
          <w:szCs w:val="32"/>
        </w:rPr>
        <w:t>推动人民参与和促进法治建设。指导人民调解工作。负责人民陪审员、人民监督员选任管理工作。推进司法所建设。</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6.</w:t>
      </w:r>
      <w:r>
        <w:rPr>
          <w:rFonts w:hint="eastAsia" w:ascii="TimesNewRoman" w:hAnsi="TimesNewRoman" w:eastAsia="方正仿宋_GBK" w:cs="TimesNewRoman"/>
          <w:sz w:val="32"/>
          <w:szCs w:val="32"/>
        </w:rPr>
        <w:t>指导、管理社区矫正工作。指导安置帮教工作。</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7.</w:t>
      </w:r>
      <w:r>
        <w:rPr>
          <w:rFonts w:hint="eastAsia" w:ascii="TimesNewRoman" w:hAnsi="TimesNewRoman" w:eastAsia="方正仿宋_GBK" w:cs="TimesNewRoman"/>
          <w:sz w:val="32"/>
          <w:szCs w:val="32"/>
        </w:rPr>
        <w:t>指导实施全县公共法律服务体系建设，统筹和布局城乡、区域法律服务资源。指导和监督律师、法律援助、司法鉴定、公证、基层法律服务管理工作。指导全县法律顾问工作。负责全县司法考试宣传、备案工作。</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8.</w:t>
      </w:r>
      <w:r>
        <w:rPr>
          <w:rFonts w:hint="eastAsia" w:ascii="TimesNewRoman" w:hAnsi="TimesNewRoman" w:eastAsia="方正仿宋_GBK" w:cs="TimesNewRoman"/>
          <w:sz w:val="32"/>
          <w:szCs w:val="32"/>
        </w:rPr>
        <w:t>规划、协调、指导全县法治人才队伍建设相关工作。负责本系统队伍建设工作。负责机关、直属单位和法律服务行业党建工作。负责本系统政务管理和政务督察工作。</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9.</w:t>
      </w:r>
      <w:r>
        <w:rPr>
          <w:rFonts w:hint="eastAsia" w:ascii="TimesNewRoman" w:hAnsi="TimesNewRoman" w:eastAsia="方正仿宋_GBK" w:cs="TimesNewRoman"/>
          <w:sz w:val="32"/>
          <w:szCs w:val="32"/>
        </w:rPr>
        <w:t>负责本系统信息化建设和应急处突指挥工作。</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10.</w:t>
      </w:r>
      <w:r>
        <w:rPr>
          <w:rFonts w:hint="eastAsia" w:ascii="TimesNewRoman" w:hAnsi="TimesNewRoman" w:eastAsia="方正仿宋_GBK" w:cs="TimesNewRoman"/>
          <w:sz w:val="32"/>
          <w:szCs w:val="32"/>
        </w:rPr>
        <w:t>完成县委、县政府交办的其他任务。</w:t>
      </w:r>
    </w:p>
    <w:p>
      <w:pPr>
        <w:spacing w:line="594"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（二）机构设置</w:t>
      </w:r>
    </w:p>
    <w:p>
      <w:pPr>
        <w:spacing w:line="594"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仿宋_GBK" w:cs="TimesNewRoman"/>
          <w:sz w:val="32"/>
          <w:szCs w:val="32"/>
        </w:rPr>
        <w:t>垫江县司法局内设机构七个，分别是：办公室；政治处；社区矫正管理科；人民参与和促进法治科；公共法律服务管理科；依法治县办秘书科；法制监督科。</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26</w:t>
      </w:r>
      <w:r>
        <w:rPr>
          <w:rFonts w:hint="eastAsia" w:ascii="TimesNewRoman" w:hAnsi="TimesNewRoman" w:eastAsia="方正仿宋_GBK" w:cs="TimesNewRoman"/>
          <w:sz w:val="32"/>
          <w:szCs w:val="32"/>
        </w:rPr>
        <w:t>个乡镇（街道）司法所（派出机构）。</w:t>
      </w:r>
    </w:p>
    <w:p>
      <w:pPr>
        <w:spacing w:line="594"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（三）单位构成</w:t>
      </w:r>
    </w:p>
    <w:p>
      <w:pPr>
        <w:spacing w:line="594"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仿宋_GBK" w:cs="TimesNewRoman"/>
          <w:sz w:val="32"/>
          <w:szCs w:val="32"/>
        </w:rPr>
        <w:t>本单位由垫江县司法局本级构成。</w:t>
      </w:r>
      <w:r>
        <w:rPr>
          <w:rFonts w:ascii="TimesNewRoman" w:hAnsi="TimesNewRoman" w:eastAsia="方正仿宋_GBK" w:cs="TimesNewRoman"/>
          <w:sz w:val="32"/>
          <w:szCs w:val="32"/>
        </w:rPr>
        <w:t> </w:t>
      </w:r>
    </w:p>
    <w:p>
      <w:pPr>
        <w:spacing w:line="594" w:lineRule="exact"/>
        <w:ind w:firstLine="640" w:firstLineChars="200"/>
        <w:jc w:val="both"/>
        <w:rPr>
          <w:rFonts w:ascii="TimesNewRoman" w:hAnsi="TimesNewRoman" w:eastAsia="方正黑体_GBK" w:cs="TimesNewRoman"/>
          <w:sz w:val="32"/>
          <w:szCs w:val="32"/>
        </w:rPr>
      </w:pPr>
      <w:r>
        <w:rPr>
          <w:rFonts w:hint="eastAsia" w:ascii="TimesNewRoman" w:hAnsi="TimesNewRoman" w:eastAsia="方正黑体_GBK" w:cs="TimesNewRoman"/>
          <w:sz w:val="32"/>
          <w:szCs w:val="32"/>
        </w:rPr>
        <w:t>二、部门决算情况说明</w:t>
      </w:r>
    </w:p>
    <w:p>
      <w:pPr>
        <w:spacing w:line="594"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（一）收入支出决算总体情况说明</w:t>
      </w:r>
    </w:p>
    <w:p>
      <w:pPr>
        <w:spacing w:line="594" w:lineRule="exact"/>
        <w:ind w:firstLine="642" w:firstLineChars="200"/>
        <w:jc w:val="both"/>
        <w:rPr>
          <w:rFonts w:ascii="TimesNewRoman" w:hAnsi="TimesNewRoman" w:eastAsia="方正楷体_GBK" w:cs="TimesNewRoman"/>
          <w:sz w:val="32"/>
          <w:szCs w:val="32"/>
        </w:rPr>
      </w:pPr>
      <w:r>
        <w:rPr>
          <w:rFonts w:ascii="TimesNewRoman" w:hAnsi="TimesNewRoman" w:eastAsia="方正仿宋_GBK" w:cs="TimesNewRoman"/>
          <w:b/>
          <w:bCs/>
          <w:sz w:val="32"/>
          <w:szCs w:val="32"/>
        </w:rPr>
        <w:t>1.</w:t>
      </w:r>
      <w:r>
        <w:rPr>
          <w:rFonts w:hint="eastAsia" w:ascii="TimesNewRoman" w:hAnsi="TimesNewRoman" w:eastAsia="方正仿宋_GBK" w:cs="TimesNewRoman"/>
          <w:b/>
          <w:bCs/>
          <w:sz w:val="32"/>
          <w:szCs w:val="32"/>
        </w:rPr>
        <w:t>总体情况。</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年度收入总计</w:t>
      </w:r>
      <w:r>
        <w:rPr>
          <w:rFonts w:ascii="TimesNewRoman" w:hAnsi="TimesNewRoman" w:eastAsia="方正仿宋_GBK" w:cs="TimesNewRoman"/>
          <w:sz w:val="32"/>
          <w:szCs w:val="32"/>
        </w:rPr>
        <w:t>2,000.49</w:t>
      </w:r>
      <w:r>
        <w:rPr>
          <w:rFonts w:hint="eastAsia" w:ascii="TimesNewRoman" w:hAnsi="TimesNewRoman" w:eastAsia="方正仿宋_GBK" w:cs="TimesNewRoman"/>
          <w:sz w:val="32"/>
          <w:szCs w:val="32"/>
        </w:rPr>
        <w:t>万元，支出总计</w:t>
      </w:r>
      <w:r>
        <w:rPr>
          <w:rFonts w:ascii="TimesNewRoman" w:hAnsi="TimesNewRoman" w:eastAsia="方正仿宋_GBK" w:cs="TimesNewRoman"/>
          <w:sz w:val="32"/>
          <w:szCs w:val="32"/>
        </w:rPr>
        <w:t>2,000.49</w:t>
      </w:r>
      <w:r>
        <w:rPr>
          <w:rFonts w:hint="eastAsia" w:ascii="TimesNewRoman" w:hAnsi="TimesNewRoman" w:eastAsia="方正仿宋_GBK" w:cs="TimesNewRoman"/>
          <w:sz w:val="32"/>
          <w:szCs w:val="32"/>
        </w:rPr>
        <w:t>万元。收支较上年决算数减少</w:t>
      </w:r>
      <w:r>
        <w:rPr>
          <w:rFonts w:ascii="TimesNewRoman" w:hAnsi="TimesNewRoman" w:eastAsia="方正仿宋_GBK" w:cs="TimesNewRoman"/>
          <w:sz w:val="32"/>
          <w:szCs w:val="32"/>
        </w:rPr>
        <w:t>2.61</w:t>
      </w:r>
      <w:r>
        <w:rPr>
          <w:rFonts w:hint="eastAsia" w:ascii="TimesNewRoman" w:hAnsi="TimesNewRoman" w:eastAsia="方正仿宋_GBK" w:cs="TimesNewRoman"/>
          <w:sz w:val="32"/>
          <w:szCs w:val="32"/>
        </w:rPr>
        <w:t>万元、下降</w:t>
      </w:r>
      <w:r>
        <w:rPr>
          <w:rFonts w:ascii="TimesNewRoman" w:hAnsi="TimesNewRoman" w:eastAsia="方正仿宋_GBK" w:cs="TimesNewRoman"/>
          <w:sz w:val="32"/>
          <w:szCs w:val="32"/>
        </w:rPr>
        <w:t>0.1%</w:t>
      </w:r>
      <w:r>
        <w:rPr>
          <w:rFonts w:hint="eastAsia" w:ascii="TimesNewRoman" w:hAnsi="TimesNewRoman" w:eastAsia="方正仿宋_GBK" w:cs="TimesNewRoman"/>
          <w:sz w:val="32"/>
          <w:szCs w:val="32"/>
        </w:rPr>
        <w:t>，主要原因是人员变动。</w:t>
      </w:r>
    </w:p>
    <w:p>
      <w:pPr>
        <w:spacing w:line="594" w:lineRule="exact"/>
        <w:ind w:firstLine="642" w:firstLineChars="200"/>
        <w:jc w:val="both"/>
        <w:rPr>
          <w:rFonts w:ascii="TimesNewRoman" w:hAnsi="TimesNewRoman" w:eastAsia="方正楷体_GBK" w:cs="TimesNewRoman"/>
          <w:sz w:val="32"/>
          <w:szCs w:val="32"/>
        </w:rPr>
      </w:pPr>
      <w:r>
        <w:rPr>
          <w:rFonts w:ascii="TimesNewRoman" w:hAnsi="TimesNewRoman" w:eastAsia="方正仿宋_GBK" w:cs="TimesNewRoman"/>
          <w:b/>
          <w:bCs/>
          <w:sz w:val="32"/>
          <w:szCs w:val="32"/>
        </w:rPr>
        <w:t>2.</w:t>
      </w:r>
      <w:r>
        <w:rPr>
          <w:rFonts w:hint="eastAsia" w:ascii="TimesNewRoman" w:hAnsi="TimesNewRoman" w:eastAsia="方正仿宋_GBK" w:cs="TimesNewRoman"/>
          <w:b/>
          <w:bCs/>
          <w:sz w:val="32"/>
          <w:szCs w:val="32"/>
        </w:rPr>
        <w:t>收入情况。</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年度收入合计</w:t>
      </w:r>
      <w:r>
        <w:rPr>
          <w:rFonts w:ascii="TimesNewRoman" w:hAnsi="TimesNewRoman" w:eastAsia="方正仿宋_GBK" w:cs="TimesNewRoman"/>
          <w:sz w:val="32"/>
          <w:szCs w:val="32"/>
        </w:rPr>
        <w:t>1,975.73</w:t>
      </w:r>
      <w:r>
        <w:rPr>
          <w:rFonts w:hint="eastAsia" w:ascii="TimesNewRoman" w:hAnsi="TimesNewRoman" w:eastAsia="方正仿宋_GBK" w:cs="TimesNewRoman"/>
          <w:sz w:val="32"/>
          <w:szCs w:val="32"/>
        </w:rPr>
        <w:t>万元，较上年决算数增加</w:t>
      </w:r>
      <w:r>
        <w:rPr>
          <w:rFonts w:ascii="TimesNewRoman" w:hAnsi="TimesNewRoman" w:eastAsia="方正仿宋_GBK" w:cs="TimesNewRoman"/>
          <w:sz w:val="32"/>
          <w:szCs w:val="32"/>
        </w:rPr>
        <w:t>81.66</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4.3%</w:t>
      </w:r>
      <w:r>
        <w:rPr>
          <w:rFonts w:hint="eastAsia" w:ascii="TimesNewRoman" w:hAnsi="TimesNewRoman" w:eastAsia="方正仿宋_GBK" w:cs="TimesNewRoman"/>
          <w:sz w:val="32"/>
          <w:szCs w:val="32"/>
        </w:rPr>
        <w:t>，主要原因是上级转移支付增加、人员调资等。其中：财政拨款收入</w:t>
      </w:r>
      <w:r>
        <w:rPr>
          <w:rFonts w:ascii="TimesNewRoman" w:hAnsi="TimesNewRoman" w:eastAsia="方正仿宋_GBK" w:cs="TimesNewRoman"/>
          <w:sz w:val="32"/>
          <w:szCs w:val="32"/>
        </w:rPr>
        <w:t>1,975.37</w:t>
      </w:r>
      <w:r>
        <w:rPr>
          <w:rFonts w:hint="eastAsia" w:ascii="TimesNewRoman" w:hAnsi="TimesNewRoman" w:eastAsia="方正仿宋_GBK" w:cs="TimesNewRoman"/>
          <w:sz w:val="32"/>
          <w:szCs w:val="32"/>
        </w:rPr>
        <w:t>万元，占</w:t>
      </w:r>
      <w:r>
        <w:rPr>
          <w:rFonts w:ascii="TimesNewRoman" w:hAnsi="TimesNewRoman" w:eastAsia="方正仿宋_GBK" w:cs="TimesNewRoman"/>
          <w:sz w:val="32"/>
          <w:szCs w:val="32"/>
        </w:rPr>
        <w:t>100%</w:t>
      </w:r>
      <w:r>
        <w:rPr>
          <w:rFonts w:hint="eastAsia" w:ascii="TimesNewRoman" w:hAnsi="TimesNewRoman" w:eastAsia="方正仿宋_GBK" w:cs="TimesNewRoman"/>
          <w:sz w:val="32"/>
          <w:szCs w:val="32"/>
        </w:rPr>
        <w:t>；年初结转和结余</w:t>
      </w:r>
      <w:r>
        <w:rPr>
          <w:rFonts w:ascii="TimesNewRoman" w:hAnsi="TimesNewRoman" w:eastAsia="方正仿宋_GBK" w:cs="TimesNewRoman"/>
          <w:sz w:val="32"/>
          <w:szCs w:val="32"/>
        </w:rPr>
        <w:t>24.77</w:t>
      </w:r>
      <w:r>
        <w:rPr>
          <w:rFonts w:hint="eastAsia" w:ascii="TimesNewRoman" w:hAnsi="TimesNewRoman" w:eastAsia="方正仿宋_GBK" w:cs="TimesNewRoman"/>
          <w:sz w:val="32"/>
          <w:szCs w:val="32"/>
        </w:rPr>
        <w:t>万元。</w:t>
      </w:r>
      <w:r>
        <w:rPr>
          <w:rFonts w:ascii="TimesNewRoman" w:hAnsi="TimesNewRoman" w:eastAsia="方正仿宋_GBK" w:cs="TimesNewRoman"/>
          <w:sz w:val="32"/>
          <w:szCs w:val="32"/>
        </w:rPr>
        <w:t xml:space="preserve">  </w:t>
      </w:r>
    </w:p>
    <w:p>
      <w:pPr>
        <w:spacing w:line="594" w:lineRule="exact"/>
        <w:ind w:firstLine="642" w:firstLineChars="200"/>
        <w:jc w:val="both"/>
        <w:rPr>
          <w:rFonts w:ascii="TimesNewRoman" w:hAnsi="TimesNewRoman" w:eastAsia="方正仿宋_GBK" w:cs="TimesNewRoman"/>
          <w:sz w:val="32"/>
          <w:szCs w:val="32"/>
        </w:rPr>
      </w:pPr>
      <w:r>
        <w:rPr>
          <w:rFonts w:ascii="TimesNewRoman" w:hAnsi="TimesNewRoman" w:eastAsia="方正仿宋_GBK" w:cs="TimesNewRoman"/>
          <w:b/>
          <w:bCs/>
          <w:sz w:val="32"/>
          <w:szCs w:val="32"/>
        </w:rPr>
        <w:t>3.</w:t>
      </w:r>
      <w:r>
        <w:rPr>
          <w:rFonts w:hint="eastAsia" w:ascii="TimesNewRoman" w:hAnsi="TimesNewRoman" w:eastAsia="方正仿宋_GBK" w:cs="TimesNewRoman"/>
          <w:b/>
          <w:bCs/>
          <w:sz w:val="32"/>
          <w:szCs w:val="32"/>
        </w:rPr>
        <w:t>支出情况。</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年度支出合计</w:t>
      </w:r>
      <w:r>
        <w:rPr>
          <w:rFonts w:ascii="TimesNewRoman" w:hAnsi="TimesNewRoman" w:eastAsia="方正仿宋_GBK" w:cs="TimesNewRoman"/>
          <w:sz w:val="32"/>
          <w:szCs w:val="32"/>
        </w:rPr>
        <w:t>2,000.05</w:t>
      </w:r>
      <w:r>
        <w:rPr>
          <w:rFonts w:hint="eastAsia" w:ascii="TimesNewRoman" w:hAnsi="TimesNewRoman" w:eastAsia="方正仿宋_GBK" w:cs="TimesNewRoman"/>
          <w:sz w:val="32"/>
          <w:szCs w:val="32"/>
        </w:rPr>
        <w:t>万元，较上年决算数增加</w:t>
      </w:r>
      <w:r>
        <w:rPr>
          <w:rFonts w:ascii="TimesNewRoman" w:hAnsi="TimesNewRoman" w:eastAsia="方正仿宋_GBK" w:cs="TimesNewRoman"/>
          <w:sz w:val="32"/>
          <w:szCs w:val="32"/>
        </w:rPr>
        <w:t>1.77</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0.1%</w:t>
      </w:r>
      <w:r>
        <w:rPr>
          <w:rFonts w:hint="eastAsia" w:ascii="TimesNewRoman" w:hAnsi="TimesNewRoman" w:eastAsia="方正仿宋_GBK" w:cs="TimesNewRoman"/>
          <w:sz w:val="32"/>
          <w:szCs w:val="32"/>
        </w:rPr>
        <w:t>，主要原因是人员调资、年休假等：基本支出</w:t>
      </w:r>
      <w:r>
        <w:rPr>
          <w:rFonts w:ascii="TimesNewRoman" w:hAnsi="TimesNewRoman" w:eastAsia="方正仿宋_GBK" w:cs="TimesNewRoman"/>
          <w:sz w:val="32"/>
          <w:szCs w:val="32"/>
        </w:rPr>
        <w:t>1,567.74</w:t>
      </w:r>
      <w:r>
        <w:rPr>
          <w:rFonts w:hint="eastAsia" w:ascii="TimesNewRoman" w:hAnsi="TimesNewRoman" w:eastAsia="方正仿宋_GBK" w:cs="TimesNewRoman"/>
          <w:sz w:val="32"/>
          <w:szCs w:val="32"/>
        </w:rPr>
        <w:t>万元，占</w:t>
      </w:r>
      <w:r>
        <w:rPr>
          <w:rFonts w:ascii="TimesNewRoman" w:hAnsi="TimesNewRoman" w:eastAsia="方正仿宋_GBK" w:cs="TimesNewRoman"/>
          <w:sz w:val="32"/>
          <w:szCs w:val="32"/>
        </w:rPr>
        <w:t>78.4%</w:t>
      </w:r>
      <w:r>
        <w:rPr>
          <w:rFonts w:hint="eastAsia" w:ascii="TimesNewRoman" w:hAnsi="TimesNewRoman" w:eastAsia="方正仿宋_GBK" w:cs="TimesNewRoman"/>
          <w:sz w:val="32"/>
          <w:szCs w:val="32"/>
        </w:rPr>
        <w:t>；项目支出</w:t>
      </w:r>
      <w:r>
        <w:rPr>
          <w:rFonts w:ascii="TimesNewRoman" w:hAnsi="TimesNewRoman" w:eastAsia="方正仿宋_GBK" w:cs="TimesNewRoman"/>
          <w:sz w:val="32"/>
          <w:szCs w:val="32"/>
        </w:rPr>
        <w:t>432.31</w:t>
      </w:r>
      <w:r>
        <w:rPr>
          <w:rFonts w:hint="eastAsia" w:ascii="TimesNewRoman" w:hAnsi="TimesNewRoman" w:eastAsia="方正仿宋_GBK" w:cs="TimesNewRoman"/>
          <w:sz w:val="32"/>
          <w:szCs w:val="32"/>
        </w:rPr>
        <w:t>万元，占</w:t>
      </w:r>
      <w:r>
        <w:rPr>
          <w:rFonts w:ascii="TimesNewRoman" w:hAnsi="TimesNewRoman" w:eastAsia="方正仿宋_GBK" w:cs="TimesNewRoman"/>
          <w:sz w:val="32"/>
          <w:szCs w:val="32"/>
        </w:rPr>
        <w:t>21.6%</w:t>
      </w:r>
      <w:r>
        <w:rPr>
          <w:rFonts w:hint="eastAsia" w:ascii="TimesNewRoman" w:hAnsi="TimesNewRoman" w:eastAsia="方正仿宋_GBK" w:cs="TimesNewRoman"/>
          <w:sz w:val="32"/>
          <w:szCs w:val="32"/>
        </w:rPr>
        <w:t>。</w:t>
      </w:r>
    </w:p>
    <w:p>
      <w:pPr>
        <w:spacing w:line="594" w:lineRule="exact"/>
        <w:ind w:firstLine="642" w:firstLineChars="200"/>
        <w:jc w:val="both"/>
        <w:rPr>
          <w:rFonts w:ascii="TimesNewRoman" w:hAnsi="TimesNewRoman" w:eastAsia="方正仿宋_GBK" w:cs="TimesNewRoman"/>
          <w:sz w:val="32"/>
          <w:szCs w:val="32"/>
        </w:rPr>
      </w:pPr>
      <w:r>
        <w:rPr>
          <w:rFonts w:ascii="TimesNewRoman" w:hAnsi="TimesNewRoman" w:eastAsia="方正仿宋_GBK" w:cs="TimesNewRoman"/>
          <w:b/>
          <w:bCs/>
          <w:sz w:val="32"/>
          <w:szCs w:val="32"/>
        </w:rPr>
        <w:t>4.</w:t>
      </w:r>
      <w:r>
        <w:rPr>
          <w:rFonts w:hint="eastAsia" w:ascii="TimesNewRoman" w:hAnsi="TimesNewRoman" w:eastAsia="方正仿宋_GBK" w:cs="TimesNewRoman"/>
          <w:b/>
          <w:bCs/>
          <w:sz w:val="32"/>
          <w:szCs w:val="32"/>
        </w:rPr>
        <w:t>结转结余情况。</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年度年末结转和结余</w:t>
      </w:r>
      <w:r>
        <w:rPr>
          <w:rFonts w:ascii="TimesNewRoman" w:hAnsi="TimesNewRoman" w:eastAsia="方正仿宋_GBK" w:cs="TimesNewRoman"/>
          <w:sz w:val="32"/>
          <w:szCs w:val="32"/>
        </w:rPr>
        <w:t>0.44</w:t>
      </w:r>
      <w:r>
        <w:rPr>
          <w:rFonts w:hint="eastAsia" w:ascii="TimesNewRoman" w:hAnsi="TimesNewRoman" w:eastAsia="方正仿宋_GBK" w:cs="TimesNewRoman"/>
          <w:sz w:val="32"/>
          <w:szCs w:val="32"/>
        </w:rPr>
        <w:t>万元，较上年决算数减少</w:t>
      </w:r>
      <w:r>
        <w:rPr>
          <w:rFonts w:ascii="TimesNewRoman" w:hAnsi="TimesNewRoman" w:eastAsia="方正仿宋_GBK" w:cs="TimesNewRoman"/>
          <w:sz w:val="32"/>
          <w:szCs w:val="32"/>
        </w:rPr>
        <w:t>4.38</w:t>
      </w:r>
      <w:r>
        <w:rPr>
          <w:rFonts w:hint="eastAsia" w:ascii="TimesNewRoman" w:hAnsi="TimesNewRoman" w:eastAsia="方正仿宋_GBK" w:cs="TimesNewRoman"/>
          <w:sz w:val="32"/>
          <w:szCs w:val="32"/>
        </w:rPr>
        <w:t>万元，下降</w:t>
      </w:r>
      <w:r>
        <w:rPr>
          <w:rFonts w:ascii="TimesNewRoman" w:hAnsi="TimesNewRoman" w:eastAsia="方正仿宋_GBK" w:cs="TimesNewRoman"/>
          <w:sz w:val="32"/>
          <w:szCs w:val="32"/>
        </w:rPr>
        <w:t>90.9%</w:t>
      </w:r>
      <w:r>
        <w:rPr>
          <w:rFonts w:hint="eastAsia" w:ascii="TimesNewRoman" w:hAnsi="TimesNewRoman" w:eastAsia="方正仿宋_GBK" w:cs="TimesNewRoman"/>
          <w:sz w:val="32"/>
          <w:szCs w:val="32"/>
        </w:rPr>
        <w:t>，主要原因是用于依法治县</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三治结合</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建设、创建民主法治示范村（社区）。</w:t>
      </w:r>
    </w:p>
    <w:p>
      <w:pPr>
        <w:spacing w:line="594"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（二）财政拨款收入支出决算总体情况说明</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年度财政拨款收、支总计</w:t>
      </w:r>
      <w:r>
        <w:rPr>
          <w:rFonts w:ascii="TimesNewRoman" w:hAnsi="TimesNewRoman" w:eastAsia="方正仿宋_GBK" w:cs="TimesNewRoman"/>
          <w:sz w:val="32"/>
          <w:szCs w:val="32"/>
        </w:rPr>
        <w:t>2,000.13</w:t>
      </w:r>
      <w:r>
        <w:rPr>
          <w:rFonts w:hint="eastAsia" w:ascii="TimesNewRoman" w:hAnsi="TimesNewRoman" w:eastAsia="方正仿宋_GBK" w:cs="TimesNewRoman"/>
          <w:sz w:val="32"/>
          <w:szCs w:val="32"/>
        </w:rPr>
        <w:t>万元。与</w:t>
      </w:r>
      <w:r>
        <w:rPr>
          <w:rFonts w:ascii="TimesNewRoman" w:hAnsi="TimesNewRoman" w:eastAsia="方正仿宋_GBK" w:cs="TimesNewRoman"/>
          <w:sz w:val="32"/>
          <w:szCs w:val="32"/>
        </w:rPr>
        <w:t>2020</w:t>
      </w:r>
      <w:r>
        <w:rPr>
          <w:rFonts w:hint="eastAsia" w:ascii="TimesNewRoman" w:hAnsi="TimesNewRoman" w:eastAsia="方正仿宋_GBK" w:cs="TimesNewRoman"/>
          <w:sz w:val="32"/>
          <w:szCs w:val="32"/>
        </w:rPr>
        <w:t>年相比，财政拨款收、支总计各增加</w:t>
      </w:r>
      <w:r>
        <w:rPr>
          <w:rFonts w:ascii="TimesNewRoman" w:hAnsi="TimesNewRoman" w:eastAsia="方正仿宋_GBK" w:cs="TimesNewRoman"/>
          <w:sz w:val="32"/>
          <w:szCs w:val="32"/>
        </w:rPr>
        <w:t>0.43</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。主要原因是人员调资、年休假等。</w:t>
      </w:r>
      <w:r>
        <w:rPr>
          <w:rFonts w:ascii="TimesNewRoman" w:hAnsi="TimesNewRoman" w:eastAsia="方正仿宋_GBK" w:cs="TimesNewRoman"/>
          <w:sz w:val="32"/>
          <w:szCs w:val="32"/>
        </w:rPr>
        <w:t xml:space="preserve">  </w:t>
      </w:r>
    </w:p>
    <w:p>
      <w:pPr>
        <w:spacing w:line="594"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（三）一般公共预算财政拨款收入支出决算情况说明</w:t>
      </w:r>
    </w:p>
    <w:p>
      <w:pPr>
        <w:spacing w:line="594" w:lineRule="exact"/>
        <w:ind w:firstLine="642" w:firstLineChars="200"/>
        <w:jc w:val="both"/>
        <w:rPr>
          <w:rFonts w:ascii="TimesNewRoman" w:hAnsi="TimesNewRoman" w:eastAsia="方正仿宋_GBK" w:cs="TimesNewRoman"/>
          <w:sz w:val="32"/>
          <w:szCs w:val="32"/>
        </w:rPr>
      </w:pPr>
      <w:r>
        <w:rPr>
          <w:rFonts w:ascii="TimesNewRoman" w:hAnsi="TimesNewRoman" w:eastAsia="方正仿宋_GBK" w:cs="TimesNewRoman"/>
          <w:b/>
          <w:sz w:val="32"/>
          <w:szCs w:val="32"/>
        </w:rPr>
        <w:t>1.</w:t>
      </w:r>
      <w:r>
        <w:rPr>
          <w:rFonts w:hint="eastAsia" w:ascii="TimesNewRoman" w:hAnsi="TimesNewRoman" w:eastAsia="方正仿宋_GBK" w:cs="TimesNewRoman"/>
          <w:b/>
          <w:sz w:val="32"/>
          <w:szCs w:val="32"/>
        </w:rPr>
        <w:t>收入情况。</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年度一般公共预算财政拨款收入</w:t>
      </w:r>
      <w:r>
        <w:rPr>
          <w:rFonts w:ascii="TimesNewRoman" w:hAnsi="TimesNewRoman" w:eastAsia="方正仿宋_GBK" w:cs="TimesNewRoman"/>
          <w:sz w:val="32"/>
          <w:szCs w:val="32"/>
        </w:rPr>
        <w:t>1,975.37</w:t>
      </w:r>
      <w:r>
        <w:rPr>
          <w:rFonts w:hint="eastAsia" w:ascii="TimesNewRoman" w:hAnsi="TimesNewRoman" w:eastAsia="方正仿宋_GBK" w:cs="TimesNewRoman"/>
          <w:sz w:val="32"/>
          <w:szCs w:val="32"/>
        </w:rPr>
        <w:t>万元，较上年决算数增加</w:t>
      </w:r>
      <w:r>
        <w:rPr>
          <w:rFonts w:ascii="TimesNewRoman" w:hAnsi="TimesNewRoman" w:eastAsia="方正仿宋_GBK" w:cs="TimesNewRoman"/>
          <w:sz w:val="32"/>
          <w:szCs w:val="32"/>
        </w:rPr>
        <w:t>84.70</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4.5%</w:t>
      </w:r>
      <w:r>
        <w:rPr>
          <w:rFonts w:hint="eastAsia" w:ascii="TimesNewRoman" w:hAnsi="TimesNewRoman" w:eastAsia="方正仿宋_GBK" w:cs="TimesNewRoman"/>
          <w:sz w:val="32"/>
          <w:szCs w:val="32"/>
        </w:rPr>
        <w:t>。主要原因是人员调资、年休假等。较年初预算数增</w:t>
      </w:r>
      <w:r>
        <w:rPr>
          <w:rFonts w:ascii="TimesNewRoman" w:hAnsi="TimesNewRoman" w:eastAsia="方正仿宋_GBK" w:cs="TimesNewRoman"/>
          <w:sz w:val="32"/>
          <w:szCs w:val="32"/>
        </w:rPr>
        <w:t>208.33</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11.8%</w:t>
      </w:r>
      <w:r>
        <w:rPr>
          <w:rFonts w:hint="eastAsia" w:ascii="TimesNewRoman" w:hAnsi="TimesNewRoman" w:eastAsia="方正仿宋_GBK" w:cs="TimesNewRoman"/>
          <w:sz w:val="32"/>
          <w:szCs w:val="32"/>
        </w:rPr>
        <w:t>。主要原因是人员调资、年休假等。此外，年初财政拨款结转和结余</w:t>
      </w:r>
      <w:r>
        <w:rPr>
          <w:rFonts w:ascii="TimesNewRoman" w:hAnsi="TimesNewRoman" w:eastAsia="方正仿宋_GBK" w:cs="TimesNewRoman"/>
          <w:sz w:val="32"/>
          <w:szCs w:val="32"/>
        </w:rPr>
        <w:t>24.77</w:t>
      </w:r>
      <w:r>
        <w:rPr>
          <w:rFonts w:hint="eastAsia" w:ascii="TimesNewRoman" w:hAnsi="TimesNewRoman" w:eastAsia="方正仿宋_GBK" w:cs="TimesNewRoman"/>
          <w:sz w:val="32"/>
          <w:szCs w:val="32"/>
        </w:rPr>
        <w:t>万元。</w:t>
      </w:r>
    </w:p>
    <w:p>
      <w:pPr>
        <w:spacing w:line="594" w:lineRule="exact"/>
        <w:ind w:firstLine="642" w:firstLineChars="200"/>
        <w:jc w:val="both"/>
        <w:rPr>
          <w:rFonts w:ascii="TimesNewRoman" w:hAnsi="TimesNewRoman" w:eastAsia="方正仿宋_GBK" w:cs="TimesNewRoman"/>
          <w:sz w:val="32"/>
          <w:szCs w:val="32"/>
        </w:rPr>
      </w:pPr>
      <w:r>
        <w:rPr>
          <w:rFonts w:ascii="TimesNewRoman" w:hAnsi="TimesNewRoman" w:eastAsia="方正仿宋_GBK" w:cs="TimesNewRoman"/>
          <w:b/>
          <w:sz w:val="32"/>
          <w:szCs w:val="32"/>
        </w:rPr>
        <w:t>2.</w:t>
      </w:r>
      <w:r>
        <w:rPr>
          <w:rFonts w:hint="eastAsia" w:ascii="TimesNewRoman" w:hAnsi="TimesNewRoman" w:eastAsia="方正仿宋_GBK" w:cs="TimesNewRoman"/>
          <w:b/>
          <w:sz w:val="32"/>
          <w:szCs w:val="32"/>
        </w:rPr>
        <w:t>支出情况。</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年度一般公共预算财政拨款支出</w:t>
      </w:r>
      <w:r>
        <w:rPr>
          <w:rFonts w:ascii="TimesNewRoman" w:hAnsi="TimesNewRoman" w:eastAsia="方正仿宋_GBK" w:cs="TimesNewRoman"/>
          <w:sz w:val="32"/>
          <w:szCs w:val="32"/>
        </w:rPr>
        <w:t>1,999.69</w:t>
      </w:r>
      <w:r>
        <w:rPr>
          <w:rFonts w:hint="eastAsia" w:ascii="TimesNewRoman" w:hAnsi="TimesNewRoman" w:eastAsia="方正仿宋_GBK" w:cs="TimesNewRoman"/>
          <w:sz w:val="32"/>
          <w:szCs w:val="32"/>
        </w:rPr>
        <w:t>万元，较上年决算数增加</w:t>
      </w:r>
      <w:r>
        <w:rPr>
          <w:rFonts w:ascii="TimesNewRoman" w:hAnsi="TimesNewRoman" w:eastAsia="方正仿宋_GBK" w:cs="TimesNewRoman"/>
          <w:sz w:val="32"/>
          <w:szCs w:val="32"/>
        </w:rPr>
        <w:t>4.81</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0.2%</w:t>
      </w:r>
      <w:r>
        <w:rPr>
          <w:rFonts w:hint="eastAsia" w:ascii="TimesNewRoman" w:hAnsi="TimesNewRoman" w:eastAsia="方正仿宋_GBK" w:cs="TimesNewRoman"/>
          <w:sz w:val="32"/>
          <w:szCs w:val="32"/>
        </w:rPr>
        <w:t>。主要原因是人员调资、年休假等。较年初预算数增</w:t>
      </w:r>
      <w:r>
        <w:rPr>
          <w:rFonts w:ascii="TimesNewRoman" w:hAnsi="TimesNewRoman" w:eastAsia="方正仿宋_GBK" w:cs="TimesNewRoman"/>
          <w:sz w:val="32"/>
          <w:szCs w:val="32"/>
        </w:rPr>
        <w:t>207.89</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11.6%</w:t>
      </w:r>
      <w:r>
        <w:rPr>
          <w:rFonts w:hint="eastAsia" w:ascii="TimesNewRoman" w:hAnsi="TimesNewRoman" w:eastAsia="方正仿宋_GBK" w:cs="TimesNewRoman"/>
          <w:sz w:val="32"/>
          <w:szCs w:val="32"/>
        </w:rPr>
        <w:t>。主要原因是人员调资、年休假等。</w:t>
      </w:r>
    </w:p>
    <w:p>
      <w:pPr>
        <w:spacing w:line="594" w:lineRule="exact"/>
        <w:ind w:firstLine="642" w:firstLineChars="200"/>
        <w:jc w:val="both"/>
        <w:rPr>
          <w:rFonts w:ascii="TimesNewRoman" w:hAnsi="TimesNewRoman" w:eastAsia="方正仿宋_GBK" w:cs="TimesNewRoman"/>
          <w:sz w:val="32"/>
          <w:szCs w:val="32"/>
        </w:rPr>
      </w:pPr>
      <w:r>
        <w:rPr>
          <w:rFonts w:ascii="TimesNewRoman" w:hAnsi="TimesNewRoman" w:eastAsia="方正仿宋_GBK" w:cs="TimesNewRoman"/>
          <w:b/>
          <w:sz w:val="32"/>
          <w:szCs w:val="32"/>
        </w:rPr>
        <w:t>3.</w:t>
      </w:r>
      <w:r>
        <w:rPr>
          <w:rFonts w:hint="eastAsia" w:ascii="TimesNewRoman" w:hAnsi="TimesNewRoman" w:eastAsia="方正仿宋_GBK" w:cs="TimesNewRoman"/>
          <w:b/>
          <w:sz w:val="32"/>
          <w:szCs w:val="32"/>
        </w:rPr>
        <w:t>结转结余情况</w:t>
      </w: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年度年末一般公共预算财政拨款结转和结余</w:t>
      </w:r>
      <w:r>
        <w:rPr>
          <w:rFonts w:ascii="TimesNewRoman" w:hAnsi="TimesNewRoman" w:eastAsia="方正仿宋_GBK" w:cs="TimesNewRoman"/>
          <w:sz w:val="32"/>
          <w:szCs w:val="32"/>
        </w:rPr>
        <w:t>0.44</w:t>
      </w:r>
      <w:r>
        <w:rPr>
          <w:rFonts w:hint="eastAsia" w:ascii="TimesNewRoman" w:hAnsi="TimesNewRoman" w:eastAsia="方正仿宋_GBK" w:cs="TimesNewRoman"/>
          <w:sz w:val="32"/>
          <w:szCs w:val="32"/>
        </w:rPr>
        <w:t>万元，较上年决算数减少</w:t>
      </w:r>
      <w:r>
        <w:rPr>
          <w:rFonts w:ascii="TimesNewRoman" w:hAnsi="TimesNewRoman" w:eastAsia="方正仿宋_GBK" w:cs="TimesNewRoman"/>
          <w:sz w:val="32"/>
          <w:szCs w:val="32"/>
        </w:rPr>
        <w:t>4.38</w:t>
      </w:r>
      <w:r>
        <w:rPr>
          <w:rFonts w:hint="eastAsia" w:ascii="TimesNewRoman" w:hAnsi="TimesNewRoman" w:eastAsia="方正仿宋_GBK" w:cs="TimesNewRoman"/>
          <w:sz w:val="32"/>
          <w:szCs w:val="32"/>
        </w:rPr>
        <w:t>万元，下降</w:t>
      </w:r>
      <w:r>
        <w:rPr>
          <w:rFonts w:ascii="TimesNewRoman" w:hAnsi="TimesNewRoman" w:eastAsia="方正仿宋_GBK" w:cs="TimesNewRoman"/>
          <w:sz w:val="32"/>
          <w:szCs w:val="32"/>
        </w:rPr>
        <w:t>90.9%</w:t>
      </w:r>
      <w:r>
        <w:rPr>
          <w:rFonts w:hint="eastAsia" w:ascii="TimesNewRoman" w:hAnsi="TimesNewRoman" w:eastAsia="方正仿宋_GBK" w:cs="TimesNewRoman"/>
          <w:sz w:val="32"/>
          <w:szCs w:val="32"/>
        </w:rPr>
        <w:t>，主要原因是用于依法治县</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三治结合</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建设、创建民主法治示范村（社区）。</w:t>
      </w:r>
    </w:p>
    <w:p>
      <w:pPr>
        <w:spacing w:line="594" w:lineRule="exact"/>
        <w:ind w:firstLine="642" w:firstLineChars="200"/>
        <w:jc w:val="both"/>
        <w:rPr>
          <w:rFonts w:ascii="TimesNewRoman" w:hAnsi="TimesNewRoman" w:eastAsia="方正仿宋_GBK" w:cs="TimesNewRoman"/>
          <w:sz w:val="32"/>
          <w:szCs w:val="32"/>
        </w:rPr>
      </w:pPr>
      <w:r>
        <w:rPr>
          <w:rFonts w:ascii="TimesNewRoman" w:hAnsi="TimesNewRoman" w:eastAsia="方正仿宋_GBK" w:cs="TimesNewRoman"/>
          <w:b/>
          <w:sz w:val="32"/>
          <w:szCs w:val="32"/>
        </w:rPr>
        <w:t>4.</w:t>
      </w:r>
      <w:r>
        <w:rPr>
          <w:rFonts w:hint="eastAsia" w:ascii="TimesNewRoman" w:hAnsi="TimesNewRoman" w:eastAsia="方正仿宋_GBK" w:cs="TimesNewRoman"/>
          <w:b/>
          <w:sz w:val="32"/>
          <w:szCs w:val="32"/>
        </w:rPr>
        <w:t>比较情况。</w:t>
      </w:r>
      <w:r>
        <w:rPr>
          <w:rFonts w:hint="eastAsia" w:ascii="TimesNewRoman" w:hAnsi="TimesNewRoman" w:eastAsia="方正仿宋_GBK" w:cs="TimesNewRoman"/>
          <w:sz w:val="32"/>
          <w:szCs w:val="32"/>
        </w:rPr>
        <w:t>本部门</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年度一般公共预算财政拨款支出主要用于以下几个方面</w:t>
      </w:r>
      <w:r>
        <w:rPr>
          <w:rFonts w:ascii="TimesNewRoman" w:hAnsi="TimesNewRoman" w:eastAsia="方正仿宋_GBK" w:cs="TimesNewRoman"/>
          <w:sz w:val="32"/>
          <w:szCs w:val="32"/>
        </w:rPr>
        <w:t> </w:t>
      </w: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 xml:space="preserve"> </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1</w:t>
      </w:r>
      <w:r>
        <w:rPr>
          <w:rFonts w:hint="eastAsia" w:ascii="TimesNewRoman" w:hAnsi="TimesNewRoman" w:eastAsia="方正仿宋_GBK" w:cs="TimesNewRoman"/>
          <w:sz w:val="32"/>
          <w:szCs w:val="32"/>
        </w:rPr>
        <w:t>）一般公共服务支出</w:t>
      </w:r>
      <w:r>
        <w:rPr>
          <w:rFonts w:ascii="TimesNewRoman" w:hAnsi="TimesNewRoman" w:eastAsia="方正仿宋_GBK" w:cs="TimesNewRoman"/>
          <w:sz w:val="32"/>
          <w:szCs w:val="32"/>
        </w:rPr>
        <w:t>0.82</w:t>
      </w:r>
      <w:r>
        <w:rPr>
          <w:rFonts w:hint="eastAsia" w:ascii="TimesNewRoman" w:hAnsi="TimesNewRoman" w:eastAsia="方正仿宋_GBK" w:cs="TimesNewRoman"/>
          <w:sz w:val="32"/>
          <w:szCs w:val="32"/>
        </w:rPr>
        <w:t>万元，占</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，较年初预算数增加</w:t>
      </w:r>
      <w:r>
        <w:rPr>
          <w:rFonts w:ascii="TimesNewRoman" w:hAnsi="TimesNewRoman" w:eastAsia="方正仿宋_GBK" w:cs="TimesNewRoman"/>
          <w:sz w:val="32"/>
          <w:szCs w:val="32"/>
        </w:rPr>
        <w:t>0.82</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100%</w:t>
      </w:r>
      <w:r>
        <w:rPr>
          <w:rFonts w:hint="eastAsia" w:ascii="TimesNewRoman" w:hAnsi="TimesNewRoman" w:eastAsia="方正仿宋_GBK" w:cs="TimesNewRoman"/>
          <w:sz w:val="32"/>
          <w:szCs w:val="32"/>
        </w:rPr>
        <w:t>，主要原因是开展非公组织活动。</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2</w:t>
      </w:r>
      <w:r>
        <w:rPr>
          <w:rFonts w:hint="eastAsia" w:ascii="TimesNewRoman" w:hAnsi="TimesNewRoman" w:eastAsia="方正仿宋_GBK" w:cs="TimesNewRoman"/>
          <w:sz w:val="32"/>
          <w:szCs w:val="32"/>
        </w:rPr>
        <w:t>）公共安全支出</w:t>
      </w:r>
      <w:r>
        <w:rPr>
          <w:rFonts w:ascii="TimesNewRoman" w:hAnsi="TimesNewRoman" w:eastAsia="方正仿宋_GBK" w:cs="TimesNewRoman"/>
          <w:sz w:val="32"/>
          <w:szCs w:val="32"/>
        </w:rPr>
        <w:t>1,645.61</w:t>
      </w:r>
      <w:r>
        <w:rPr>
          <w:rFonts w:hint="eastAsia" w:ascii="TimesNewRoman" w:hAnsi="TimesNewRoman" w:eastAsia="方正仿宋_GBK" w:cs="TimesNewRoman"/>
          <w:sz w:val="32"/>
          <w:szCs w:val="32"/>
        </w:rPr>
        <w:t>万元，占</w:t>
      </w:r>
      <w:r>
        <w:rPr>
          <w:rFonts w:ascii="TimesNewRoman" w:hAnsi="TimesNewRoman" w:eastAsia="方正仿宋_GBK" w:cs="TimesNewRoman"/>
          <w:sz w:val="32"/>
          <w:szCs w:val="32"/>
        </w:rPr>
        <w:t>82.3%</w:t>
      </w:r>
      <w:r>
        <w:rPr>
          <w:rFonts w:hint="eastAsia" w:ascii="TimesNewRoman" w:hAnsi="TimesNewRoman" w:eastAsia="方正仿宋_GBK" w:cs="TimesNewRoman"/>
          <w:sz w:val="32"/>
          <w:szCs w:val="32"/>
        </w:rPr>
        <w:t>，较年初预算数增加</w:t>
      </w:r>
      <w:r>
        <w:rPr>
          <w:rFonts w:ascii="TimesNewRoman" w:hAnsi="TimesNewRoman" w:eastAsia="方正仿宋_GBK" w:cs="TimesNewRoman"/>
          <w:sz w:val="32"/>
          <w:szCs w:val="32"/>
        </w:rPr>
        <w:t>126.72</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8.3%</w:t>
      </w:r>
      <w:r>
        <w:rPr>
          <w:rFonts w:hint="eastAsia" w:ascii="TimesNewRoman" w:hAnsi="TimesNewRoman" w:eastAsia="方正仿宋_GBK" w:cs="TimesNewRoman"/>
          <w:sz w:val="32"/>
          <w:szCs w:val="32"/>
        </w:rPr>
        <w:t>，主要原因是人员工资调整、年休假增加等。</w:t>
      </w:r>
      <w:r>
        <w:rPr>
          <w:rFonts w:ascii="TimesNewRoman" w:hAnsi="TimesNewRoman" w:eastAsia="方正仿宋_GBK" w:cs="TimesNewRoman"/>
          <w:sz w:val="32"/>
          <w:szCs w:val="32"/>
        </w:rPr>
        <w:t xml:space="preserve">  </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3</w:t>
      </w:r>
      <w:r>
        <w:rPr>
          <w:rFonts w:hint="eastAsia" w:ascii="TimesNewRoman" w:hAnsi="TimesNewRoman" w:eastAsia="方正仿宋_GBK" w:cs="TimesNewRoman"/>
          <w:sz w:val="32"/>
          <w:szCs w:val="32"/>
        </w:rPr>
        <w:t>）教育支出</w:t>
      </w:r>
      <w:r>
        <w:rPr>
          <w:rFonts w:ascii="TimesNewRoman" w:hAnsi="TimesNewRoman" w:eastAsia="方正仿宋_GBK" w:cs="TimesNewRoman"/>
          <w:sz w:val="32"/>
          <w:szCs w:val="32"/>
        </w:rPr>
        <w:t>3.04</w:t>
      </w:r>
      <w:r>
        <w:rPr>
          <w:rFonts w:hint="eastAsia" w:ascii="TimesNewRoman" w:hAnsi="TimesNewRoman" w:eastAsia="方正仿宋_GBK" w:cs="TimesNewRoman"/>
          <w:sz w:val="32"/>
          <w:szCs w:val="32"/>
        </w:rPr>
        <w:t>万元，占</w:t>
      </w:r>
      <w:r>
        <w:rPr>
          <w:rFonts w:ascii="TimesNewRoman" w:hAnsi="TimesNewRoman" w:eastAsia="方正仿宋_GBK" w:cs="TimesNewRoman"/>
          <w:sz w:val="32"/>
          <w:szCs w:val="32"/>
        </w:rPr>
        <w:t>0.2%</w:t>
      </w:r>
      <w:r>
        <w:rPr>
          <w:rFonts w:hint="eastAsia" w:ascii="TimesNewRoman" w:hAnsi="TimesNewRoman" w:eastAsia="方正仿宋_GBK" w:cs="TimesNewRoman"/>
          <w:sz w:val="32"/>
          <w:szCs w:val="32"/>
        </w:rPr>
        <w:t>，较年初预算数增加</w:t>
      </w:r>
      <w:r>
        <w:rPr>
          <w:rFonts w:ascii="TimesNewRoman" w:hAnsi="TimesNewRoman" w:eastAsia="方正仿宋_GBK" w:cs="TimesNewRoman"/>
          <w:sz w:val="32"/>
          <w:szCs w:val="32"/>
        </w:rPr>
        <w:t>0.00</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，主要原因是与年初预算数持平。</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4</w:t>
      </w:r>
      <w:r>
        <w:rPr>
          <w:rFonts w:hint="eastAsia" w:ascii="TimesNewRoman" w:hAnsi="TimesNewRoman" w:eastAsia="方正仿宋_GBK" w:cs="TimesNewRoman"/>
          <w:sz w:val="32"/>
          <w:szCs w:val="32"/>
        </w:rPr>
        <w:t>）社会保障与就业支出</w:t>
      </w:r>
      <w:r>
        <w:rPr>
          <w:rFonts w:ascii="TimesNewRoman" w:hAnsi="TimesNewRoman" w:eastAsia="方正仿宋_GBK" w:cs="TimesNewRoman"/>
          <w:sz w:val="32"/>
          <w:szCs w:val="32"/>
        </w:rPr>
        <w:t>242.60</w:t>
      </w:r>
      <w:r>
        <w:rPr>
          <w:rFonts w:hint="eastAsia" w:ascii="TimesNewRoman" w:hAnsi="TimesNewRoman" w:eastAsia="方正仿宋_GBK" w:cs="TimesNewRoman"/>
          <w:sz w:val="32"/>
          <w:szCs w:val="32"/>
        </w:rPr>
        <w:t>万元，占</w:t>
      </w:r>
      <w:r>
        <w:rPr>
          <w:rFonts w:ascii="TimesNewRoman" w:hAnsi="TimesNewRoman" w:eastAsia="方正仿宋_GBK" w:cs="TimesNewRoman"/>
          <w:sz w:val="32"/>
          <w:szCs w:val="32"/>
        </w:rPr>
        <w:t>12.1%</w:t>
      </w:r>
      <w:r>
        <w:rPr>
          <w:rFonts w:hint="eastAsia" w:ascii="TimesNewRoman" w:hAnsi="TimesNewRoman" w:eastAsia="方正仿宋_GBK" w:cs="TimesNewRoman"/>
          <w:sz w:val="32"/>
          <w:szCs w:val="32"/>
        </w:rPr>
        <w:t>，较年初预算数增加</w:t>
      </w:r>
      <w:r>
        <w:rPr>
          <w:rFonts w:ascii="TimesNewRoman" w:hAnsi="TimesNewRoman" w:eastAsia="方正仿宋_GBK" w:cs="TimesNewRoman"/>
          <w:sz w:val="32"/>
          <w:szCs w:val="32"/>
        </w:rPr>
        <w:t>79.36</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48.6%</w:t>
      </w:r>
      <w:r>
        <w:rPr>
          <w:rFonts w:hint="eastAsia" w:ascii="TimesNewRoman" w:hAnsi="TimesNewRoman" w:eastAsia="方正仿宋_GBK" w:cs="TimesNewRoman"/>
          <w:sz w:val="32"/>
          <w:szCs w:val="32"/>
        </w:rPr>
        <w:t>，主要原因是人员基数发生变化。</w:t>
      </w:r>
      <w:r>
        <w:rPr>
          <w:rFonts w:ascii="TimesNewRoman" w:hAnsi="TimesNewRoman" w:eastAsia="方正仿宋_GBK" w:cs="TimesNewRoman"/>
          <w:sz w:val="32"/>
          <w:szCs w:val="32"/>
        </w:rPr>
        <w:t xml:space="preserve">  </w:t>
      </w:r>
    </w:p>
    <w:p>
      <w:pPr>
        <w:spacing w:line="560"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5</w:t>
      </w:r>
      <w:r>
        <w:rPr>
          <w:rFonts w:hint="eastAsia" w:ascii="TimesNewRoman" w:hAnsi="TimesNewRoman" w:eastAsia="方正仿宋_GBK" w:cs="TimesNewRoman"/>
          <w:sz w:val="32"/>
          <w:szCs w:val="32"/>
        </w:rPr>
        <w:t>）卫生健康支出</w:t>
      </w:r>
      <w:r>
        <w:rPr>
          <w:rFonts w:ascii="TimesNewRoman" w:hAnsi="TimesNewRoman" w:eastAsia="方正仿宋_GBK" w:cs="TimesNewRoman"/>
          <w:sz w:val="32"/>
          <w:szCs w:val="32"/>
        </w:rPr>
        <w:t>50.31</w:t>
      </w:r>
      <w:r>
        <w:rPr>
          <w:rFonts w:hint="eastAsia" w:ascii="TimesNewRoman" w:hAnsi="TimesNewRoman" w:eastAsia="方正仿宋_GBK" w:cs="TimesNewRoman"/>
          <w:sz w:val="32"/>
          <w:szCs w:val="32"/>
        </w:rPr>
        <w:t>万元，占</w:t>
      </w:r>
      <w:r>
        <w:rPr>
          <w:rFonts w:ascii="TimesNewRoman" w:hAnsi="TimesNewRoman" w:eastAsia="方正仿宋_GBK" w:cs="TimesNewRoman"/>
          <w:sz w:val="32"/>
          <w:szCs w:val="32"/>
        </w:rPr>
        <w:t>2.5%</w:t>
      </w:r>
      <w:r>
        <w:rPr>
          <w:rFonts w:hint="eastAsia" w:ascii="TimesNewRoman" w:hAnsi="TimesNewRoman" w:eastAsia="方正仿宋_GBK" w:cs="TimesNewRoman"/>
          <w:sz w:val="32"/>
          <w:szCs w:val="32"/>
        </w:rPr>
        <w:t>，主要原因是与年初预算数持平。</w:t>
      </w:r>
    </w:p>
    <w:p>
      <w:pPr>
        <w:spacing w:line="560"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6</w:t>
      </w:r>
      <w:r>
        <w:rPr>
          <w:rFonts w:hint="eastAsia" w:ascii="TimesNewRoman" w:hAnsi="TimesNewRoman" w:eastAsia="方正仿宋_GBK" w:cs="TimesNewRoman"/>
          <w:sz w:val="32"/>
          <w:szCs w:val="32"/>
        </w:rPr>
        <w:t>）住房保障支出</w:t>
      </w:r>
      <w:r>
        <w:rPr>
          <w:rFonts w:ascii="TimesNewRoman" w:hAnsi="TimesNewRoman" w:eastAsia="方正仿宋_GBK" w:cs="TimesNewRoman"/>
          <w:sz w:val="32"/>
          <w:szCs w:val="32"/>
        </w:rPr>
        <w:t>56.32</w:t>
      </w:r>
      <w:r>
        <w:rPr>
          <w:rFonts w:hint="eastAsia" w:ascii="TimesNewRoman" w:hAnsi="TimesNewRoman" w:eastAsia="方正仿宋_GBK" w:cs="TimesNewRoman"/>
          <w:sz w:val="32"/>
          <w:szCs w:val="32"/>
        </w:rPr>
        <w:t>万元，占</w:t>
      </w:r>
      <w:r>
        <w:rPr>
          <w:rFonts w:ascii="TimesNewRoman" w:hAnsi="TimesNewRoman" w:eastAsia="方正仿宋_GBK" w:cs="TimesNewRoman"/>
          <w:sz w:val="32"/>
          <w:szCs w:val="32"/>
        </w:rPr>
        <w:t>2.8%</w:t>
      </w:r>
      <w:r>
        <w:rPr>
          <w:rFonts w:hint="eastAsia" w:ascii="TimesNewRoman" w:hAnsi="TimesNewRoman" w:eastAsia="方正仿宋_GBK" w:cs="TimesNewRoman"/>
          <w:sz w:val="32"/>
          <w:szCs w:val="32"/>
        </w:rPr>
        <w:t>，主要原因是与年初预算数持平。</w:t>
      </w:r>
    </w:p>
    <w:p>
      <w:pPr>
        <w:spacing w:line="560"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7</w:t>
      </w:r>
      <w:r>
        <w:rPr>
          <w:rFonts w:hint="eastAsia" w:ascii="TimesNewRoman" w:hAnsi="TimesNewRoman" w:eastAsia="方正仿宋_GBK" w:cs="TimesNewRoman"/>
          <w:sz w:val="32"/>
          <w:szCs w:val="32"/>
        </w:rPr>
        <w:t>）灾害防治及应急管理支出</w:t>
      </w:r>
      <w:r>
        <w:rPr>
          <w:rFonts w:ascii="TimesNewRoman" w:hAnsi="TimesNewRoman" w:eastAsia="方正仿宋_GBK" w:cs="TimesNewRoman"/>
          <w:sz w:val="32"/>
          <w:szCs w:val="32"/>
        </w:rPr>
        <w:t>1.00</w:t>
      </w:r>
      <w:r>
        <w:rPr>
          <w:rFonts w:hint="eastAsia" w:ascii="TimesNewRoman" w:hAnsi="TimesNewRoman" w:eastAsia="方正仿宋_GBK" w:cs="TimesNewRoman"/>
          <w:sz w:val="32"/>
          <w:szCs w:val="32"/>
        </w:rPr>
        <w:t>万元，占</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，较年初预算数增加</w:t>
      </w:r>
      <w:r>
        <w:rPr>
          <w:rFonts w:ascii="TimesNewRoman" w:hAnsi="TimesNewRoman" w:eastAsia="方正仿宋_GBK" w:cs="TimesNewRoman"/>
          <w:sz w:val="32"/>
          <w:szCs w:val="32"/>
        </w:rPr>
        <w:t>1.00</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100%</w:t>
      </w:r>
      <w:r>
        <w:rPr>
          <w:rFonts w:hint="eastAsia" w:ascii="TimesNewRoman" w:hAnsi="TimesNewRoman" w:eastAsia="方正仿宋_GBK" w:cs="TimesNewRoman"/>
          <w:sz w:val="32"/>
          <w:szCs w:val="32"/>
        </w:rPr>
        <w:t>，主要原因是进行安全生产法治宣传。</w:t>
      </w:r>
    </w:p>
    <w:p>
      <w:pPr>
        <w:spacing w:line="560"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（四）一般公共预算财政拨款基本支出决算情况说明</w:t>
      </w:r>
    </w:p>
    <w:p>
      <w:pPr>
        <w:spacing w:line="560"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 2021</w:t>
      </w:r>
      <w:r>
        <w:rPr>
          <w:rFonts w:hint="eastAsia" w:ascii="TimesNewRoman" w:hAnsi="TimesNewRoman" w:eastAsia="方正仿宋_GBK" w:cs="TimesNewRoman"/>
          <w:sz w:val="32"/>
          <w:szCs w:val="32"/>
        </w:rPr>
        <w:t>年度一般公共财政拨款基本支出</w:t>
      </w:r>
      <w:r>
        <w:rPr>
          <w:rFonts w:ascii="TimesNewRoman" w:hAnsi="TimesNewRoman" w:eastAsia="方正仿宋_GBK" w:cs="TimesNewRoman"/>
          <w:sz w:val="32"/>
          <w:szCs w:val="32"/>
        </w:rPr>
        <w:t>1,567.38</w:t>
      </w:r>
      <w:r>
        <w:rPr>
          <w:rFonts w:hint="eastAsia" w:ascii="TimesNewRoman" w:hAnsi="TimesNewRoman" w:eastAsia="方正仿宋_GBK" w:cs="TimesNewRoman"/>
          <w:sz w:val="32"/>
          <w:szCs w:val="32"/>
        </w:rPr>
        <w:t>万元。其中：人员经费</w:t>
      </w:r>
      <w:r>
        <w:rPr>
          <w:rFonts w:ascii="TimesNewRoman" w:hAnsi="TimesNewRoman" w:eastAsia="方正仿宋_GBK" w:cs="TimesNewRoman"/>
          <w:sz w:val="32"/>
          <w:szCs w:val="32"/>
        </w:rPr>
        <w:t>1,258.24</w:t>
      </w:r>
      <w:r>
        <w:rPr>
          <w:rFonts w:hint="eastAsia" w:ascii="TimesNewRoman" w:hAnsi="TimesNewRoman" w:eastAsia="方正仿宋_GBK" w:cs="TimesNewRoman"/>
          <w:sz w:val="32"/>
          <w:szCs w:val="32"/>
        </w:rPr>
        <w:t>万元，较上年决算数增加</w:t>
      </w:r>
      <w:r>
        <w:rPr>
          <w:rFonts w:ascii="TimesNewRoman" w:hAnsi="TimesNewRoman" w:eastAsia="方正仿宋_GBK" w:cs="TimesNewRoman"/>
          <w:sz w:val="32"/>
          <w:szCs w:val="32"/>
        </w:rPr>
        <w:t>60.62</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5.1%</w:t>
      </w:r>
      <w:r>
        <w:rPr>
          <w:rFonts w:hint="eastAsia" w:ascii="TimesNewRoman" w:hAnsi="TimesNewRoman" w:eastAsia="方正仿宋_GBK" w:cs="TimesNewRoman"/>
          <w:sz w:val="32"/>
          <w:szCs w:val="32"/>
        </w:rPr>
        <w:t>，主要原因是人员工资调整、年休假增加等。人员经费用途主要包括基本工资、津贴补贴、奖金、伙食补助、其他工资和福利支出等。公用经费</w:t>
      </w:r>
      <w:r>
        <w:rPr>
          <w:rFonts w:ascii="TimesNewRoman" w:hAnsi="TimesNewRoman" w:eastAsia="方正仿宋_GBK" w:cs="TimesNewRoman"/>
          <w:sz w:val="32"/>
          <w:szCs w:val="32"/>
        </w:rPr>
        <w:t>309.15</w:t>
      </w:r>
      <w:r>
        <w:rPr>
          <w:rFonts w:hint="eastAsia" w:ascii="TimesNewRoman" w:hAnsi="TimesNewRoman" w:eastAsia="方正仿宋_GBK" w:cs="TimesNewRoman"/>
          <w:sz w:val="32"/>
          <w:szCs w:val="32"/>
        </w:rPr>
        <w:t>万元，较上年决算数减少</w:t>
      </w:r>
      <w:r>
        <w:rPr>
          <w:rFonts w:ascii="TimesNewRoman" w:hAnsi="TimesNewRoman" w:eastAsia="方正仿宋_GBK" w:cs="TimesNewRoman"/>
          <w:sz w:val="32"/>
          <w:szCs w:val="32"/>
        </w:rPr>
        <w:t>47.29</w:t>
      </w:r>
      <w:r>
        <w:rPr>
          <w:rFonts w:hint="eastAsia" w:ascii="TimesNewRoman" w:hAnsi="TimesNewRoman" w:eastAsia="方正仿宋_GBK" w:cs="TimesNewRoman"/>
          <w:sz w:val="32"/>
          <w:szCs w:val="32"/>
        </w:rPr>
        <w:t>万元，下降</w:t>
      </w:r>
      <w:r>
        <w:rPr>
          <w:rFonts w:ascii="TimesNewRoman" w:hAnsi="TimesNewRoman" w:eastAsia="方正仿宋_GBK" w:cs="TimesNewRoman"/>
          <w:sz w:val="32"/>
          <w:szCs w:val="32"/>
        </w:rPr>
        <w:t>13.3%</w:t>
      </w:r>
      <w:r>
        <w:rPr>
          <w:rFonts w:hint="eastAsia" w:ascii="TimesNewRoman" w:hAnsi="TimesNewRoman" w:eastAsia="方正仿宋_GBK" w:cs="TimesNewRoman"/>
          <w:sz w:val="32"/>
          <w:szCs w:val="32"/>
        </w:rPr>
        <w:t>，主要原因是合理利用资金，厉行节约。公用经费用途主要包括办公费、水费、电费、邮电费、委托业务费、其他交通补贴、劳务费、公务接待、公务运行维护费、维修费、其他商品和服务支出等。</w:t>
      </w:r>
    </w:p>
    <w:p>
      <w:pPr>
        <w:spacing w:line="560"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（五）政府性基金预算收支决算情况说明</w:t>
      </w:r>
    </w:p>
    <w:p>
      <w:pPr>
        <w:spacing w:line="560"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本部门</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度无政府性基金预算财政拨款收支。</w:t>
      </w:r>
    </w:p>
    <w:p>
      <w:pPr>
        <w:spacing w:line="560"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楷体_GBK" w:cs="TimesNewRoman"/>
          <w:sz w:val="32"/>
          <w:szCs w:val="32"/>
        </w:rPr>
        <w:t>（六）国有资本经营预算财政拨款支出决算情况说明</w:t>
      </w:r>
    </w:p>
    <w:p>
      <w:pPr>
        <w:spacing w:line="560"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 </w:t>
      </w:r>
      <w:r>
        <w:rPr>
          <w:rFonts w:hint="eastAsia" w:ascii="TimesNewRoman" w:hAnsi="TimesNewRoman" w:eastAsia="方正仿宋_GBK" w:cs="TimesNewRoman"/>
          <w:sz w:val="32"/>
          <w:szCs w:val="32"/>
        </w:rPr>
        <w:t>本部门</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度无国有资本经营预算财政拨款支出。</w:t>
      </w:r>
    </w:p>
    <w:p>
      <w:pPr>
        <w:spacing w:line="560" w:lineRule="exact"/>
        <w:ind w:firstLine="640" w:firstLineChars="200"/>
        <w:jc w:val="both"/>
        <w:rPr>
          <w:rFonts w:ascii="TimesNewRoman" w:hAnsi="TimesNewRoman" w:eastAsia="方正黑体_GBK" w:cs="TimesNewRoman"/>
          <w:sz w:val="32"/>
          <w:szCs w:val="32"/>
        </w:rPr>
      </w:pPr>
      <w:r>
        <w:rPr>
          <w:rFonts w:hint="eastAsia" w:ascii="TimesNewRoman" w:hAnsi="TimesNewRoman" w:eastAsia="方正黑体_GBK" w:cs="TimesNewRoman"/>
          <w:sz w:val="32"/>
          <w:szCs w:val="32"/>
        </w:rPr>
        <w:t>三、</w:t>
      </w:r>
      <w:r>
        <w:rPr>
          <w:rFonts w:ascii="TimesNewRoman" w:hAnsi="TimesNewRoman" w:eastAsia="方正黑体_GBK" w:cs="TimesNewRoman"/>
          <w:sz w:val="32"/>
          <w:szCs w:val="32"/>
        </w:rPr>
        <w:t>“</w:t>
      </w:r>
      <w:r>
        <w:rPr>
          <w:rFonts w:hint="eastAsia" w:ascii="TimesNewRoman" w:hAnsi="TimesNewRoman" w:eastAsia="方正黑体_GBK" w:cs="TimesNewRoman"/>
          <w:sz w:val="32"/>
          <w:szCs w:val="32"/>
        </w:rPr>
        <w:t>三公</w:t>
      </w:r>
      <w:r>
        <w:rPr>
          <w:rFonts w:ascii="TimesNewRoman" w:hAnsi="TimesNewRoman" w:eastAsia="方正黑体_GBK" w:cs="TimesNewRoman"/>
          <w:sz w:val="32"/>
          <w:szCs w:val="32"/>
        </w:rPr>
        <w:t>”</w:t>
      </w:r>
      <w:r>
        <w:rPr>
          <w:rFonts w:hint="eastAsia" w:ascii="TimesNewRoman" w:hAnsi="TimesNewRoman" w:eastAsia="方正黑体_GBK" w:cs="TimesNewRoman"/>
          <w:sz w:val="32"/>
          <w:szCs w:val="32"/>
        </w:rPr>
        <w:t>经费情况说明</w:t>
      </w:r>
    </w:p>
    <w:p>
      <w:pPr>
        <w:spacing w:line="560" w:lineRule="exact"/>
        <w:ind w:firstLine="640" w:firstLineChars="200"/>
        <w:jc w:val="both"/>
        <w:rPr>
          <w:rFonts w:ascii="TimesNewRoman" w:hAnsi="TimesNewRoman" w:eastAsia="方正楷体_GBK" w:cs="TimesNewRoman"/>
          <w:sz w:val="32"/>
          <w:szCs w:val="32"/>
        </w:rPr>
      </w:pPr>
      <w:r>
        <w:rPr>
          <w:rFonts w:ascii="TimesNewRoman" w:hAnsi="TimesNewRoman" w:eastAsia="方正楷体_GBK" w:cs="TimesNewRoman"/>
          <w:sz w:val="32"/>
          <w:szCs w:val="32"/>
        </w:rPr>
        <w:t xml:space="preserve"> </w:t>
      </w:r>
      <w:r>
        <w:rPr>
          <w:rFonts w:hint="eastAsia" w:ascii="TimesNewRoman" w:hAnsi="TimesNewRoman" w:eastAsia="方正楷体_GBK" w:cs="TimesNewRoman"/>
          <w:sz w:val="32"/>
          <w:szCs w:val="32"/>
        </w:rPr>
        <w:t>（一）</w:t>
      </w:r>
      <w:r>
        <w:rPr>
          <w:rFonts w:ascii="TimesNewRoman" w:hAnsi="TimesNewRoman" w:eastAsia="方正楷体_GBK" w:cs="TimesNewRoman"/>
          <w:sz w:val="32"/>
          <w:szCs w:val="32"/>
        </w:rPr>
        <w:t>“</w:t>
      </w:r>
      <w:r>
        <w:rPr>
          <w:rFonts w:hint="eastAsia" w:ascii="TimesNewRoman" w:hAnsi="TimesNewRoman" w:eastAsia="方正楷体_GBK" w:cs="TimesNewRoman"/>
          <w:sz w:val="32"/>
          <w:szCs w:val="32"/>
        </w:rPr>
        <w:t>三公</w:t>
      </w:r>
      <w:r>
        <w:rPr>
          <w:rFonts w:ascii="TimesNewRoman" w:hAnsi="TimesNewRoman" w:eastAsia="方正楷体_GBK" w:cs="TimesNewRoman"/>
          <w:sz w:val="32"/>
          <w:szCs w:val="32"/>
        </w:rPr>
        <w:t>”</w:t>
      </w:r>
      <w:r>
        <w:rPr>
          <w:rFonts w:hint="eastAsia" w:ascii="TimesNewRoman" w:hAnsi="TimesNewRoman" w:eastAsia="方正楷体_GBK" w:cs="TimesNewRoman"/>
          <w:sz w:val="32"/>
          <w:szCs w:val="32"/>
        </w:rPr>
        <w:t>经费支出总体情况说明</w:t>
      </w:r>
    </w:p>
    <w:p>
      <w:pPr>
        <w:spacing w:line="560"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 2021</w:t>
      </w:r>
      <w:r>
        <w:rPr>
          <w:rFonts w:hint="eastAsia" w:ascii="TimesNewRoman" w:hAnsi="TimesNewRoman" w:eastAsia="方正仿宋_GBK" w:cs="TimesNewRoman"/>
          <w:sz w:val="32"/>
          <w:szCs w:val="32"/>
        </w:rPr>
        <w:t>年度</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三公</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经费支出共计</w:t>
      </w:r>
      <w:r>
        <w:rPr>
          <w:rFonts w:ascii="TimesNewRoman" w:hAnsi="TimesNewRoman" w:eastAsia="方正仿宋_GBK" w:cs="TimesNewRoman"/>
          <w:sz w:val="32"/>
          <w:szCs w:val="32"/>
        </w:rPr>
        <w:t>12.84</w:t>
      </w:r>
      <w:r>
        <w:rPr>
          <w:rFonts w:hint="eastAsia" w:ascii="TimesNewRoman" w:hAnsi="TimesNewRoman" w:eastAsia="方正仿宋_GBK" w:cs="TimesNewRoman"/>
          <w:sz w:val="32"/>
          <w:szCs w:val="32"/>
        </w:rPr>
        <w:t>万元，较年初预算数增加</w:t>
      </w:r>
      <w:r>
        <w:rPr>
          <w:rFonts w:ascii="TimesNewRoman" w:hAnsi="TimesNewRoman" w:eastAsia="方正仿宋_GBK" w:cs="TimesNewRoman"/>
          <w:sz w:val="32"/>
          <w:szCs w:val="32"/>
        </w:rPr>
        <w:t>0.54</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4.4%</w:t>
      </w:r>
      <w:r>
        <w:rPr>
          <w:rFonts w:hint="eastAsia" w:ascii="TimesNewRoman" w:hAnsi="TimesNewRoman" w:eastAsia="方正仿宋_GBK" w:cs="TimesNewRoman"/>
          <w:sz w:val="32"/>
          <w:szCs w:val="32"/>
        </w:rPr>
        <w:t>，主要原因是用于依法治县</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三治结合</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建设、创建民主法治示范村（社区）。较上年支出数增加</w:t>
      </w:r>
      <w:r>
        <w:rPr>
          <w:rFonts w:ascii="TimesNewRoman" w:hAnsi="TimesNewRoman" w:eastAsia="方正仿宋_GBK" w:cs="TimesNewRoman"/>
          <w:sz w:val="32"/>
          <w:szCs w:val="32"/>
        </w:rPr>
        <w:t>0.54</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4.4%</w:t>
      </w:r>
      <w:r>
        <w:rPr>
          <w:rFonts w:hint="eastAsia" w:ascii="TimesNewRoman" w:hAnsi="TimesNewRoman" w:eastAsia="方正仿宋_GBK" w:cs="TimesNewRoman"/>
          <w:sz w:val="32"/>
          <w:szCs w:val="32"/>
        </w:rPr>
        <w:t>，主要原因是用于依法治县</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三治结合</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建设、创建民主法治示范村（社区）。</w:t>
      </w:r>
      <w:r>
        <w:rPr>
          <w:rFonts w:ascii="TimesNewRoman" w:hAnsi="TimesNewRoman" w:eastAsia="方正仿宋_GBK" w:cs="TimesNewRoman"/>
          <w:sz w:val="32"/>
          <w:szCs w:val="32"/>
        </w:rPr>
        <w:t xml:space="preserve">  </w:t>
      </w:r>
    </w:p>
    <w:p>
      <w:pPr>
        <w:spacing w:line="560"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（二）</w:t>
      </w:r>
      <w:r>
        <w:rPr>
          <w:rFonts w:ascii="TimesNewRoman" w:hAnsi="TimesNewRoman" w:eastAsia="方正楷体_GBK" w:cs="TimesNewRoman"/>
          <w:sz w:val="32"/>
          <w:szCs w:val="32"/>
        </w:rPr>
        <w:t>“</w:t>
      </w:r>
      <w:r>
        <w:rPr>
          <w:rFonts w:hint="eastAsia" w:ascii="TimesNewRoman" w:hAnsi="TimesNewRoman" w:eastAsia="方正楷体_GBK" w:cs="TimesNewRoman"/>
          <w:sz w:val="32"/>
          <w:szCs w:val="32"/>
        </w:rPr>
        <w:t>三公</w:t>
      </w:r>
      <w:r>
        <w:rPr>
          <w:rFonts w:ascii="TimesNewRoman" w:hAnsi="TimesNewRoman" w:eastAsia="方正楷体_GBK" w:cs="TimesNewRoman"/>
          <w:sz w:val="32"/>
          <w:szCs w:val="32"/>
        </w:rPr>
        <w:t>”</w:t>
      </w:r>
      <w:r>
        <w:rPr>
          <w:rFonts w:hint="eastAsia" w:ascii="TimesNewRoman" w:hAnsi="TimesNewRoman" w:eastAsia="方正楷体_GBK" w:cs="TimesNewRoman"/>
          <w:sz w:val="32"/>
          <w:szCs w:val="32"/>
        </w:rPr>
        <w:t>经费分项支出情况</w:t>
      </w:r>
    </w:p>
    <w:p>
      <w:pPr>
        <w:spacing w:line="560"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 2021</w:t>
      </w:r>
      <w:r>
        <w:rPr>
          <w:rFonts w:hint="eastAsia" w:ascii="TimesNewRoman" w:hAnsi="TimesNewRoman" w:eastAsia="方正仿宋_GBK" w:cs="TimesNewRoman"/>
          <w:sz w:val="32"/>
          <w:szCs w:val="32"/>
        </w:rPr>
        <w:t>年度本部门因公出国（境）费用</w:t>
      </w:r>
      <w:r>
        <w:rPr>
          <w:rFonts w:ascii="TimesNewRoman" w:hAnsi="TimesNewRoman" w:eastAsia="方正仿宋_GBK" w:cs="TimesNewRoman"/>
          <w:sz w:val="32"/>
          <w:szCs w:val="32"/>
        </w:rPr>
        <w:t>0.00</w:t>
      </w:r>
      <w:r>
        <w:rPr>
          <w:rFonts w:hint="eastAsia" w:ascii="TimesNewRoman" w:hAnsi="TimesNewRoman" w:eastAsia="方正仿宋_GBK" w:cs="TimesNewRoman"/>
          <w:sz w:val="32"/>
          <w:szCs w:val="32"/>
        </w:rPr>
        <w:t>万元，与年初预算数及上年支出数持平，本单位</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年没有产生因公出国（境）费用支出。</w:t>
      </w:r>
    </w:p>
    <w:p>
      <w:pPr>
        <w:spacing w:line="560"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公务车购置费</w:t>
      </w:r>
      <w:r>
        <w:rPr>
          <w:rFonts w:ascii="TimesNewRoman" w:hAnsi="TimesNewRoman" w:eastAsia="方正仿宋_GBK" w:cs="TimesNewRoman"/>
          <w:sz w:val="32"/>
          <w:szCs w:val="32"/>
        </w:rPr>
        <w:t>0.00</w:t>
      </w:r>
      <w:r>
        <w:rPr>
          <w:rFonts w:hint="eastAsia" w:ascii="TimesNewRoman" w:hAnsi="TimesNewRoman" w:eastAsia="方正仿宋_GBK" w:cs="TimesNewRoman"/>
          <w:sz w:val="32"/>
          <w:szCs w:val="32"/>
        </w:rPr>
        <w:t>万元，与年初预算数及上年支出数持平，本单位</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年没有产生公务用车购置费用支出。</w:t>
      </w:r>
    </w:p>
    <w:p>
      <w:pPr>
        <w:spacing w:line="560"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 xml:space="preserve"> </w:t>
      </w:r>
      <w:r>
        <w:rPr>
          <w:rFonts w:hint="eastAsia" w:ascii="TimesNewRoman" w:hAnsi="TimesNewRoman" w:eastAsia="方正仿宋_GBK" w:cs="TimesNewRoman"/>
          <w:sz w:val="32"/>
          <w:szCs w:val="32"/>
        </w:rPr>
        <w:t>公务车运行维护费</w:t>
      </w:r>
      <w:r>
        <w:rPr>
          <w:rFonts w:ascii="TimesNewRoman" w:hAnsi="TimesNewRoman" w:eastAsia="方正仿宋_GBK" w:cs="TimesNewRoman"/>
          <w:sz w:val="32"/>
          <w:szCs w:val="32"/>
        </w:rPr>
        <w:t>11.57</w:t>
      </w:r>
      <w:r>
        <w:rPr>
          <w:rFonts w:hint="eastAsia" w:ascii="TimesNewRoman" w:hAnsi="TimesNewRoman" w:eastAsia="方正仿宋_GBK" w:cs="TimesNewRoman"/>
          <w:sz w:val="32"/>
          <w:szCs w:val="32"/>
        </w:rPr>
        <w:t>万元，主要用于机要文件交换、市内因公出行、到各乡镇司法所检查、督促、矫正人员的社会调查等工作所需车辆的燃料费、维修费、保险费等。费用支出较年初预算数增加</w:t>
      </w:r>
      <w:r>
        <w:rPr>
          <w:rFonts w:ascii="TimesNewRoman" w:hAnsi="TimesNewRoman" w:eastAsia="方正仿宋_GBK" w:cs="TimesNewRoman"/>
          <w:sz w:val="32"/>
          <w:szCs w:val="32"/>
        </w:rPr>
        <w:t>0.30</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2.7%</w:t>
      </w:r>
      <w:r>
        <w:rPr>
          <w:rFonts w:hint="eastAsia" w:ascii="TimesNewRoman" w:hAnsi="TimesNewRoman" w:eastAsia="方正仿宋_GBK" w:cs="TimesNewRoman"/>
          <w:sz w:val="32"/>
          <w:szCs w:val="32"/>
        </w:rPr>
        <w:t>，主要用于机要文件交换、市内因公出行、到各乡镇司法所检查、督促、矫正人员的社会调查等工作所需车辆的燃料费、维修费、保险费等。较上年支出数增加</w:t>
      </w:r>
      <w:r>
        <w:rPr>
          <w:rFonts w:ascii="TimesNewRoman" w:hAnsi="TimesNewRoman" w:eastAsia="方正仿宋_GBK" w:cs="TimesNewRoman"/>
          <w:sz w:val="32"/>
          <w:szCs w:val="32"/>
        </w:rPr>
        <w:t>0.30</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2.7%</w:t>
      </w:r>
      <w:r>
        <w:rPr>
          <w:rFonts w:hint="eastAsia" w:ascii="TimesNewRoman" w:hAnsi="TimesNewRoman" w:eastAsia="方正仿宋_GBK" w:cs="TimesNewRoman"/>
          <w:sz w:val="32"/>
          <w:szCs w:val="32"/>
        </w:rPr>
        <w:t>，主要用于机要文件交换、市内因公出行、到各乡镇司法所检查、督促、矫正人员的社会调查等工作所需车辆的燃料费、维修费、保险费等。</w:t>
      </w:r>
      <w:r>
        <w:rPr>
          <w:rFonts w:ascii="TimesNewRoman" w:hAnsi="TimesNewRoman" w:eastAsia="方正仿宋_GBK" w:cs="TimesNewRoman"/>
          <w:sz w:val="32"/>
          <w:szCs w:val="32"/>
        </w:rPr>
        <w:t xml:space="preserve">  </w:t>
      </w:r>
    </w:p>
    <w:p>
      <w:pPr>
        <w:spacing w:line="560"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公务接待费</w:t>
      </w:r>
      <w:r>
        <w:rPr>
          <w:rFonts w:ascii="TimesNewRoman" w:hAnsi="TimesNewRoman" w:eastAsia="方正仿宋_GBK" w:cs="TimesNewRoman"/>
          <w:sz w:val="32"/>
          <w:szCs w:val="32"/>
        </w:rPr>
        <w:t>1.28</w:t>
      </w:r>
      <w:r>
        <w:rPr>
          <w:rFonts w:hint="eastAsia" w:ascii="TimesNewRoman" w:hAnsi="TimesNewRoman" w:eastAsia="方正仿宋_GBK" w:cs="TimesNewRoman"/>
          <w:sz w:val="32"/>
          <w:szCs w:val="32"/>
        </w:rPr>
        <w:t>万元，主要用于接待用于依法治县</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三治结合</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建设、创建民主法治示范村（社区）。费用支出较年初预算数增加</w:t>
      </w:r>
      <w:r>
        <w:rPr>
          <w:rFonts w:ascii="TimesNewRoman" w:hAnsi="TimesNewRoman" w:eastAsia="方正仿宋_GBK" w:cs="TimesNewRoman"/>
          <w:sz w:val="32"/>
          <w:szCs w:val="32"/>
        </w:rPr>
        <w:t>0.25</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24.3%</w:t>
      </w:r>
      <w:r>
        <w:rPr>
          <w:rFonts w:hint="eastAsia" w:ascii="TimesNewRoman" w:hAnsi="TimesNewRoman" w:eastAsia="方正仿宋_GBK" w:cs="TimesNewRoman"/>
          <w:sz w:val="32"/>
          <w:szCs w:val="32"/>
        </w:rPr>
        <w:t>，主要原因是用于依法治县</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三治结合</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建设、创建民主法治示范村（社区）。较上年支出数增加</w:t>
      </w:r>
      <w:r>
        <w:rPr>
          <w:rFonts w:ascii="TimesNewRoman" w:hAnsi="TimesNewRoman" w:eastAsia="方正仿宋_GBK" w:cs="TimesNewRoman"/>
          <w:sz w:val="32"/>
          <w:szCs w:val="32"/>
        </w:rPr>
        <w:t>0.25</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24.3%</w:t>
      </w:r>
      <w:r>
        <w:rPr>
          <w:rFonts w:hint="eastAsia" w:ascii="TimesNewRoman" w:hAnsi="TimesNewRoman" w:eastAsia="方正仿宋_GBK" w:cs="TimesNewRoman"/>
          <w:sz w:val="32"/>
          <w:szCs w:val="32"/>
        </w:rPr>
        <w:t>，主要原因是用于依法治县</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三治结合</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建设、创建民主法治示范村（社区）。</w:t>
      </w:r>
    </w:p>
    <w:p>
      <w:pPr>
        <w:spacing w:line="560"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楷体_GBK" w:cs="TimesNewRoman"/>
          <w:sz w:val="32"/>
          <w:szCs w:val="32"/>
        </w:rPr>
        <w:t>（三）</w:t>
      </w:r>
      <w:r>
        <w:rPr>
          <w:rFonts w:ascii="TimesNewRoman" w:hAnsi="TimesNewRoman" w:eastAsia="方正楷体_GBK" w:cs="TimesNewRoman"/>
          <w:sz w:val="32"/>
          <w:szCs w:val="32"/>
        </w:rPr>
        <w:t>“</w:t>
      </w:r>
      <w:r>
        <w:rPr>
          <w:rFonts w:hint="eastAsia" w:ascii="TimesNewRoman" w:hAnsi="TimesNewRoman" w:eastAsia="方正楷体_GBK" w:cs="TimesNewRoman"/>
          <w:sz w:val="32"/>
          <w:szCs w:val="32"/>
        </w:rPr>
        <w:t>三公</w:t>
      </w:r>
      <w:r>
        <w:rPr>
          <w:rFonts w:ascii="TimesNewRoman" w:hAnsi="TimesNewRoman" w:eastAsia="方正楷体_GBK" w:cs="TimesNewRoman"/>
          <w:sz w:val="32"/>
          <w:szCs w:val="32"/>
        </w:rPr>
        <w:t>”</w:t>
      </w:r>
      <w:r>
        <w:rPr>
          <w:rFonts w:hint="eastAsia" w:ascii="TimesNewRoman" w:hAnsi="TimesNewRoman" w:eastAsia="方正楷体_GBK" w:cs="TimesNewRoman"/>
          <w:sz w:val="32"/>
          <w:szCs w:val="32"/>
        </w:rPr>
        <w:t>经费实物量情况</w:t>
      </w:r>
    </w:p>
    <w:p>
      <w:pPr>
        <w:spacing w:line="560"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年度本部门因公出国（境）共计</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个团组，</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人；公务用车购置</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辆，本单位</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年没有产生公务用车购置费用支出；公务车保有量为</w:t>
      </w:r>
      <w:r>
        <w:rPr>
          <w:rFonts w:ascii="TimesNewRoman" w:hAnsi="TimesNewRoman" w:eastAsia="方正仿宋_GBK" w:cs="TimesNewRoman"/>
          <w:sz w:val="32"/>
          <w:szCs w:val="32"/>
        </w:rPr>
        <w:t>4</w:t>
      </w:r>
      <w:r>
        <w:rPr>
          <w:rFonts w:hint="eastAsia" w:ascii="TimesNewRoman" w:hAnsi="TimesNewRoman" w:eastAsia="方正仿宋_GBK" w:cs="TimesNewRoman"/>
          <w:sz w:val="32"/>
          <w:szCs w:val="32"/>
        </w:rPr>
        <w:t>辆；国内公务接待</w:t>
      </w:r>
      <w:r>
        <w:rPr>
          <w:rFonts w:ascii="TimesNewRoman" w:hAnsi="TimesNewRoman" w:eastAsia="方正仿宋_GBK" w:cs="TimesNewRoman"/>
          <w:sz w:val="32"/>
          <w:szCs w:val="32"/>
        </w:rPr>
        <w:t>12</w:t>
      </w:r>
      <w:r>
        <w:rPr>
          <w:rFonts w:hint="eastAsia" w:ascii="TimesNewRoman" w:hAnsi="TimesNewRoman" w:eastAsia="方正仿宋_GBK" w:cs="TimesNewRoman"/>
          <w:sz w:val="32"/>
          <w:szCs w:val="32"/>
        </w:rPr>
        <w:t>批次</w:t>
      </w:r>
      <w:r>
        <w:rPr>
          <w:rFonts w:ascii="TimesNewRoman" w:hAnsi="TimesNewRoman" w:eastAsia="方正仿宋_GBK" w:cs="TimesNewRoman"/>
          <w:sz w:val="32"/>
          <w:szCs w:val="32"/>
        </w:rPr>
        <w:t>131</w:t>
      </w:r>
      <w:r>
        <w:rPr>
          <w:rFonts w:hint="eastAsia" w:ascii="TimesNewRoman" w:hAnsi="TimesNewRoman" w:eastAsia="方正仿宋_GBK" w:cs="TimesNewRoman"/>
          <w:sz w:val="32"/>
          <w:szCs w:val="32"/>
        </w:rPr>
        <w:t>人，其中：国内外事接待</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批次，</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人；本单位</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年没有产生国内外事接待费用支出；出国（境）外公务接待</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批次，</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人。本单位</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年没有产生国（境）外公务接待费用支出。</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年本部门人均接待费</w:t>
      </w:r>
      <w:r>
        <w:rPr>
          <w:rFonts w:ascii="TimesNewRoman" w:hAnsi="TimesNewRoman" w:eastAsia="方正仿宋_GBK" w:cs="TimesNewRoman"/>
          <w:sz w:val="32"/>
          <w:szCs w:val="32"/>
        </w:rPr>
        <w:t>97.46</w:t>
      </w:r>
      <w:r>
        <w:rPr>
          <w:rFonts w:hint="eastAsia" w:ascii="TimesNewRoman" w:hAnsi="TimesNewRoman" w:eastAsia="方正仿宋_GBK" w:cs="TimesNewRoman"/>
          <w:sz w:val="32"/>
          <w:szCs w:val="32"/>
        </w:rPr>
        <w:t>元，车均购置费</w:t>
      </w:r>
      <w:r>
        <w:rPr>
          <w:rFonts w:ascii="TimesNewRoman" w:hAnsi="TimesNewRoman" w:eastAsia="方正仿宋_GBK" w:cs="TimesNewRoman"/>
          <w:sz w:val="32"/>
          <w:szCs w:val="32"/>
        </w:rPr>
        <w:t>0.00</w:t>
      </w:r>
      <w:r>
        <w:rPr>
          <w:rFonts w:hint="eastAsia" w:ascii="TimesNewRoman" w:hAnsi="TimesNewRoman" w:eastAsia="方正仿宋_GBK" w:cs="TimesNewRoman"/>
          <w:sz w:val="32"/>
          <w:szCs w:val="32"/>
        </w:rPr>
        <w:t>万元，本单位</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年没有产生公务用车购置费用支出，车均维护费</w:t>
      </w:r>
      <w:r>
        <w:rPr>
          <w:rFonts w:ascii="TimesNewRoman" w:hAnsi="TimesNewRoman" w:eastAsia="方正仿宋_GBK" w:cs="TimesNewRoman"/>
          <w:sz w:val="32"/>
          <w:szCs w:val="32"/>
        </w:rPr>
        <w:t>2.89</w:t>
      </w:r>
      <w:r>
        <w:rPr>
          <w:rFonts w:hint="eastAsia" w:ascii="TimesNewRoman" w:hAnsi="TimesNewRoman" w:eastAsia="方正仿宋_GBK" w:cs="TimesNewRoman"/>
          <w:sz w:val="32"/>
          <w:szCs w:val="32"/>
        </w:rPr>
        <w:t>万元。</w:t>
      </w:r>
    </w:p>
    <w:p>
      <w:pPr>
        <w:spacing w:line="560" w:lineRule="exact"/>
        <w:ind w:firstLine="640" w:firstLineChars="200"/>
        <w:jc w:val="both"/>
        <w:rPr>
          <w:rFonts w:ascii="TimesNewRoman" w:hAnsi="TimesNewRoman" w:eastAsia="方正黑体_GBK" w:cs="TimesNewRoman"/>
          <w:sz w:val="32"/>
          <w:szCs w:val="32"/>
        </w:rPr>
      </w:pPr>
      <w:r>
        <w:rPr>
          <w:rFonts w:ascii="TimesNewRoman" w:hAnsi="TimesNewRoman" w:eastAsia="方正仿宋_GBK" w:cs="TimesNewRoman"/>
          <w:sz w:val="32"/>
          <w:szCs w:val="32"/>
        </w:rPr>
        <w:t> </w:t>
      </w:r>
      <w:r>
        <w:rPr>
          <w:rFonts w:hint="eastAsia" w:ascii="TimesNewRoman" w:hAnsi="TimesNewRoman" w:eastAsia="方正黑体_GBK" w:cs="TimesNewRoman"/>
          <w:sz w:val="32"/>
          <w:szCs w:val="32"/>
        </w:rPr>
        <w:t>四、其他需要说明的事项</w:t>
      </w:r>
    </w:p>
    <w:p>
      <w:pPr>
        <w:spacing w:line="560"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（一）一般公共预算财政拨款会议费和培训费情况说明</w:t>
      </w:r>
    </w:p>
    <w:p>
      <w:pPr>
        <w:spacing w:line="560"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仿宋_GBK" w:cs="TimesNewRoman"/>
          <w:sz w:val="32"/>
          <w:szCs w:val="32"/>
        </w:rPr>
        <w:t>本年度会议费支出</w:t>
      </w:r>
      <w:r>
        <w:rPr>
          <w:rFonts w:ascii="TimesNewRoman" w:hAnsi="TimesNewRoman" w:eastAsia="方正仿宋_GBK" w:cs="TimesNewRoman"/>
          <w:sz w:val="32"/>
          <w:szCs w:val="32"/>
        </w:rPr>
        <w:t>0.00</w:t>
      </w:r>
      <w:r>
        <w:rPr>
          <w:rFonts w:hint="eastAsia" w:ascii="TimesNewRoman" w:hAnsi="TimesNewRoman" w:eastAsia="方正仿宋_GBK" w:cs="TimesNewRoman"/>
          <w:sz w:val="32"/>
          <w:szCs w:val="32"/>
        </w:rPr>
        <w:t>万元，与年初预算数及上年支出数持平。本年度培训费支出</w:t>
      </w:r>
      <w:r>
        <w:rPr>
          <w:rFonts w:ascii="TimesNewRoman" w:hAnsi="TimesNewRoman" w:eastAsia="方正仿宋_GBK" w:cs="TimesNewRoman"/>
          <w:sz w:val="32"/>
          <w:szCs w:val="32"/>
        </w:rPr>
        <w:t>3.04</w:t>
      </w:r>
      <w:r>
        <w:rPr>
          <w:rFonts w:hint="eastAsia" w:ascii="TimesNewRoman" w:hAnsi="TimesNewRoman" w:eastAsia="方正仿宋_GBK" w:cs="TimesNewRoman"/>
          <w:sz w:val="32"/>
          <w:szCs w:val="32"/>
        </w:rPr>
        <w:t>万元，较上年决算数增加</w:t>
      </w:r>
      <w:r>
        <w:rPr>
          <w:rFonts w:ascii="TimesNewRoman" w:hAnsi="TimesNewRoman" w:eastAsia="方正仿宋_GBK" w:cs="TimesNewRoman"/>
          <w:sz w:val="32"/>
          <w:szCs w:val="32"/>
        </w:rPr>
        <w:t>1.65</w:t>
      </w:r>
      <w:r>
        <w:rPr>
          <w:rFonts w:hint="eastAsia" w:ascii="TimesNewRoman" w:hAnsi="TimesNewRoman" w:eastAsia="方正仿宋_GBK" w:cs="TimesNewRoman"/>
          <w:sz w:val="32"/>
          <w:szCs w:val="32"/>
        </w:rPr>
        <w:t>万元，增长</w:t>
      </w:r>
      <w:r>
        <w:rPr>
          <w:rFonts w:ascii="TimesNewRoman" w:hAnsi="TimesNewRoman" w:eastAsia="方正仿宋_GBK" w:cs="TimesNewRoman"/>
          <w:sz w:val="32"/>
          <w:szCs w:val="32"/>
        </w:rPr>
        <w:t>118.7%</w:t>
      </w:r>
      <w:r>
        <w:rPr>
          <w:rFonts w:hint="eastAsia" w:ascii="TimesNewRoman" w:hAnsi="TimesNewRoman" w:eastAsia="方正仿宋_GBK" w:cs="TimesNewRoman"/>
          <w:sz w:val="32"/>
          <w:szCs w:val="32"/>
        </w:rPr>
        <w:t>，主要原因是开展了司法所长、法制建设培训。</w:t>
      </w:r>
    </w:p>
    <w:p>
      <w:pPr>
        <w:spacing w:line="560"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（二）机关运行经费情况说明</w:t>
      </w:r>
    </w:p>
    <w:p>
      <w:pPr>
        <w:spacing w:line="560" w:lineRule="exact"/>
        <w:ind w:firstLine="640" w:firstLineChars="200"/>
        <w:jc w:val="both"/>
        <w:rPr>
          <w:rFonts w:ascii="TimesNewRoman" w:hAnsi="TimesNewRoman" w:eastAsia="方正楷体_GBK" w:cs="TimesNewRoman"/>
          <w:sz w:val="32"/>
          <w:szCs w:val="32"/>
        </w:rPr>
      </w:pP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年度本部门机关运行经费支出</w:t>
      </w:r>
      <w:r>
        <w:rPr>
          <w:rFonts w:ascii="TimesNewRoman" w:hAnsi="TimesNewRoman" w:eastAsia="方正仿宋_GBK" w:cs="TimesNewRoman"/>
          <w:sz w:val="32"/>
          <w:szCs w:val="32"/>
        </w:rPr>
        <w:t>309.15</w:t>
      </w:r>
      <w:r>
        <w:rPr>
          <w:rFonts w:hint="eastAsia" w:ascii="TimesNewRoman" w:hAnsi="TimesNewRoman" w:eastAsia="方正仿宋_GBK" w:cs="TimesNewRoman"/>
          <w:sz w:val="32"/>
          <w:szCs w:val="32"/>
        </w:rPr>
        <w:t>万元，机关运行经费主要用于开支办公费</w:t>
      </w:r>
      <w:r>
        <w:rPr>
          <w:rFonts w:ascii="TimesNewRoman" w:hAnsi="TimesNewRoman" w:eastAsia="方正仿宋_GBK" w:cs="TimesNewRoman"/>
          <w:sz w:val="32"/>
          <w:szCs w:val="32"/>
        </w:rPr>
        <w:t>21.38</w:t>
      </w:r>
      <w:r>
        <w:rPr>
          <w:rFonts w:hint="eastAsia" w:ascii="TimesNewRoman" w:hAnsi="TimesNewRoman" w:eastAsia="方正仿宋_GBK" w:cs="TimesNewRoman"/>
          <w:sz w:val="32"/>
          <w:szCs w:val="32"/>
        </w:rPr>
        <w:t>万元、水费</w:t>
      </w:r>
      <w:r>
        <w:rPr>
          <w:rFonts w:ascii="TimesNewRoman" w:hAnsi="TimesNewRoman" w:eastAsia="方正仿宋_GBK" w:cs="TimesNewRoman"/>
          <w:sz w:val="32"/>
          <w:szCs w:val="32"/>
        </w:rPr>
        <w:t>2.03</w:t>
      </w:r>
      <w:r>
        <w:rPr>
          <w:rFonts w:hint="eastAsia" w:ascii="TimesNewRoman" w:hAnsi="TimesNewRoman" w:eastAsia="方正仿宋_GBK" w:cs="TimesNewRoman"/>
          <w:sz w:val="32"/>
          <w:szCs w:val="32"/>
        </w:rPr>
        <w:t>万元、电费</w:t>
      </w:r>
      <w:r>
        <w:rPr>
          <w:rFonts w:ascii="TimesNewRoman" w:hAnsi="TimesNewRoman" w:eastAsia="方正仿宋_GBK" w:cs="TimesNewRoman"/>
          <w:sz w:val="32"/>
          <w:szCs w:val="32"/>
        </w:rPr>
        <w:t>0.1</w:t>
      </w:r>
      <w:r>
        <w:rPr>
          <w:rFonts w:hint="eastAsia" w:ascii="TimesNewRoman" w:hAnsi="TimesNewRoman" w:eastAsia="方正仿宋_GBK" w:cs="TimesNewRoman"/>
          <w:sz w:val="32"/>
          <w:szCs w:val="32"/>
        </w:rPr>
        <w:t>万元、邮电费</w:t>
      </w:r>
      <w:r>
        <w:rPr>
          <w:rFonts w:ascii="TimesNewRoman" w:hAnsi="TimesNewRoman" w:eastAsia="方正仿宋_GBK" w:cs="TimesNewRoman"/>
          <w:sz w:val="32"/>
          <w:szCs w:val="32"/>
        </w:rPr>
        <w:t>21.99</w:t>
      </w:r>
      <w:r>
        <w:rPr>
          <w:rFonts w:hint="eastAsia" w:ascii="TimesNewRoman" w:hAnsi="TimesNewRoman" w:eastAsia="方正仿宋_GBK" w:cs="TimesNewRoman"/>
          <w:sz w:val="32"/>
          <w:szCs w:val="32"/>
        </w:rPr>
        <w:t>万元、差旅费</w:t>
      </w:r>
      <w:r>
        <w:rPr>
          <w:rFonts w:ascii="TimesNewRoman" w:hAnsi="TimesNewRoman" w:eastAsia="方正仿宋_GBK" w:cs="TimesNewRoman"/>
          <w:sz w:val="32"/>
          <w:szCs w:val="32"/>
        </w:rPr>
        <w:t>4.36</w:t>
      </w:r>
      <w:r>
        <w:rPr>
          <w:rFonts w:hint="eastAsia" w:ascii="TimesNewRoman" w:hAnsi="TimesNewRoman" w:eastAsia="方正仿宋_GBK" w:cs="TimesNewRoman"/>
          <w:sz w:val="32"/>
          <w:szCs w:val="32"/>
        </w:rPr>
        <w:t>万元、维护费</w:t>
      </w:r>
      <w:r>
        <w:rPr>
          <w:rFonts w:ascii="TimesNewRoman" w:hAnsi="TimesNewRoman" w:eastAsia="方正仿宋_GBK" w:cs="TimesNewRoman"/>
          <w:sz w:val="32"/>
          <w:szCs w:val="32"/>
        </w:rPr>
        <w:t>13.37</w:t>
      </w:r>
      <w:r>
        <w:rPr>
          <w:rFonts w:hint="eastAsia" w:ascii="TimesNewRoman" w:hAnsi="TimesNewRoman" w:eastAsia="方正仿宋_GBK" w:cs="TimesNewRoman"/>
          <w:sz w:val="32"/>
          <w:szCs w:val="32"/>
        </w:rPr>
        <w:t>万元、培训费</w:t>
      </w:r>
      <w:r>
        <w:rPr>
          <w:rFonts w:ascii="TimesNewRoman" w:hAnsi="TimesNewRoman" w:eastAsia="方正仿宋_GBK" w:cs="TimesNewRoman"/>
          <w:sz w:val="32"/>
          <w:szCs w:val="32"/>
        </w:rPr>
        <w:t>3.04</w:t>
      </w:r>
      <w:r>
        <w:rPr>
          <w:rFonts w:hint="eastAsia" w:ascii="TimesNewRoman" w:hAnsi="TimesNewRoman" w:eastAsia="方正仿宋_GBK" w:cs="TimesNewRoman"/>
          <w:sz w:val="32"/>
          <w:szCs w:val="32"/>
        </w:rPr>
        <w:t>万元、公务接待费</w:t>
      </w:r>
      <w:r>
        <w:rPr>
          <w:rFonts w:ascii="TimesNewRoman" w:hAnsi="TimesNewRoman" w:eastAsia="方正仿宋_GBK" w:cs="TimesNewRoman"/>
          <w:sz w:val="32"/>
          <w:szCs w:val="32"/>
        </w:rPr>
        <w:t>1.28</w:t>
      </w:r>
      <w:r>
        <w:rPr>
          <w:rFonts w:hint="eastAsia" w:ascii="TimesNewRoman" w:hAnsi="TimesNewRoman" w:eastAsia="方正仿宋_GBK" w:cs="TimesNewRoman"/>
          <w:sz w:val="32"/>
          <w:szCs w:val="32"/>
        </w:rPr>
        <w:t>万元、劳务费</w:t>
      </w:r>
      <w:r>
        <w:rPr>
          <w:rFonts w:ascii="TimesNewRoman" w:hAnsi="TimesNewRoman" w:eastAsia="方正仿宋_GBK" w:cs="TimesNewRoman"/>
          <w:sz w:val="32"/>
          <w:szCs w:val="32"/>
        </w:rPr>
        <w:t>119.48</w:t>
      </w:r>
      <w:r>
        <w:rPr>
          <w:rFonts w:hint="eastAsia" w:ascii="TimesNewRoman" w:hAnsi="TimesNewRoman" w:eastAsia="方正仿宋_GBK" w:cs="TimesNewRoman"/>
          <w:sz w:val="32"/>
          <w:szCs w:val="32"/>
        </w:rPr>
        <w:t>万元、委托费</w:t>
      </w:r>
      <w:r>
        <w:rPr>
          <w:rFonts w:ascii="TimesNewRoman" w:hAnsi="TimesNewRoman" w:eastAsia="方正仿宋_GBK" w:cs="TimesNewRoman"/>
          <w:sz w:val="32"/>
          <w:szCs w:val="32"/>
        </w:rPr>
        <w:t>17.73</w:t>
      </w:r>
      <w:r>
        <w:rPr>
          <w:rFonts w:hint="eastAsia" w:ascii="TimesNewRoman" w:hAnsi="TimesNewRoman" w:eastAsia="方正仿宋_GBK" w:cs="TimesNewRoman"/>
          <w:sz w:val="32"/>
          <w:szCs w:val="32"/>
        </w:rPr>
        <w:t>万元、专用材料费</w:t>
      </w:r>
      <w:r>
        <w:rPr>
          <w:rFonts w:ascii="TimesNewRoman" w:hAnsi="TimesNewRoman" w:eastAsia="方正仿宋_GBK" w:cs="TimesNewRoman"/>
          <w:sz w:val="32"/>
          <w:szCs w:val="32"/>
        </w:rPr>
        <w:t>1.12</w:t>
      </w:r>
      <w:r>
        <w:rPr>
          <w:rFonts w:hint="eastAsia" w:ascii="TimesNewRoman" w:hAnsi="TimesNewRoman" w:eastAsia="方正仿宋_GBK" w:cs="TimesNewRoman"/>
          <w:sz w:val="32"/>
          <w:szCs w:val="32"/>
        </w:rPr>
        <w:t>万元、福利费</w:t>
      </w:r>
      <w:r>
        <w:rPr>
          <w:rFonts w:ascii="TimesNewRoman" w:hAnsi="TimesNewRoman" w:eastAsia="方正仿宋_GBK" w:cs="TimesNewRoman"/>
          <w:sz w:val="32"/>
          <w:szCs w:val="32"/>
        </w:rPr>
        <w:t>3.76</w:t>
      </w:r>
      <w:r>
        <w:rPr>
          <w:rFonts w:hint="eastAsia" w:ascii="TimesNewRoman" w:hAnsi="TimesNewRoman" w:eastAsia="方正仿宋_GBK" w:cs="TimesNewRoman"/>
          <w:sz w:val="32"/>
          <w:szCs w:val="32"/>
        </w:rPr>
        <w:t>万元、工会经费</w:t>
      </w:r>
      <w:r>
        <w:rPr>
          <w:rFonts w:ascii="TimesNewRoman" w:hAnsi="TimesNewRoman" w:eastAsia="方正仿宋_GBK" w:cs="TimesNewRoman"/>
          <w:sz w:val="32"/>
          <w:szCs w:val="32"/>
        </w:rPr>
        <w:t>34.05</w:t>
      </w:r>
      <w:r>
        <w:rPr>
          <w:rFonts w:hint="eastAsia" w:ascii="TimesNewRoman" w:hAnsi="TimesNewRoman" w:eastAsia="方正仿宋_GBK" w:cs="TimesNewRoman"/>
          <w:sz w:val="32"/>
          <w:szCs w:val="32"/>
        </w:rPr>
        <w:t>万元、其他交通费用</w:t>
      </w:r>
      <w:r>
        <w:rPr>
          <w:rFonts w:ascii="TimesNewRoman" w:hAnsi="TimesNewRoman" w:eastAsia="方正仿宋_GBK" w:cs="TimesNewRoman"/>
          <w:sz w:val="32"/>
          <w:szCs w:val="32"/>
        </w:rPr>
        <w:t>37.31</w:t>
      </w:r>
      <w:r>
        <w:rPr>
          <w:rFonts w:hint="eastAsia" w:ascii="TimesNewRoman" w:hAnsi="TimesNewRoman" w:eastAsia="方正仿宋_GBK" w:cs="TimesNewRoman"/>
          <w:sz w:val="32"/>
          <w:szCs w:val="32"/>
        </w:rPr>
        <w:t>万元、公务用车运行维护费</w:t>
      </w:r>
      <w:r>
        <w:rPr>
          <w:rFonts w:ascii="TimesNewRoman" w:hAnsi="TimesNewRoman" w:eastAsia="方正仿宋_GBK" w:cs="TimesNewRoman"/>
          <w:sz w:val="32"/>
          <w:szCs w:val="32"/>
        </w:rPr>
        <w:t>10.87</w:t>
      </w:r>
      <w:r>
        <w:rPr>
          <w:rFonts w:hint="eastAsia" w:ascii="TimesNewRoman" w:hAnsi="TimesNewRoman" w:eastAsia="方正仿宋_GBK" w:cs="TimesNewRoman"/>
          <w:sz w:val="32"/>
          <w:szCs w:val="32"/>
        </w:rPr>
        <w:t>万元、</w:t>
      </w:r>
      <w:r>
        <w:rPr>
          <w:rFonts w:ascii="TimesNewRoman" w:hAnsi="TimesNewRoman" w:eastAsia="方正仿宋_GBK" w:cs="TimesNewRoman"/>
          <w:sz w:val="32"/>
          <w:szCs w:val="32"/>
        </w:rPr>
        <w:t xml:space="preserve"> </w:t>
      </w:r>
      <w:r>
        <w:rPr>
          <w:rFonts w:hint="eastAsia" w:ascii="TimesNewRoman" w:hAnsi="TimesNewRoman" w:eastAsia="方正仿宋_GBK" w:cs="TimesNewRoman"/>
          <w:sz w:val="32"/>
          <w:szCs w:val="32"/>
        </w:rPr>
        <w:t>其他商品和服务支出</w:t>
      </w:r>
      <w:r>
        <w:rPr>
          <w:rFonts w:ascii="TimesNewRoman" w:hAnsi="TimesNewRoman" w:eastAsia="方正仿宋_GBK" w:cs="TimesNewRoman"/>
          <w:sz w:val="32"/>
          <w:szCs w:val="32"/>
        </w:rPr>
        <w:t>17.27</w:t>
      </w:r>
      <w:r>
        <w:rPr>
          <w:rFonts w:hint="eastAsia" w:ascii="TimesNewRoman" w:hAnsi="TimesNewRoman" w:eastAsia="方正仿宋_GBK" w:cs="TimesNewRoman"/>
          <w:sz w:val="32"/>
          <w:szCs w:val="32"/>
        </w:rPr>
        <w:t>万元。机关运行经费较上年决算数减少</w:t>
      </w:r>
      <w:r>
        <w:rPr>
          <w:rFonts w:ascii="TimesNewRoman" w:hAnsi="TimesNewRoman" w:eastAsia="方正仿宋_GBK" w:cs="TimesNewRoman"/>
          <w:sz w:val="32"/>
          <w:szCs w:val="32"/>
        </w:rPr>
        <w:t>47.29</w:t>
      </w:r>
      <w:r>
        <w:rPr>
          <w:rFonts w:hint="eastAsia" w:ascii="TimesNewRoman" w:hAnsi="TimesNewRoman" w:eastAsia="方正仿宋_GBK" w:cs="TimesNewRoman"/>
          <w:sz w:val="32"/>
          <w:szCs w:val="32"/>
        </w:rPr>
        <w:t>万元，下降</w:t>
      </w:r>
      <w:r>
        <w:rPr>
          <w:rFonts w:ascii="TimesNewRoman" w:hAnsi="TimesNewRoman" w:eastAsia="方正仿宋_GBK" w:cs="TimesNewRoman"/>
          <w:sz w:val="32"/>
          <w:szCs w:val="32"/>
        </w:rPr>
        <w:t>13.3%</w:t>
      </w:r>
      <w:r>
        <w:rPr>
          <w:rFonts w:hint="eastAsia" w:ascii="TimesNewRoman" w:hAnsi="TimesNewRoman" w:eastAsia="方正仿宋_GBK" w:cs="TimesNewRoman"/>
          <w:sz w:val="32"/>
          <w:szCs w:val="32"/>
        </w:rPr>
        <w:t>，主要原因是依法治县</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三治结合</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建设、创建民主法治示范村（社区）。</w:t>
      </w:r>
    </w:p>
    <w:p>
      <w:pPr>
        <w:spacing w:line="560"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（三）国有资产占用情况说明</w:t>
      </w:r>
    </w:p>
    <w:p>
      <w:pPr>
        <w:spacing w:line="560"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仿宋_GBK" w:cs="TimesNewRoman"/>
          <w:sz w:val="32"/>
          <w:szCs w:val="32"/>
        </w:rPr>
        <w:t>截至</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w:t>
      </w:r>
      <w:r>
        <w:rPr>
          <w:rFonts w:ascii="TimesNewRoman" w:hAnsi="TimesNewRoman" w:eastAsia="方正仿宋_GBK" w:cs="TimesNewRoman"/>
          <w:sz w:val="32"/>
          <w:szCs w:val="32"/>
        </w:rPr>
        <w:t>12</w:t>
      </w:r>
      <w:r>
        <w:rPr>
          <w:rFonts w:hint="eastAsia" w:ascii="TimesNewRoman" w:hAnsi="TimesNewRoman" w:eastAsia="方正仿宋_GBK" w:cs="TimesNewRoman"/>
          <w:sz w:val="32"/>
          <w:szCs w:val="32"/>
        </w:rPr>
        <w:t>月</w:t>
      </w:r>
      <w:r>
        <w:rPr>
          <w:rFonts w:ascii="TimesNewRoman" w:hAnsi="TimesNewRoman" w:eastAsia="方正仿宋_GBK" w:cs="TimesNewRoman"/>
          <w:sz w:val="32"/>
          <w:szCs w:val="32"/>
        </w:rPr>
        <w:t>31</w:t>
      </w:r>
      <w:r>
        <w:rPr>
          <w:rFonts w:hint="eastAsia" w:ascii="TimesNewRoman" w:hAnsi="TimesNewRoman" w:eastAsia="方正仿宋_GBK" w:cs="TimesNewRoman"/>
          <w:sz w:val="32"/>
          <w:szCs w:val="32"/>
        </w:rPr>
        <w:t>日，本部门共有车辆</w:t>
      </w:r>
      <w:r>
        <w:rPr>
          <w:rFonts w:ascii="TimesNewRoman" w:hAnsi="TimesNewRoman" w:eastAsia="方正仿宋_GBK" w:cs="TimesNewRoman"/>
          <w:sz w:val="32"/>
          <w:szCs w:val="32"/>
        </w:rPr>
        <w:t>4</w:t>
      </w:r>
      <w:r>
        <w:rPr>
          <w:rFonts w:hint="eastAsia" w:ascii="TimesNewRoman" w:hAnsi="TimesNewRoman" w:eastAsia="方正仿宋_GBK" w:cs="TimesNewRoman"/>
          <w:sz w:val="32"/>
          <w:szCs w:val="32"/>
        </w:rPr>
        <w:t>辆，应急保障用车</w:t>
      </w:r>
      <w:r>
        <w:rPr>
          <w:rFonts w:ascii="TimesNewRoman" w:hAnsi="TimesNewRoman" w:eastAsia="方正仿宋_GBK" w:cs="TimesNewRoman"/>
          <w:sz w:val="32"/>
          <w:szCs w:val="32"/>
        </w:rPr>
        <w:t>4</w:t>
      </w:r>
      <w:r>
        <w:rPr>
          <w:rFonts w:hint="eastAsia" w:ascii="TimesNewRoman" w:hAnsi="TimesNewRoman" w:eastAsia="方正仿宋_GBK" w:cs="TimesNewRoman"/>
          <w:sz w:val="32"/>
          <w:szCs w:val="32"/>
        </w:rPr>
        <w:t>辆、单价</w:t>
      </w:r>
      <w:r>
        <w:rPr>
          <w:rFonts w:ascii="TimesNewRoman" w:hAnsi="TimesNewRoman" w:eastAsia="方正仿宋_GBK" w:cs="TimesNewRoman"/>
          <w:sz w:val="32"/>
          <w:szCs w:val="32"/>
        </w:rPr>
        <w:t>50</w:t>
      </w:r>
      <w:r>
        <w:rPr>
          <w:rFonts w:hint="eastAsia" w:ascii="TimesNewRoman" w:hAnsi="TimesNewRoman" w:eastAsia="方正仿宋_GBK" w:cs="TimesNewRoman"/>
          <w:sz w:val="32"/>
          <w:szCs w:val="32"/>
        </w:rPr>
        <w:t>万元（含）以上通用设备</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台（套），单价</w:t>
      </w:r>
      <w:r>
        <w:rPr>
          <w:rFonts w:ascii="TimesNewRoman" w:hAnsi="TimesNewRoman" w:eastAsia="方正仿宋_GBK" w:cs="TimesNewRoman"/>
          <w:sz w:val="32"/>
          <w:szCs w:val="32"/>
        </w:rPr>
        <w:t>100</w:t>
      </w:r>
      <w:r>
        <w:rPr>
          <w:rFonts w:hint="eastAsia" w:ascii="TimesNewRoman" w:hAnsi="TimesNewRoman" w:eastAsia="方正仿宋_GBK" w:cs="TimesNewRoman"/>
          <w:sz w:val="32"/>
          <w:szCs w:val="32"/>
        </w:rPr>
        <w:t>万元（含）以上专用设备</w:t>
      </w:r>
      <w:r>
        <w:rPr>
          <w:rFonts w:ascii="TimesNewRoman" w:hAnsi="TimesNewRoman" w:eastAsia="方正仿宋_GBK" w:cs="TimesNewRoman"/>
          <w:sz w:val="32"/>
          <w:szCs w:val="32"/>
        </w:rPr>
        <w:t>0</w:t>
      </w:r>
      <w:r>
        <w:rPr>
          <w:rFonts w:hint="eastAsia" w:ascii="TimesNewRoman" w:hAnsi="TimesNewRoman" w:eastAsia="方正仿宋_GBK" w:cs="TimesNewRoman"/>
          <w:sz w:val="32"/>
          <w:szCs w:val="32"/>
        </w:rPr>
        <w:t>台（套）。</w:t>
      </w:r>
    </w:p>
    <w:p>
      <w:pPr>
        <w:spacing w:line="560"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（四）政府采购支出情况说明</w:t>
      </w:r>
    </w:p>
    <w:p>
      <w:pPr>
        <w:spacing w:line="560" w:lineRule="exact"/>
        <w:ind w:firstLine="640" w:firstLineChars="200"/>
        <w:jc w:val="both"/>
        <w:rPr>
          <w:rFonts w:ascii="TimesNewRoman" w:hAnsi="TimesNewRoman" w:eastAsia="方正楷体_GBK" w:cs="TimesNewRoman"/>
          <w:sz w:val="32"/>
          <w:szCs w:val="32"/>
        </w:rPr>
      </w:pPr>
      <w:r>
        <w:rPr>
          <w:rFonts w:ascii="TimesNewRoman" w:hAnsi="TimesNewRoman" w:eastAsia="方正仿宋_GBK" w:cs="TimesNewRoman"/>
          <w:sz w:val="32"/>
          <w:szCs w:val="32"/>
        </w:rPr>
        <w:t> 2021</w:t>
      </w:r>
      <w:r>
        <w:rPr>
          <w:rFonts w:hint="eastAsia" w:ascii="TimesNewRoman" w:hAnsi="TimesNewRoman" w:eastAsia="方正仿宋_GBK" w:cs="TimesNewRoman"/>
          <w:sz w:val="32"/>
          <w:szCs w:val="32"/>
        </w:rPr>
        <w:t>年度我单位未发生政府采购事项，无相关经费支出。</w:t>
      </w:r>
    </w:p>
    <w:p>
      <w:pPr>
        <w:spacing w:line="560" w:lineRule="exact"/>
        <w:ind w:firstLine="640" w:firstLineChars="200"/>
        <w:jc w:val="both"/>
        <w:rPr>
          <w:rFonts w:ascii="TimesNewRoman" w:hAnsi="TimesNewRoman" w:eastAsia="方正黑体_GBK" w:cs="TimesNewRoman"/>
          <w:sz w:val="32"/>
          <w:szCs w:val="32"/>
        </w:rPr>
      </w:pPr>
      <w:r>
        <w:rPr>
          <w:rFonts w:hint="eastAsia" w:ascii="TimesNewRoman" w:hAnsi="TimesNewRoman" w:eastAsia="方正黑体_GBK" w:cs="TimesNewRoman"/>
          <w:sz w:val="32"/>
          <w:szCs w:val="32"/>
        </w:rPr>
        <w:t>五、预算绩效管理情况说明</w:t>
      </w:r>
    </w:p>
    <w:p>
      <w:pPr>
        <w:spacing w:line="560"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（一）预算绩效管理工作开展情况</w:t>
      </w:r>
    </w:p>
    <w:p>
      <w:pPr>
        <w:spacing w:line="560"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仿宋_GBK" w:cs="TimesNewRoman"/>
          <w:sz w:val="32"/>
          <w:szCs w:val="32"/>
        </w:rPr>
        <w:t>根据预算绩效管理要求，我局对部门整体绩效目标和</w:t>
      </w:r>
      <w:r>
        <w:rPr>
          <w:rFonts w:ascii="TimesNewRoman" w:hAnsi="TimesNewRoman" w:eastAsia="方正仿宋_GBK" w:cs="TimesNewRoman"/>
          <w:sz w:val="32"/>
          <w:szCs w:val="32"/>
        </w:rPr>
        <w:t>5</w:t>
      </w:r>
      <w:r>
        <w:rPr>
          <w:rFonts w:hint="eastAsia" w:ascii="TimesNewRoman" w:hAnsi="TimesNewRoman" w:eastAsia="方正仿宋_GBK" w:cs="TimesNewRoman"/>
          <w:sz w:val="32"/>
          <w:szCs w:val="32"/>
        </w:rPr>
        <w:t>个项目开展了绩效自评，其中，以填报自评表形式开展自评</w:t>
      </w:r>
      <w:r>
        <w:rPr>
          <w:rFonts w:ascii="TimesNewRoman" w:hAnsi="TimesNewRoman" w:eastAsia="方正仿宋_GBK" w:cs="TimesNewRoman"/>
          <w:sz w:val="32"/>
          <w:szCs w:val="32"/>
        </w:rPr>
        <w:t>5</w:t>
      </w:r>
      <w:r>
        <w:rPr>
          <w:rFonts w:hint="eastAsia" w:ascii="TimesNewRoman" w:hAnsi="TimesNewRoman" w:eastAsia="方正仿宋_GBK" w:cs="TimesNewRoman"/>
          <w:sz w:val="32"/>
          <w:szCs w:val="32"/>
        </w:rPr>
        <w:t>项，涉及资金</w:t>
      </w:r>
      <w:r>
        <w:rPr>
          <w:rFonts w:ascii="TimesNewRoman" w:hAnsi="TimesNewRoman" w:eastAsia="方正仿宋_GBK" w:cs="TimesNewRoman"/>
          <w:sz w:val="32"/>
          <w:szCs w:val="32"/>
        </w:rPr>
        <w:t>426.82</w:t>
      </w:r>
      <w:r>
        <w:rPr>
          <w:rFonts w:hint="eastAsia" w:ascii="TimesNewRoman" w:hAnsi="TimesNewRoman" w:eastAsia="方正仿宋_GBK" w:cs="TimesNewRoman"/>
          <w:sz w:val="32"/>
          <w:szCs w:val="32"/>
        </w:rPr>
        <w:t>万元。</w:t>
      </w:r>
      <w:r>
        <w:rPr>
          <w:rFonts w:ascii="TimesNewRoman" w:hAnsi="TimesNewRoman" w:eastAsia="方正仿宋_GBK" w:cs="TimesNewRoman"/>
          <w:sz w:val="32"/>
          <w:szCs w:val="32"/>
        </w:rPr>
        <w:t xml:space="preserve"> </w:t>
      </w:r>
    </w:p>
    <w:p>
      <w:pPr>
        <w:spacing w:line="560" w:lineRule="exact"/>
        <w:ind w:firstLine="640" w:firstLineChars="200"/>
        <w:jc w:val="both"/>
        <w:rPr>
          <w:rFonts w:ascii="TimesNewRoman" w:hAnsi="TimesNewRoman" w:eastAsia="方正楷体_GBK" w:cs="TimesNewRoman"/>
          <w:sz w:val="32"/>
          <w:szCs w:val="32"/>
        </w:rPr>
      </w:pPr>
      <w:r>
        <w:rPr>
          <w:rFonts w:hint="eastAsia" w:ascii="TimesNewRoman" w:hAnsi="TimesNewRoman" w:eastAsia="方正楷体_GBK" w:cs="TimesNewRoman"/>
          <w:sz w:val="32"/>
          <w:szCs w:val="32"/>
        </w:rPr>
        <w:t>（二）绩效自评结果</w:t>
      </w:r>
    </w:p>
    <w:p>
      <w:pPr>
        <w:spacing w:line="560"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1.</w:t>
      </w:r>
      <w:r>
        <w:rPr>
          <w:rFonts w:hint="eastAsia" w:ascii="TimesNewRoman" w:hAnsi="TimesNewRoman" w:eastAsia="方正仿宋_GBK" w:cs="TimesNewRoman"/>
          <w:sz w:val="32"/>
          <w:szCs w:val="32"/>
        </w:rPr>
        <w:t>绩效目标自评表</w:t>
      </w:r>
    </w:p>
    <w:p>
      <w:pPr>
        <w:spacing w:line="560"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1</w:t>
      </w:r>
      <w:r>
        <w:rPr>
          <w:rFonts w:hint="eastAsia" w:ascii="TimesNewRoman" w:hAnsi="TimesNewRoman" w:eastAsia="方正仿宋_GBK" w:cs="TimesNewRoman"/>
          <w:sz w:val="32"/>
          <w:szCs w:val="32"/>
        </w:rPr>
        <w:t>）整体目标自评表</w:t>
      </w:r>
    </w:p>
    <w:p>
      <w:pPr>
        <w:spacing w:line="600" w:lineRule="atLeast"/>
        <w:jc w:val="both"/>
        <w:rPr>
          <w:rFonts w:ascii="TimesNewRoman" w:hAnsi="TimesNewRoman" w:eastAsia="Times New Roman" w:cs="TimesNewRoman"/>
          <w:b/>
          <w:color w:val="000000"/>
          <w:sz w:val="44"/>
        </w:rPr>
      </w:pPr>
    </w:p>
    <w:p>
      <w:pPr>
        <w:spacing w:line="600" w:lineRule="atLeast"/>
        <w:jc w:val="both"/>
        <w:rPr>
          <w:rFonts w:ascii="TimesNewRoman" w:hAnsi="TimesNewRoman" w:eastAsia="Times New Roman" w:cs="TimesNewRoman"/>
          <w:b/>
          <w:color w:val="000000"/>
          <w:sz w:val="44"/>
        </w:rPr>
        <w:sectPr>
          <w:footerReference r:id="rId3" w:type="default"/>
          <w:footerReference r:id="rId4" w:type="even"/>
          <w:pgSz w:w="11907" w:h="16840"/>
          <w:pgMar w:top="1446" w:right="1644" w:bottom="1446" w:left="1985" w:header="851" w:footer="992" w:gutter="0"/>
          <w:pgNumType w:fmt="numberInDash"/>
          <w:cols w:space="720" w:num="1"/>
          <w:docGrid w:type="lines" w:linePitch="326" w:charSpace="0"/>
        </w:sectPr>
      </w:pPr>
    </w:p>
    <w:p>
      <w:pPr>
        <w:spacing w:line="600" w:lineRule="atLeast"/>
        <w:jc w:val="center"/>
        <w:rPr>
          <w:rFonts w:ascii="TimesNewRoman" w:hAnsi="TimesNewRoman" w:eastAsia="方正小标宋_GBK" w:cs="TimesNewRoman"/>
        </w:rPr>
      </w:pPr>
      <w:r>
        <w:rPr>
          <w:rFonts w:hint="eastAsia" w:ascii="TimesNewRoman" w:hAnsi="TimesNewRoman" w:eastAsia="方正小标宋_GBK" w:cs="TimesNewRoman"/>
          <w:color w:val="000000"/>
          <w:sz w:val="44"/>
        </w:rPr>
        <w:t>垫江县司法局部门整体支出绩效评价自评表</w:t>
      </w:r>
    </w:p>
    <w:tbl>
      <w:tblPr>
        <w:tblStyle w:val="5"/>
        <w:tblW w:w="141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777"/>
        <w:gridCol w:w="26"/>
        <w:gridCol w:w="1182"/>
        <w:gridCol w:w="6554"/>
        <w:gridCol w:w="3780"/>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restart"/>
            <w:vAlign w:val="center"/>
          </w:tcPr>
          <w:p>
            <w:pPr>
              <w:spacing w:line="68" w:lineRule="atLeast"/>
              <w:jc w:val="both"/>
              <w:rPr>
                <w:rFonts w:ascii="TimesNewRoman" w:hAnsi="TimesNewRoman" w:eastAsia="方正黑体_GBK" w:cs="TimesNewRoman"/>
              </w:rPr>
            </w:pPr>
            <w:r>
              <w:rPr>
                <w:rFonts w:hint="eastAsia" w:ascii="TimesNewRoman" w:hAnsi="TimesNewRoman" w:eastAsia="方正黑体_GBK" w:cs="TimesNewRoman"/>
                <w:bCs/>
              </w:rPr>
              <w:t>一级指标</w:t>
            </w:r>
          </w:p>
        </w:tc>
        <w:tc>
          <w:tcPr>
            <w:tcW w:w="803" w:type="dxa"/>
            <w:gridSpan w:val="2"/>
            <w:vMerge w:val="restart"/>
            <w:vAlign w:val="center"/>
          </w:tcPr>
          <w:p>
            <w:pPr>
              <w:spacing w:line="68" w:lineRule="atLeast"/>
              <w:jc w:val="both"/>
              <w:rPr>
                <w:rFonts w:ascii="TimesNewRoman" w:hAnsi="TimesNewRoman" w:eastAsia="方正黑体_GBK" w:cs="TimesNewRoman"/>
              </w:rPr>
            </w:pPr>
            <w:r>
              <w:rPr>
                <w:rFonts w:hint="eastAsia" w:ascii="TimesNewRoman" w:hAnsi="TimesNewRoman" w:eastAsia="方正黑体_GBK" w:cs="TimesNewRoman"/>
                <w:bCs/>
              </w:rPr>
              <w:t>二级指标</w:t>
            </w:r>
          </w:p>
        </w:tc>
        <w:tc>
          <w:tcPr>
            <w:tcW w:w="7736" w:type="dxa"/>
            <w:gridSpan w:val="2"/>
            <w:tcBorders>
              <w:right w:val="single" w:color="auto" w:sz="4" w:space="0"/>
            </w:tcBorders>
            <w:vAlign w:val="center"/>
          </w:tcPr>
          <w:p>
            <w:pPr>
              <w:spacing w:line="68" w:lineRule="atLeast"/>
              <w:jc w:val="center"/>
              <w:rPr>
                <w:rFonts w:ascii="TimesNewRoman" w:hAnsi="TimesNewRoman" w:eastAsia="方正黑体_GBK" w:cs="TimesNewRoman"/>
              </w:rPr>
            </w:pPr>
            <w:r>
              <w:rPr>
                <w:rFonts w:hint="eastAsia" w:ascii="TimesNewRoman" w:hAnsi="TimesNewRoman" w:eastAsia="方正黑体_GBK" w:cs="TimesNewRoman"/>
                <w:bCs/>
              </w:rPr>
              <w:t>三级指标</w:t>
            </w:r>
          </w:p>
        </w:tc>
        <w:tc>
          <w:tcPr>
            <w:tcW w:w="3780" w:type="dxa"/>
            <w:vMerge w:val="restart"/>
            <w:tcBorders>
              <w:left w:val="single" w:color="auto" w:sz="4" w:space="0"/>
              <w:right w:val="single" w:color="auto" w:sz="4" w:space="0"/>
            </w:tcBorders>
            <w:vAlign w:val="center"/>
          </w:tcPr>
          <w:p>
            <w:pPr>
              <w:spacing w:line="68" w:lineRule="atLeast"/>
              <w:jc w:val="center"/>
              <w:rPr>
                <w:rFonts w:ascii="TimesNewRoman" w:hAnsi="TimesNewRoman" w:eastAsia="方正黑体_GBK" w:cs="TimesNewRoman"/>
              </w:rPr>
            </w:pPr>
            <w:r>
              <w:rPr>
                <w:rFonts w:hint="eastAsia" w:ascii="TimesNewRoman" w:hAnsi="TimesNewRoman" w:eastAsia="方正黑体_GBK" w:cs="TimesNewRoman"/>
                <w:bCs/>
              </w:rPr>
              <w:t>评分标准</w:t>
            </w:r>
          </w:p>
        </w:tc>
        <w:tc>
          <w:tcPr>
            <w:tcW w:w="1090" w:type="dxa"/>
            <w:vMerge w:val="restart"/>
            <w:tcBorders>
              <w:left w:val="single" w:color="auto" w:sz="4" w:space="0"/>
              <w:right w:val="single" w:color="auto" w:sz="4" w:space="0"/>
            </w:tcBorders>
            <w:vAlign w:val="center"/>
          </w:tcPr>
          <w:p>
            <w:pPr>
              <w:spacing w:line="68" w:lineRule="atLeast"/>
              <w:jc w:val="center"/>
              <w:rPr>
                <w:rFonts w:ascii="TimesNewRoman" w:hAnsi="TimesNewRoman" w:eastAsia="方正黑体_GBK" w:cs="TimesNewRoman"/>
              </w:rPr>
            </w:pPr>
            <w:r>
              <w:rPr>
                <w:rFonts w:hint="eastAsia" w:ascii="TimesNewRoman" w:hAnsi="TimesNewRoman" w:eastAsia="方正黑体_GBK" w:cs="TimesNewRoman"/>
                <w:bCs/>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continue"/>
            <w:vAlign w:val="center"/>
          </w:tcPr>
          <w:p>
            <w:pPr>
              <w:jc w:val="both"/>
              <w:rPr>
                <w:rFonts w:ascii="TimesNewRoman" w:hAnsi="TimesNewRoman" w:eastAsia="Times New Roman" w:cs="TimesNewRoman"/>
              </w:rPr>
            </w:pPr>
          </w:p>
        </w:tc>
        <w:tc>
          <w:tcPr>
            <w:tcW w:w="803" w:type="dxa"/>
            <w:gridSpan w:val="2"/>
            <w:vMerge w:val="continue"/>
            <w:vAlign w:val="center"/>
          </w:tcPr>
          <w:p>
            <w:pPr>
              <w:jc w:val="both"/>
              <w:rPr>
                <w:rFonts w:ascii="TimesNewRoman" w:hAnsi="TimesNewRoman" w:eastAsia="Times New Roman" w:cs="TimesNewRoman"/>
              </w:rPr>
            </w:pPr>
          </w:p>
        </w:tc>
        <w:tc>
          <w:tcPr>
            <w:tcW w:w="1182" w:type="dxa"/>
            <w:tcBorders>
              <w:right w:val="single" w:color="auto" w:sz="4" w:space="0"/>
            </w:tcBorders>
            <w:vAlign w:val="center"/>
          </w:tcPr>
          <w:p>
            <w:pPr>
              <w:spacing w:line="68" w:lineRule="atLeast"/>
              <w:jc w:val="both"/>
              <w:rPr>
                <w:rFonts w:ascii="TimesNewRoman" w:hAnsi="TimesNewRoman" w:eastAsia="方正黑体_GBK" w:cs="TimesNewRoman"/>
              </w:rPr>
            </w:pPr>
            <w:r>
              <w:rPr>
                <w:rFonts w:hint="eastAsia" w:ascii="TimesNewRoman" w:hAnsi="TimesNewRoman" w:eastAsia="方正黑体_GBK" w:cs="TimesNewRoman"/>
                <w:bCs/>
              </w:rPr>
              <w:t>指标名称</w:t>
            </w:r>
          </w:p>
        </w:tc>
        <w:tc>
          <w:tcPr>
            <w:tcW w:w="6554" w:type="dxa"/>
            <w:tcBorders>
              <w:left w:val="single" w:color="auto" w:sz="4" w:space="0"/>
              <w:right w:val="single" w:color="auto" w:sz="4" w:space="0"/>
            </w:tcBorders>
            <w:vAlign w:val="center"/>
          </w:tcPr>
          <w:p>
            <w:pPr>
              <w:spacing w:line="68" w:lineRule="atLeast"/>
              <w:jc w:val="center"/>
              <w:rPr>
                <w:rFonts w:ascii="TimesNewRoman" w:hAnsi="TimesNewRoman" w:eastAsia="方正黑体_GBK" w:cs="TimesNewRoman"/>
              </w:rPr>
            </w:pPr>
            <w:r>
              <w:rPr>
                <w:rFonts w:hint="eastAsia" w:ascii="TimesNewRoman" w:hAnsi="TimesNewRoman" w:eastAsia="方正黑体_GBK" w:cs="TimesNewRoman"/>
                <w:bCs/>
              </w:rPr>
              <w:t>指标解释说明</w:t>
            </w:r>
          </w:p>
        </w:tc>
        <w:tc>
          <w:tcPr>
            <w:tcW w:w="3780" w:type="dxa"/>
            <w:vMerge w:val="continue"/>
            <w:tcBorders>
              <w:left w:val="single" w:color="auto" w:sz="4" w:space="0"/>
              <w:right w:val="single" w:color="auto" w:sz="4" w:space="0"/>
            </w:tcBorders>
            <w:vAlign w:val="center"/>
          </w:tcPr>
          <w:p>
            <w:pPr>
              <w:jc w:val="both"/>
              <w:rPr>
                <w:rFonts w:ascii="TimesNewRoman" w:hAnsi="TimesNewRoman" w:eastAsia="Times New Roman" w:cs="TimesNewRoman"/>
              </w:rPr>
            </w:pPr>
          </w:p>
        </w:tc>
        <w:tc>
          <w:tcPr>
            <w:tcW w:w="1090" w:type="dxa"/>
            <w:vMerge w:val="continue"/>
            <w:tcBorders>
              <w:left w:val="single" w:color="auto" w:sz="4" w:space="0"/>
              <w:right w:val="single" w:color="auto" w:sz="4" w:space="0"/>
            </w:tcBorders>
            <w:vAlign w:val="center"/>
          </w:tcPr>
          <w:p>
            <w:pPr>
              <w:jc w:val="both"/>
              <w:rPr>
                <w:rFonts w:ascii="TimesNewRoman" w:hAnsi="TimesNewRoman" w:eastAsia="Times New Roman" w:cs="TimesNew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jc w:val="center"/>
        </w:trPr>
        <w:tc>
          <w:tcPr>
            <w:tcW w:w="733" w:type="dxa"/>
            <w:vMerge w:val="restart"/>
          </w:tcPr>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r>
              <w:rPr>
                <w:rFonts w:hint="eastAsia" w:ascii="TimesNewRoman" w:hAnsi="TimesNewRoman" w:eastAsia="方正楷体_GBK" w:cs="TimesNewRoman"/>
              </w:rPr>
              <w:t>投入（</w:t>
            </w:r>
            <w:r>
              <w:rPr>
                <w:rFonts w:ascii="TimesNewRoman" w:hAnsi="TimesNewRoman" w:eastAsia="方正楷体_GBK" w:cs="TimesNewRoman"/>
              </w:rPr>
              <w:t>10</w:t>
            </w:r>
            <w:r>
              <w:rPr>
                <w:rFonts w:hint="eastAsia" w:ascii="TimesNewRoman" w:hAnsi="TimesNewRoman" w:eastAsia="方正楷体_GBK" w:cs="TimesNewRoman"/>
              </w:rPr>
              <w:t>分）</w:t>
            </w: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tc>
        <w:tc>
          <w:tcPr>
            <w:tcW w:w="803" w:type="dxa"/>
            <w:gridSpan w:val="2"/>
            <w:vMerge w:val="restart"/>
          </w:tcPr>
          <w:p>
            <w:pPr>
              <w:spacing w:line="240" w:lineRule="exact"/>
              <w:jc w:val="both"/>
              <w:rPr>
                <w:rFonts w:ascii="TimesNewRoman" w:hAnsi="TimesNewRoman" w:eastAsia="方正仿宋_GBK" w:cs="TimesNewRoman"/>
              </w:rPr>
            </w:pPr>
          </w:p>
          <w:p>
            <w:pPr>
              <w:spacing w:line="240" w:lineRule="exact"/>
              <w:jc w:val="both"/>
              <w:rPr>
                <w:rFonts w:ascii="TimesNewRoman" w:hAnsi="TimesNewRoman" w:eastAsia="方正仿宋_GBK" w:cs="TimesNewRoman"/>
              </w:rPr>
            </w:pPr>
          </w:p>
          <w:p>
            <w:pPr>
              <w:spacing w:line="240" w:lineRule="exact"/>
              <w:jc w:val="both"/>
              <w:rPr>
                <w:rFonts w:ascii="TimesNewRoman" w:hAnsi="TimesNewRoman" w:eastAsia="方正仿宋_GBK" w:cs="TimesNewRoman"/>
              </w:rPr>
            </w:pPr>
          </w:p>
          <w:p>
            <w:pPr>
              <w:spacing w:line="240" w:lineRule="exact"/>
              <w:jc w:val="both"/>
              <w:rPr>
                <w:rFonts w:ascii="TimesNewRoman" w:hAnsi="TimesNewRoman" w:eastAsia="方正仿宋_GBK" w:cs="TimesNewRoman"/>
              </w:rPr>
            </w:pPr>
          </w:p>
          <w:p>
            <w:pPr>
              <w:spacing w:line="240" w:lineRule="exact"/>
              <w:jc w:val="both"/>
              <w:rPr>
                <w:rFonts w:ascii="TimesNewRoman" w:hAnsi="TimesNewRoman" w:eastAsia="方正仿宋_GBK" w:cs="TimesNewRoman"/>
              </w:rPr>
            </w:pPr>
          </w:p>
          <w:p>
            <w:pPr>
              <w:spacing w:line="240" w:lineRule="exact"/>
              <w:jc w:val="both"/>
              <w:rPr>
                <w:rFonts w:ascii="TimesNewRoman" w:hAnsi="TimesNewRoman" w:eastAsia="方正仿宋_GBK" w:cs="TimesNewRoman"/>
              </w:rPr>
            </w:pP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预算编制</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w:t>
            </w:r>
            <w:r>
              <w:rPr>
                <w:rFonts w:ascii="TimesNewRoman" w:hAnsi="TimesNewRoman" w:eastAsia="方正仿宋_GBK" w:cs="TimesNewRoman"/>
              </w:rPr>
              <w:t>4</w:t>
            </w:r>
            <w:r>
              <w:rPr>
                <w:rFonts w:hint="eastAsia" w:ascii="TimesNewRoman" w:hAnsi="TimesNewRoman" w:eastAsia="方正仿宋_GBK" w:cs="TimesNewRoman"/>
              </w:rPr>
              <w:t>分）</w:t>
            </w:r>
          </w:p>
        </w:tc>
        <w:tc>
          <w:tcPr>
            <w:tcW w:w="1182" w:type="dxa"/>
            <w:tcBorders>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预算编制合理性（</w:t>
            </w:r>
            <w:r>
              <w:rPr>
                <w:rFonts w:ascii="TimesNewRoman" w:hAnsi="TimesNewRoman" w:eastAsia="方正仿宋_GBK" w:cs="TimesNewRoman"/>
              </w:rPr>
              <w:t>2</w:t>
            </w:r>
            <w:r>
              <w:rPr>
                <w:rFonts w:hint="eastAsia" w:ascii="TimesNewRoman" w:hAnsi="TimesNewRoman" w:eastAsia="方正仿宋_GBK" w:cs="TimesNewRoman"/>
              </w:rPr>
              <w:t>分）</w:t>
            </w:r>
          </w:p>
        </w:tc>
        <w:tc>
          <w:tcPr>
            <w:tcW w:w="6554" w:type="dxa"/>
            <w:tcBorders>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考核部门（单位）预算的合理性，即是否符合本部门职责、是否符合县委县政府的方针政策和工作要求，资金有无根据</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项目的轻重缓急进行分配。</w:t>
            </w:r>
          </w:p>
        </w:tc>
        <w:tc>
          <w:tcPr>
            <w:tcW w:w="3780" w:type="dxa"/>
            <w:tcBorders>
              <w:left w:val="single" w:color="auto" w:sz="4" w:space="0"/>
              <w:bottom w:val="single" w:color="auto" w:sz="4" w:space="0"/>
              <w:right w:val="single" w:color="auto" w:sz="4" w:space="0"/>
            </w:tcBorders>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部门预算编制、分配符合本部分职责、符合县委县政府方针政策和工作要求的，得</w:t>
            </w:r>
            <w:r>
              <w:rPr>
                <w:rFonts w:ascii="TimesNewRoman" w:hAnsi="TimesNewRoman" w:eastAsia="方正仿宋_GBK" w:cs="TimesNewRoman"/>
              </w:rPr>
              <w:t>1</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部门预算资金能根据年度工作重点，在不同项目、不用用途之间分配合理的，得</w:t>
            </w:r>
            <w:r>
              <w:rPr>
                <w:rFonts w:ascii="TimesNewRoman" w:hAnsi="TimesNewRoman" w:eastAsia="方正仿宋_GBK" w:cs="TimesNewRoman"/>
              </w:rPr>
              <w:t>1</w:t>
            </w:r>
            <w:r>
              <w:rPr>
                <w:rFonts w:hint="eastAsia" w:ascii="TimesNewRoman" w:hAnsi="TimesNewRoman" w:eastAsia="方正仿宋_GBK" w:cs="TimesNewRoman"/>
              </w:rPr>
              <w:t>分。</w:t>
            </w:r>
          </w:p>
        </w:tc>
        <w:tc>
          <w:tcPr>
            <w:tcW w:w="1090" w:type="dxa"/>
            <w:tcBorders>
              <w:left w:val="single" w:color="auto" w:sz="4" w:space="0"/>
              <w:bottom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eastAsia="Times New Roman" w:cs="TimesNewRoman"/>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9" w:hRule="atLeast"/>
          <w:jc w:val="center"/>
        </w:trPr>
        <w:tc>
          <w:tcPr>
            <w:tcW w:w="733" w:type="dxa"/>
            <w:vMerge w:val="continue"/>
            <w:vAlign w:val="center"/>
          </w:tcPr>
          <w:p>
            <w:pPr>
              <w:jc w:val="both"/>
              <w:rPr>
                <w:rFonts w:ascii="TimesNewRoman" w:hAnsi="TimesNewRoman" w:eastAsia="方正楷体_GBK" w:cs="TimesNewRoman"/>
              </w:rPr>
            </w:pPr>
          </w:p>
        </w:tc>
        <w:tc>
          <w:tcPr>
            <w:tcW w:w="803" w:type="dxa"/>
            <w:gridSpan w:val="2"/>
            <w:vMerge w:val="continue"/>
            <w:vAlign w:val="center"/>
          </w:tcPr>
          <w:p>
            <w:pPr>
              <w:jc w:val="both"/>
              <w:rPr>
                <w:rFonts w:ascii="TimesNewRoman" w:hAnsi="TimesNewRoman" w:eastAsia="方正仿宋_GBK" w:cs="TimesNewRoman"/>
              </w:rPr>
            </w:pPr>
          </w:p>
        </w:tc>
        <w:tc>
          <w:tcPr>
            <w:tcW w:w="1182" w:type="dxa"/>
            <w:tcBorders>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预算编制规范性（</w:t>
            </w:r>
            <w:r>
              <w:rPr>
                <w:rFonts w:ascii="TimesNewRoman" w:hAnsi="TimesNewRoman" w:eastAsia="方正仿宋_GBK" w:cs="TimesNewRoman"/>
              </w:rPr>
              <w:t>2</w:t>
            </w:r>
            <w:r>
              <w:rPr>
                <w:rFonts w:hint="eastAsia" w:ascii="TimesNewRoman" w:hAnsi="TimesNewRoman" w:eastAsia="方正仿宋_GBK" w:cs="TimesNewRoman"/>
              </w:rPr>
              <w:t>分）</w:t>
            </w:r>
          </w:p>
        </w:tc>
        <w:tc>
          <w:tcPr>
            <w:tcW w:w="6554" w:type="dxa"/>
            <w:tcBorders>
              <w:left w:val="single" w:color="auto" w:sz="4" w:space="0"/>
              <w:bottom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考核部门（单位）预算编制是否符合县财政当年有关预算编制的原则，例如在规范性和细致程度方面是否符合要求等。</w:t>
            </w:r>
          </w:p>
        </w:tc>
        <w:tc>
          <w:tcPr>
            <w:tcW w:w="3780" w:type="dxa"/>
            <w:tcBorders>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预算编制符合县财政当年有关预算编制的原则和要求的，得</w:t>
            </w:r>
            <w:r>
              <w:rPr>
                <w:rFonts w:ascii="TimesNewRoman" w:hAnsi="TimesNewRoman" w:eastAsia="方正仿宋_GBK" w:cs="TimesNewRoman"/>
              </w:rPr>
              <w:t>2</w:t>
            </w:r>
            <w:r>
              <w:rPr>
                <w:rFonts w:hint="eastAsia" w:ascii="TimesNewRoman" w:hAnsi="TimesNewRoman" w:eastAsia="方正仿宋_GBK" w:cs="TimesNewRoman"/>
              </w:rPr>
              <w:t>分；发现一项没有满足的扣</w:t>
            </w:r>
            <w:r>
              <w:rPr>
                <w:rFonts w:ascii="TimesNewRoman" w:hAnsi="TimesNewRoman" w:eastAsia="方正仿宋_GBK" w:cs="TimesNewRoman"/>
              </w:rPr>
              <w:t>0.5</w:t>
            </w:r>
            <w:r>
              <w:rPr>
                <w:rFonts w:hint="eastAsia" w:ascii="TimesNewRoman" w:hAnsi="TimesNewRoman" w:eastAsia="方正仿宋_GBK" w:cs="TimesNewRoman"/>
              </w:rPr>
              <w:t>分，扣完为止。</w:t>
            </w:r>
          </w:p>
        </w:tc>
        <w:tc>
          <w:tcPr>
            <w:tcW w:w="1090" w:type="dxa"/>
            <w:tcBorders>
              <w:left w:val="single" w:color="auto" w:sz="4" w:space="0"/>
              <w:bottom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eastAsia="Times New Roman" w:cs="TimesNewRoman"/>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2" w:hRule="atLeast"/>
          <w:jc w:val="center"/>
        </w:trPr>
        <w:tc>
          <w:tcPr>
            <w:tcW w:w="733" w:type="dxa"/>
            <w:vMerge w:val="continue"/>
            <w:vAlign w:val="center"/>
          </w:tcPr>
          <w:p>
            <w:pPr>
              <w:jc w:val="both"/>
              <w:rPr>
                <w:rFonts w:ascii="TimesNewRoman" w:hAnsi="TimesNewRoman" w:eastAsia="方正楷体_GBK" w:cs="TimesNewRoman"/>
              </w:rPr>
            </w:pPr>
          </w:p>
        </w:tc>
        <w:tc>
          <w:tcPr>
            <w:tcW w:w="803" w:type="dxa"/>
            <w:gridSpan w:val="2"/>
            <w:vMerge w:val="restart"/>
            <w:vAlign w:val="center"/>
          </w:tcPr>
          <w:p>
            <w:pPr>
              <w:jc w:val="both"/>
              <w:rPr>
                <w:rFonts w:ascii="TimesNewRoman" w:hAnsi="TimesNewRoman" w:eastAsia="方正仿宋_GBK" w:cs="TimesNewRoman"/>
              </w:rPr>
            </w:pPr>
            <w:r>
              <w:rPr>
                <w:rFonts w:hint="eastAsia" w:ascii="TimesNewRoman" w:hAnsi="TimesNewRoman" w:eastAsia="方正仿宋_GBK" w:cs="TimesNewRoman"/>
              </w:rPr>
              <w:t>目标设置（</w:t>
            </w:r>
            <w:r>
              <w:rPr>
                <w:rFonts w:ascii="TimesNewRoman" w:hAnsi="TimesNewRoman" w:eastAsia="方正仿宋_GBK" w:cs="TimesNewRoman"/>
              </w:rPr>
              <w:t>6</w:t>
            </w:r>
            <w:r>
              <w:rPr>
                <w:rFonts w:hint="eastAsia" w:ascii="TimesNewRoman" w:hAnsi="TimesNewRoman" w:eastAsia="方正仿宋_GBK" w:cs="TimesNewRoman"/>
              </w:rPr>
              <w:t>分）</w:t>
            </w:r>
          </w:p>
        </w:tc>
        <w:tc>
          <w:tcPr>
            <w:tcW w:w="1182" w:type="dxa"/>
            <w:tcBorders>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目标</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合理性（</w:t>
            </w:r>
            <w:r>
              <w:rPr>
                <w:rFonts w:ascii="TimesNewRoman" w:hAnsi="TimesNewRoman" w:eastAsia="方正仿宋_GBK" w:cs="TimesNewRoman"/>
              </w:rPr>
              <w:t>2</w:t>
            </w:r>
            <w:r>
              <w:rPr>
                <w:rFonts w:hint="eastAsia" w:ascii="TimesNewRoman" w:hAnsi="TimesNewRoman" w:eastAsia="方正仿宋_GBK" w:cs="TimesNewRoman"/>
              </w:rPr>
              <w:t>分）</w:t>
            </w:r>
          </w:p>
        </w:tc>
        <w:tc>
          <w:tcPr>
            <w:tcW w:w="6554" w:type="dxa"/>
            <w:tcBorders>
              <w:left w:val="single" w:color="auto" w:sz="4" w:space="0"/>
              <w:bottom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部门（单位）所设立的整体绩效目标是否符合客观实际，用以反映和考核部门（单位）整体绩效目标与年度工作任务的相符性情况。</w:t>
            </w:r>
          </w:p>
        </w:tc>
        <w:tc>
          <w:tcPr>
            <w:tcW w:w="3780" w:type="dxa"/>
            <w:tcBorders>
              <w:left w:val="single" w:color="auto" w:sz="4" w:space="0"/>
              <w:bottom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整体绩效目标与年度工作任务相符的，得</w:t>
            </w:r>
            <w:r>
              <w:rPr>
                <w:rFonts w:ascii="TimesNewRoman" w:hAnsi="TimesNewRoman" w:eastAsia="方正仿宋_GBK" w:cs="TimesNewRoman"/>
              </w:rPr>
              <w:t>1</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整体绩效目标符合客观实际情况的，得</w:t>
            </w:r>
            <w:r>
              <w:rPr>
                <w:rFonts w:ascii="TimesNewRoman" w:hAnsi="TimesNewRoman" w:eastAsia="方正仿宋_GBK" w:cs="TimesNewRoman"/>
              </w:rPr>
              <w:t>1</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p>
        </w:tc>
        <w:tc>
          <w:tcPr>
            <w:tcW w:w="1090" w:type="dxa"/>
            <w:tcBorders>
              <w:left w:val="single" w:color="auto" w:sz="4" w:space="0"/>
              <w:bottom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eastAsia="Times New Roman" w:cs="TimesNewRoman"/>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jc w:val="center"/>
        </w:trPr>
        <w:tc>
          <w:tcPr>
            <w:tcW w:w="733" w:type="dxa"/>
            <w:vMerge w:val="continue"/>
            <w:vAlign w:val="center"/>
          </w:tcPr>
          <w:p>
            <w:pPr>
              <w:jc w:val="both"/>
              <w:rPr>
                <w:rFonts w:ascii="TimesNewRoman" w:hAnsi="TimesNewRoman" w:eastAsia="方正楷体_GBK" w:cs="TimesNewRoman"/>
              </w:rPr>
            </w:pPr>
          </w:p>
        </w:tc>
        <w:tc>
          <w:tcPr>
            <w:tcW w:w="803" w:type="dxa"/>
            <w:gridSpan w:val="2"/>
            <w:vMerge w:val="continue"/>
            <w:vAlign w:val="center"/>
          </w:tcPr>
          <w:p>
            <w:pPr>
              <w:jc w:val="both"/>
              <w:rPr>
                <w:rFonts w:ascii="TimesNewRoman" w:hAnsi="TimesNewRoman" w:eastAsia="方正仿宋_GBK" w:cs="TimesNewRoman"/>
              </w:rPr>
            </w:pPr>
          </w:p>
        </w:tc>
        <w:tc>
          <w:tcPr>
            <w:tcW w:w="1182" w:type="dxa"/>
            <w:tcBorders>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绩效目标覆盖率（</w:t>
            </w:r>
            <w:r>
              <w:rPr>
                <w:rFonts w:ascii="TimesNewRoman" w:hAnsi="TimesNewRoman" w:eastAsia="方正仿宋_GBK" w:cs="TimesNewRoman"/>
              </w:rPr>
              <w:t>2</w:t>
            </w:r>
            <w:r>
              <w:rPr>
                <w:rFonts w:hint="eastAsia" w:ascii="TimesNewRoman" w:hAnsi="TimesNewRoman" w:eastAsia="方正仿宋_GBK" w:cs="TimesNewRoman"/>
              </w:rPr>
              <w:t>分）</w:t>
            </w:r>
          </w:p>
        </w:tc>
        <w:tc>
          <w:tcPr>
            <w:tcW w:w="6554" w:type="dxa"/>
            <w:tcBorders>
              <w:left w:val="single" w:color="auto" w:sz="4" w:space="0"/>
              <w:bottom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部门（单位）设置了绩效目标的金额与部门整体支出金额的比率。</w:t>
            </w:r>
          </w:p>
        </w:tc>
        <w:tc>
          <w:tcPr>
            <w:tcW w:w="3780" w:type="dxa"/>
            <w:tcBorders>
              <w:left w:val="single" w:color="auto" w:sz="4" w:space="0"/>
              <w:bottom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≥80%</w:t>
            </w:r>
            <w:r>
              <w:rPr>
                <w:rFonts w:hint="eastAsia" w:ascii="TimesNewRoman" w:hAnsi="TimesNewRoman" w:eastAsia="方正仿宋_GBK" w:cs="TimesNewRoman"/>
              </w:rPr>
              <w:t>的，得</w:t>
            </w:r>
            <w:r>
              <w:rPr>
                <w:rFonts w:ascii="TimesNewRoman" w:hAnsi="TimesNewRoman" w:eastAsia="方正仿宋_GBK" w:cs="TimesNewRoman"/>
              </w:rPr>
              <w:t>2</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ascii="TimesNewRoman" w:hAnsi="TimesNewRoman" w:eastAsia="方正仿宋_GBK" w:cs="TimesNewRoman"/>
              </w:rPr>
              <w:t>80%</w:t>
            </w:r>
            <w:r>
              <w:rPr>
                <w:rFonts w:hint="eastAsia" w:ascii="TimesNewRoman" w:hAnsi="TimesNewRoman" w:eastAsia="方正仿宋_GBK" w:cs="TimesNewRoman"/>
              </w:rPr>
              <w:t>﹥比率</w:t>
            </w:r>
            <w:r>
              <w:rPr>
                <w:rFonts w:ascii="TimesNewRoman" w:hAnsi="TimesNewRoman" w:eastAsia="方正仿宋_GBK" w:cs="TimesNewRoman"/>
              </w:rPr>
              <w:t>≥60%</w:t>
            </w:r>
            <w:r>
              <w:rPr>
                <w:rFonts w:hint="eastAsia" w:ascii="TimesNewRoman" w:hAnsi="TimesNewRoman" w:eastAsia="方正仿宋_GBK" w:cs="TimesNewRoman"/>
              </w:rPr>
              <w:t>的，得</w:t>
            </w:r>
            <w:r>
              <w:rPr>
                <w:rFonts w:ascii="TimesNewRoman" w:hAnsi="TimesNewRoman" w:eastAsia="方正仿宋_GBK" w:cs="TimesNewRoman"/>
              </w:rPr>
              <w:t>1</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ascii="TimesNewRoman" w:hAnsi="TimesNewRoman" w:eastAsia="方正仿宋_GBK" w:cs="TimesNewRoman"/>
              </w:rPr>
              <w:t>60%</w:t>
            </w:r>
            <w:r>
              <w:rPr>
                <w:rFonts w:hint="eastAsia" w:ascii="TimesNewRoman" w:hAnsi="TimesNewRoman" w:eastAsia="方正仿宋_GBK" w:cs="TimesNewRoman"/>
              </w:rPr>
              <w:t>﹥比率</w:t>
            </w:r>
            <w:r>
              <w:rPr>
                <w:rFonts w:ascii="TimesNewRoman" w:hAnsi="TimesNewRoman" w:eastAsia="方正仿宋_GBK" w:cs="TimesNewRoman"/>
              </w:rPr>
              <w:t>≥30%</w:t>
            </w:r>
            <w:r>
              <w:rPr>
                <w:rFonts w:hint="eastAsia" w:ascii="TimesNewRoman" w:hAnsi="TimesNewRoman" w:eastAsia="方正仿宋_GBK" w:cs="TimesNewRoman"/>
              </w:rPr>
              <w:t>的，得</w:t>
            </w:r>
            <w:r>
              <w:rPr>
                <w:rFonts w:ascii="TimesNewRoman" w:hAnsi="TimesNewRoman" w:eastAsia="方正仿宋_GBK" w:cs="TimesNewRoman"/>
              </w:rPr>
              <w:t>0.5</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w:t>
            </w:r>
            <w:r>
              <w:rPr>
                <w:rFonts w:ascii="TimesNewRoman" w:hAnsi="TimesNewRoman" w:eastAsia="方正仿宋_GBK" w:cs="TimesNewRoman"/>
              </w:rPr>
              <w:t>30%</w:t>
            </w:r>
            <w:r>
              <w:rPr>
                <w:rFonts w:hint="eastAsia" w:ascii="TimesNewRoman" w:hAnsi="TimesNewRoman" w:eastAsia="方正仿宋_GBK" w:cs="TimesNewRoman"/>
              </w:rPr>
              <w:t>的，得</w:t>
            </w:r>
            <w:r>
              <w:rPr>
                <w:rFonts w:ascii="TimesNewRoman" w:hAnsi="TimesNewRoman" w:eastAsia="方正仿宋_GBK" w:cs="TimesNewRoman"/>
              </w:rPr>
              <w:t>0</w:t>
            </w:r>
            <w:r>
              <w:rPr>
                <w:rFonts w:hint="eastAsia" w:ascii="TimesNewRoman" w:hAnsi="TimesNewRoman" w:eastAsia="方正仿宋_GBK" w:cs="TimesNewRoman"/>
              </w:rPr>
              <w:t>分。</w:t>
            </w:r>
          </w:p>
        </w:tc>
        <w:tc>
          <w:tcPr>
            <w:tcW w:w="1090" w:type="dxa"/>
            <w:tcBorders>
              <w:left w:val="single" w:color="auto" w:sz="4" w:space="0"/>
              <w:bottom w:val="single" w:color="auto" w:sz="4" w:space="0"/>
            </w:tcBorders>
            <w:vAlign w:val="center"/>
          </w:tcPr>
          <w:p>
            <w:pPr>
              <w:spacing w:line="68" w:lineRule="atLeast"/>
              <w:jc w:val="center"/>
              <w:rPr>
                <w:rFonts w:ascii="TimesNewRoman" w:hAnsi="TimesNewRoman" w:eastAsia="Times New Roman" w:cs="TimesNewRoman"/>
                <w:sz w:val="20"/>
              </w:rPr>
            </w:pPr>
            <w:r>
              <w:rPr>
                <w:rFonts w:ascii="TimesNewRoman" w:hAnsi="TimesNewRoman" w:eastAsia="Times New Roman" w:cs="TimesNewRoman"/>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2" w:hRule="atLeast"/>
          <w:jc w:val="center"/>
        </w:trPr>
        <w:tc>
          <w:tcPr>
            <w:tcW w:w="733" w:type="dxa"/>
            <w:vMerge w:val="continue"/>
            <w:vAlign w:val="center"/>
          </w:tcPr>
          <w:p>
            <w:pPr>
              <w:jc w:val="both"/>
              <w:rPr>
                <w:rFonts w:ascii="TimesNewRoman" w:hAnsi="TimesNewRoman" w:eastAsia="方正楷体_GBK" w:cs="TimesNewRoman"/>
              </w:rPr>
            </w:pPr>
          </w:p>
        </w:tc>
        <w:tc>
          <w:tcPr>
            <w:tcW w:w="803" w:type="dxa"/>
            <w:gridSpan w:val="2"/>
            <w:vMerge w:val="continue"/>
            <w:vAlign w:val="center"/>
          </w:tcPr>
          <w:p>
            <w:pPr>
              <w:jc w:val="both"/>
              <w:rPr>
                <w:rFonts w:ascii="TimesNewRoman" w:hAnsi="TimesNewRoman" w:eastAsia="方正仿宋_GBK" w:cs="TimesNewRoman"/>
              </w:rPr>
            </w:pPr>
          </w:p>
        </w:tc>
        <w:tc>
          <w:tcPr>
            <w:tcW w:w="1182" w:type="dxa"/>
            <w:tcBorders>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绩效指标明确性（</w:t>
            </w:r>
            <w:r>
              <w:rPr>
                <w:rFonts w:ascii="TimesNewRoman" w:hAnsi="TimesNewRoman" w:eastAsia="方正仿宋_GBK" w:cs="TimesNewRoman"/>
              </w:rPr>
              <w:t>2</w:t>
            </w:r>
            <w:r>
              <w:rPr>
                <w:rFonts w:hint="eastAsia" w:ascii="TimesNewRoman" w:hAnsi="TimesNewRoman" w:eastAsia="方正仿宋_GBK" w:cs="TimesNewRoman"/>
              </w:rPr>
              <w:t>分）</w:t>
            </w:r>
          </w:p>
        </w:tc>
        <w:tc>
          <w:tcPr>
            <w:tcW w:w="6554" w:type="dxa"/>
            <w:tcBorders>
              <w:left w:val="single" w:color="auto" w:sz="4" w:space="0"/>
              <w:bottom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部门（单位）依据整体绩效目标所设定的绩效指标是否清晰、细化、可量化。</w:t>
            </w:r>
          </w:p>
        </w:tc>
        <w:tc>
          <w:tcPr>
            <w:tcW w:w="3780" w:type="dxa"/>
            <w:tcBorders>
              <w:left w:val="single" w:color="auto" w:sz="4" w:space="0"/>
              <w:bottom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绩效指标能反映绩效目标的，得</w:t>
            </w:r>
            <w:r>
              <w:rPr>
                <w:rFonts w:ascii="TimesNewRoman" w:hAnsi="TimesNewRoman" w:eastAsia="方正仿宋_GBK" w:cs="TimesNewRoman"/>
              </w:rPr>
              <w:t>1</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绩效指标明确且可量化的，得</w:t>
            </w:r>
            <w:r>
              <w:rPr>
                <w:rFonts w:ascii="TimesNewRoman" w:hAnsi="TimesNewRoman" w:eastAsia="方正仿宋_GBK" w:cs="TimesNewRoman"/>
              </w:rPr>
              <w:t>1</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其他情况酌情扣分。</w:t>
            </w:r>
          </w:p>
        </w:tc>
        <w:tc>
          <w:tcPr>
            <w:tcW w:w="1090" w:type="dxa"/>
            <w:tcBorders>
              <w:left w:val="single" w:color="auto" w:sz="4" w:space="0"/>
              <w:bottom w:val="single" w:color="auto" w:sz="4" w:space="0"/>
            </w:tcBorders>
            <w:vAlign w:val="center"/>
          </w:tcPr>
          <w:p>
            <w:pPr>
              <w:spacing w:line="68" w:lineRule="atLeast"/>
              <w:jc w:val="center"/>
              <w:rPr>
                <w:rFonts w:ascii="TimesNewRoman" w:hAnsi="TimesNewRoman" w:eastAsia="Times New Roman" w:cs="TimesNewRoman"/>
                <w:sz w:val="20"/>
              </w:rPr>
            </w:pPr>
            <w:r>
              <w:rPr>
                <w:rFonts w:ascii="TimesNewRoman" w:hAnsi="TimesNewRoman" w:eastAsia="Times New Roman" w:cs="TimesNewRoman"/>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6" w:hRule="atLeast"/>
          <w:jc w:val="center"/>
        </w:trPr>
        <w:tc>
          <w:tcPr>
            <w:tcW w:w="733" w:type="dxa"/>
            <w:vMerge w:val="restart"/>
            <w:vAlign w:val="center"/>
          </w:tcPr>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r>
              <w:rPr>
                <w:rFonts w:hint="eastAsia" w:ascii="TimesNewRoman" w:hAnsi="TimesNewRoman" w:eastAsia="方正楷体_GBK" w:cs="TimesNewRoman"/>
              </w:rPr>
              <w:t>过程</w:t>
            </w:r>
            <w:r>
              <w:rPr>
                <w:rFonts w:ascii="TimesNewRoman" w:hAnsi="TimesNewRoman" w:eastAsia="方正楷体_GBK" w:cs="TimesNewRoman"/>
              </w:rPr>
              <w:t>(50</w:t>
            </w:r>
            <w:r>
              <w:rPr>
                <w:rFonts w:hint="eastAsia" w:ascii="TimesNewRoman" w:hAnsi="TimesNewRoman" w:eastAsia="方正楷体_GBK" w:cs="TimesNewRoman"/>
              </w:rPr>
              <w:t>分</w:t>
            </w:r>
            <w:r>
              <w:rPr>
                <w:rFonts w:ascii="TimesNewRoman" w:hAnsi="TimesNewRoman" w:eastAsia="方正楷体_GBK" w:cs="TimesNewRoman"/>
              </w:rPr>
              <w:t>)</w:t>
            </w: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r>
              <w:rPr>
                <w:rFonts w:hint="eastAsia" w:ascii="TimesNewRoman" w:hAnsi="TimesNewRoman" w:eastAsia="方正楷体_GBK" w:cs="TimesNewRoman"/>
              </w:rPr>
              <w:t>过程</w:t>
            </w:r>
            <w:r>
              <w:rPr>
                <w:rFonts w:ascii="TimesNewRoman" w:hAnsi="TimesNewRoman" w:eastAsia="方正楷体_GBK" w:cs="TimesNewRoman"/>
              </w:rPr>
              <w:t>(50</w:t>
            </w:r>
            <w:r>
              <w:rPr>
                <w:rFonts w:hint="eastAsia" w:ascii="TimesNewRoman" w:hAnsi="TimesNewRoman" w:eastAsia="方正楷体_GBK" w:cs="TimesNewRoman"/>
              </w:rPr>
              <w:t>分</w:t>
            </w:r>
            <w:r>
              <w:rPr>
                <w:rFonts w:ascii="TimesNewRoman" w:hAnsi="TimesNewRoman" w:eastAsia="方正楷体_GBK" w:cs="TimesNewRoman"/>
              </w:rPr>
              <w:t>)</w:t>
            </w: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r>
              <w:rPr>
                <w:rFonts w:hint="eastAsia" w:ascii="TimesNewRoman" w:hAnsi="TimesNewRoman" w:eastAsia="方正楷体_GBK" w:cs="TimesNewRoman"/>
              </w:rPr>
              <w:t>过程</w:t>
            </w:r>
            <w:r>
              <w:rPr>
                <w:rFonts w:ascii="TimesNewRoman" w:hAnsi="TimesNewRoman" w:eastAsia="方正楷体_GBK" w:cs="TimesNewRoman"/>
              </w:rPr>
              <w:t>(50</w:t>
            </w:r>
            <w:r>
              <w:rPr>
                <w:rFonts w:hint="eastAsia" w:ascii="TimesNewRoman" w:hAnsi="TimesNewRoman" w:eastAsia="方正楷体_GBK" w:cs="TimesNewRoman"/>
              </w:rPr>
              <w:t>分</w:t>
            </w:r>
            <w:r>
              <w:rPr>
                <w:rFonts w:ascii="TimesNewRoman" w:hAnsi="TimesNewRoman" w:eastAsia="方正楷体_GBK" w:cs="TimesNewRoman"/>
              </w:rPr>
              <w:t>)</w:t>
            </w: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tc>
        <w:tc>
          <w:tcPr>
            <w:tcW w:w="777" w:type="dxa"/>
            <w:vMerge w:val="restart"/>
            <w:vAlign w:val="center"/>
          </w:tcPr>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预算执行情况（</w:t>
            </w:r>
            <w:r>
              <w:rPr>
                <w:rFonts w:ascii="TimesNewRoman" w:hAnsi="TimesNewRoman" w:eastAsia="方正仿宋_GBK" w:cs="TimesNewRoman"/>
              </w:rPr>
              <w:t>24</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预算执行</w:t>
            </w:r>
            <w:r>
              <w:rPr>
                <w:rFonts w:ascii="TimesNewRoman" w:hAnsi="TimesNewRoman" w:eastAsia="方正仿宋_GBK" w:cs="TimesNewRoman"/>
              </w:rPr>
              <w:t>(24</w:t>
            </w:r>
            <w:r>
              <w:rPr>
                <w:rFonts w:hint="eastAsia" w:ascii="TimesNewRoman" w:hAnsi="TimesNewRoman" w:eastAsia="方正仿宋_GBK" w:cs="TimesNewRoman"/>
              </w:rPr>
              <w:t>分</w:t>
            </w:r>
            <w:r>
              <w:rPr>
                <w:rFonts w:ascii="TimesNewRoman" w:hAnsi="TimesNewRoman" w:eastAsia="方正仿宋_GBK" w:cs="TimesNewRoman"/>
              </w:rPr>
              <w:t>)</w:t>
            </w:r>
          </w:p>
        </w:tc>
        <w:tc>
          <w:tcPr>
            <w:tcW w:w="1208" w:type="dxa"/>
            <w:gridSpan w:val="2"/>
            <w:tcBorders>
              <w:top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财政供养人员控制率（</w:t>
            </w:r>
            <w:r>
              <w:rPr>
                <w:rFonts w:ascii="TimesNewRoman" w:hAnsi="TimesNewRoman" w:eastAsia="方正仿宋_GBK" w:cs="TimesNewRoman"/>
              </w:rPr>
              <w:t>3</w:t>
            </w:r>
            <w:r>
              <w:rPr>
                <w:rFonts w:hint="eastAsia" w:ascii="TimesNewRoman" w:hAnsi="TimesNewRoman" w:eastAsia="方正仿宋_GBK" w:cs="TimesNewRoman"/>
              </w:rPr>
              <w:t>分）</w:t>
            </w:r>
          </w:p>
        </w:tc>
        <w:tc>
          <w:tcPr>
            <w:tcW w:w="6554" w:type="dxa"/>
            <w:tcBorders>
              <w:top w:val="single" w:color="auto" w:sz="4" w:space="0"/>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部门本年度实际在职人员数与编制数的比率，用以反映和评价部门对人员成本的控制程度。</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在职人员控制率</w:t>
            </w:r>
            <w:r>
              <w:rPr>
                <w:rFonts w:ascii="TimesNewRoman" w:hAnsi="TimesNewRoman" w:eastAsia="方正仿宋_GBK" w:cs="TimesNewRoman"/>
              </w:rPr>
              <w:t>=</w:t>
            </w:r>
            <w:r>
              <w:rPr>
                <w:rFonts w:hint="eastAsia" w:ascii="TimesNewRoman" w:hAnsi="TimesNewRoman" w:eastAsia="方正仿宋_GBK" w:cs="TimesNewRoman"/>
              </w:rPr>
              <w:t>（在职人员数</w:t>
            </w:r>
            <w:r>
              <w:rPr>
                <w:rFonts w:ascii="TimesNewRoman" w:hAnsi="TimesNewRoman" w:eastAsia="方正仿宋_GBK" w:cs="TimesNewRoman"/>
              </w:rPr>
              <w:t>/</w:t>
            </w:r>
            <w:r>
              <w:rPr>
                <w:rFonts w:hint="eastAsia" w:ascii="TimesNewRoman" w:hAnsi="TimesNewRoman" w:eastAsia="方正仿宋_GBK" w:cs="TimesNewRoman"/>
              </w:rPr>
              <w:t>编制数）</w:t>
            </w:r>
            <w:r>
              <w:rPr>
                <w:rFonts w:ascii="TimesNewRoman" w:hAnsi="TimesNewRoman" w:eastAsia="方正仿宋_GBK" w:cs="TimesNewRoman"/>
              </w:rPr>
              <w:t>×100%</w:t>
            </w:r>
            <w:r>
              <w:rPr>
                <w:rFonts w:hint="eastAsia" w:ascii="TimesNewRoman" w:hAnsi="TimesNewRoman" w:eastAsia="方正仿宋_GBK" w:cs="TimesNewRoman"/>
              </w:rPr>
              <w:t>。</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在职人员数：部门实际在职人数，以财政部门确定的部门决算编制口径为准。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编制数：机构编制部门核定批复的部门人员编制数。</w:t>
            </w:r>
          </w:p>
        </w:tc>
        <w:tc>
          <w:tcPr>
            <w:tcW w:w="3780" w:type="dxa"/>
            <w:tcBorders>
              <w:top w:val="single" w:color="auto" w:sz="4" w:space="0"/>
              <w:left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目标值</w:t>
            </w:r>
            <w:r>
              <w:rPr>
                <w:rFonts w:ascii="TimesNewRoman" w:hAnsi="TimesNewRoman" w:eastAsia="方正仿宋_GBK" w:cs="TimesNewRoman"/>
              </w:rPr>
              <w:t>≤100%</w:t>
            </w:r>
            <w:r>
              <w:rPr>
                <w:rFonts w:hint="eastAsia" w:ascii="TimesNewRoman" w:hAnsi="TimesNewRoman" w:eastAsia="方正仿宋_GBK" w:cs="TimesNewRoman"/>
              </w:rPr>
              <w:t>；达到目标值得</w:t>
            </w:r>
            <w:r>
              <w:rPr>
                <w:rFonts w:ascii="TimesNewRoman" w:hAnsi="TimesNewRoman" w:eastAsia="方正仿宋_GBK" w:cs="TimesNewRoman"/>
              </w:rPr>
              <w:t>3</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100%</w:t>
            </w:r>
            <w:r>
              <w:rPr>
                <w:rFonts w:hint="eastAsia" w:ascii="TimesNewRoman" w:hAnsi="TimesNewRoman" w:eastAsia="方正仿宋_GBK" w:cs="TimesNewRoman"/>
              </w:rPr>
              <w:t>，每增加</w:t>
            </w:r>
            <w:r>
              <w:rPr>
                <w:rFonts w:ascii="TimesNewRoman" w:hAnsi="TimesNewRoman" w:eastAsia="方正仿宋_GBK" w:cs="TimesNewRoman"/>
              </w:rPr>
              <w:t>5%</w:t>
            </w:r>
            <w:r>
              <w:rPr>
                <w:rFonts w:hint="eastAsia" w:ascii="TimesNewRoman" w:hAnsi="TimesNewRoman" w:eastAsia="方正仿宋_GBK" w:cs="TimesNewRoman"/>
              </w:rPr>
              <w:t>扣</w:t>
            </w:r>
            <w:r>
              <w:rPr>
                <w:rFonts w:ascii="TimesNewRoman" w:hAnsi="TimesNewRoman" w:eastAsia="方正仿宋_GBK" w:cs="TimesNewRoman"/>
              </w:rPr>
              <w:t>1</w:t>
            </w:r>
            <w:r>
              <w:rPr>
                <w:rFonts w:hint="eastAsia" w:ascii="TimesNewRoman" w:hAnsi="TimesNewRoman" w:eastAsia="方正仿宋_GBK" w:cs="TimesNewRoman"/>
              </w:rPr>
              <w:t>分，直至扣完。</w:t>
            </w:r>
          </w:p>
        </w:tc>
        <w:tc>
          <w:tcPr>
            <w:tcW w:w="1090" w:type="dxa"/>
            <w:tcBorders>
              <w:top w:val="single" w:color="auto" w:sz="4" w:space="0"/>
              <w:left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eastAsia="Times New Roman" w:cs="TimesNewRoman"/>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733" w:type="dxa"/>
            <w:vMerge w:val="continue"/>
            <w:vAlign w:val="center"/>
          </w:tcPr>
          <w:p>
            <w:pPr>
              <w:spacing w:line="68" w:lineRule="atLeast"/>
              <w:jc w:val="both"/>
              <w:rPr>
                <w:rFonts w:ascii="TimesNewRoman" w:hAnsi="TimesNewRoman" w:eastAsia="方正楷体_GBK" w:cs="TimesNewRoman"/>
              </w:rPr>
            </w:pPr>
          </w:p>
        </w:tc>
        <w:tc>
          <w:tcPr>
            <w:tcW w:w="777" w:type="dxa"/>
            <w:vMerge w:val="continue"/>
            <w:vAlign w:val="center"/>
          </w:tcPr>
          <w:p>
            <w:pPr>
              <w:spacing w:line="68" w:lineRule="atLeast"/>
              <w:jc w:val="both"/>
              <w:rPr>
                <w:rFonts w:ascii="TimesNewRoman" w:hAnsi="TimesNewRoman" w:eastAsia="方正仿宋_GBK" w:cs="TimesNewRoman"/>
              </w:rPr>
            </w:pPr>
          </w:p>
        </w:tc>
        <w:tc>
          <w:tcPr>
            <w:tcW w:w="1208" w:type="dxa"/>
            <w:gridSpan w:val="2"/>
            <w:tcBorders>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支出完成率（</w:t>
            </w:r>
            <w:r>
              <w:rPr>
                <w:rFonts w:ascii="TimesNewRoman" w:hAnsi="TimesNewRoman" w:eastAsia="方正仿宋_GBK" w:cs="TimesNewRoman"/>
              </w:rPr>
              <w:t>3</w:t>
            </w:r>
            <w:r>
              <w:rPr>
                <w:rFonts w:hint="eastAsia" w:ascii="TimesNewRoman" w:hAnsi="TimesNewRoman" w:eastAsia="方正仿宋_GBK" w:cs="TimesNewRoman"/>
              </w:rPr>
              <w:t>分）</w:t>
            </w:r>
          </w:p>
        </w:tc>
        <w:tc>
          <w:tcPr>
            <w:tcW w:w="6554" w:type="dxa"/>
            <w:tcBorders>
              <w:left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部门（单位）本年度预算实际支出数（以实际用款为准）与财政下达资金数（包括年初预算数、年中追加数和上年结转数）的比率，用以反映和考核部门（单位）支出完成程度。</w:t>
            </w:r>
          </w:p>
        </w:tc>
        <w:tc>
          <w:tcPr>
            <w:tcW w:w="3780" w:type="dxa"/>
            <w:tcBorders>
              <w:left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≥100%</w:t>
            </w:r>
            <w:r>
              <w:rPr>
                <w:rFonts w:hint="eastAsia" w:ascii="TimesNewRoman" w:hAnsi="TimesNewRoman" w:eastAsia="方正仿宋_GBK" w:cs="TimesNewRoman"/>
              </w:rPr>
              <w:t>，得</w:t>
            </w:r>
            <w:r>
              <w:rPr>
                <w:rFonts w:ascii="TimesNewRoman" w:hAnsi="TimesNewRoman" w:eastAsia="方正仿宋_GBK" w:cs="TimesNewRoman"/>
              </w:rPr>
              <w:t>3</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ascii="TimesNewRoman" w:hAnsi="TimesNewRoman" w:eastAsia="方正仿宋_GBK" w:cs="TimesNewRoman"/>
              </w:rPr>
              <w:t>100%</w:t>
            </w:r>
            <w:r>
              <w:rPr>
                <w:rFonts w:hint="eastAsia" w:ascii="TimesNewRoman" w:hAnsi="TimesNewRoman" w:eastAsia="方正仿宋_GBK" w:cs="TimesNewRoman"/>
              </w:rPr>
              <w:t>＞结果</w:t>
            </w:r>
            <w:r>
              <w:rPr>
                <w:rFonts w:ascii="TimesNewRoman" w:hAnsi="TimesNewRoman" w:eastAsia="方正仿宋_GBK" w:cs="TimesNewRoman"/>
              </w:rPr>
              <w:t>≥90%</w:t>
            </w:r>
            <w:r>
              <w:rPr>
                <w:rFonts w:hint="eastAsia" w:ascii="TimesNewRoman" w:hAnsi="TimesNewRoman" w:eastAsia="方正仿宋_GBK" w:cs="TimesNewRoman"/>
              </w:rPr>
              <w:t>，得</w:t>
            </w:r>
            <w:r>
              <w:rPr>
                <w:rFonts w:ascii="TimesNewRoman" w:hAnsi="TimesNewRoman" w:eastAsia="方正仿宋_GBK" w:cs="TimesNewRoman"/>
              </w:rPr>
              <w:t>2</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ascii="TimesNewRoman" w:hAnsi="TimesNewRoman" w:eastAsia="方正仿宋_GBK" w:cs="TimesNewRoman"/>
              </w:rPr>
              <w:t>90%</w:t>
            </w:r>
            <w:r>
              <w:rPr>
                <w:rFonts w:hint="eastAsia" w:ascii="TimesNewRoman" w:hAnsi="TimesNewRoman" w:eastAsia="方正仿宋_GBK" w:cs="TimesNewRoman"/>
              </w:rPr>
              <w:t>＞结果</w:t>
            </w:r>
            <w:r>
              <w:rPr>
                <w:rFonts w:ascii="TimesNewRoman" w:hAnsi="TimesNewRoman" w:eastAsia="方正仿宋_GBK" w:cs="TimesNewRoman"/>
              </w:rPr>
              <w:t>≥80%</w:t>
            </w:r>
            <w:r>
              <w:rPr>
                <w:rFonts w:hint="eastAsia" w:ascii="TimesNewRoman" w:hAnsi="TimesNewRoman" w:eastAsia="方正仿宋_GBK" w:cs="TimesNewRoman"/>
              </w:rPr>
              <w:t>，得</w:t>
            </w:r>
            <w:r>
              <w:rPr>
                <w:rFonts w:ascii="TimesNewRoman" w:hAnsi="TimesNewRoman" w:eastAsia="方正仿宋_GBK" w:cs="TimesNewRoman"/>
              </w:rPr>
              <w:t>1</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ascii="TimesNewRoman" w:hAnsi="TimesNewRoman" w:eastAsia="方正仿宋_GBK" w:cs="TimesNewRoman"/>
              </w:rPr>
              <w:t>80%</w:t>
            </w:r>
            <w:r>
              <w:rPr>
                <w:rFonts w:hint="eastAsia" w:ascii="TimesNewRoman" w:hAnsi="TimesNewRoman" w:eastAsia="方正仿宋_GBK" w:cs="TimesNewRoman"/>
              </w:rPr>
              <w:t>﹥比率</w:t>
            </w:r>
            <w:r>
              <w:rPr>
                <w:rFonts w:ascii="TimesNewRoman" w:hAnsi="TimesNewRoman" w:eastAsia="方正仿宋_GBK" w:cs="TimesNewRoman"/>
              </w:rPr>
              <w:t>≥60%</w:t>
            </w:r>
            <w:r>
              <w:rPr>
                <w:rFonts w:hint="eastAsia" w:ascii="TimesNewRoman" w:hAnsi="TimesNewRoman" w:eastAsia="方正仿宋_GBK" w:cs="TimesNewRoman"/>
              </w:rPr>
              <w:t>的，得</w:t>
            </w:r>
            <w:r>
              <w:rPr>
                <w:rFonts w:ascii="TimesNewRoman" w:hAnsi="TimesNewRoman" w:eastAsia="方正仿宋_GBK" w:cs="TimesNewRoman"/>
              </w:rPr>
              <w:t>0.5</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60%</w:t>
            </w:r>
            <w:r>
              <w:rPr>
                <w:rFonts w:hint="eastAsia" w:ascii="TimesNewRoman" w:hAnsi="TimesNewRoman" w:eastAsia="方正仿宋_GBK" w:cs="TimesNewRoman"/>
              </w:rPr>
              <w:t>的，不得分。</w:t>
            </w:r>
          </w:p>
        </w:tc>
        <w:tc>
          <w:tcPr>
            <w:tcW w:w="1090" w:type="dxa"/>
            <w:tcBorders>
              <w:left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eastAsia="Times New Roman" w:cs="TimesNewRoman"/>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continue"/>
            <w:vAlign w:val="center"/>
          </w:tcPr>
          <w:p>
            <w:pPr>
              <w:jc w:val="both"/>
              <w:rPr>
                <w:rFonts w:ascii="TimesNewRoman" w:hAnsi="TimesNewRoman" w:eastAsia="方正楷体_GBK" w:cs="TimesNewRoman"/>
              </w:rPr>
            </w:pPr>
          </w:p>
        </w:tc>
        <w:tc>
          <w:tcPr>
            <w:tcW w:w="777" w:type="dxa"/>
            <w:vMerge w:val="continue"/>
            <w:vAlign w:val="center"/>
          </w:tcPr>
          <w:p>
            <w:pPr>
              <w:jc w:val="both"/>
              <w:rPr>
                <w:rFonts w:ascii="TimesNewRoman" w:hAnsi="TimesNewRoman" w:eastAsia="方正仿宋_GBK" w:cs="TimesNewRoman"/>
              </w:rPr>
            </w:pPr>
          </w:p>
        </w:tc>
        <w:tc>
          <w:tcPr>
            <w:tcW w:w="1208" w:type="dxa"/>
            <w:gridSpan w:val="2"/>
            <w:tcBorders>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预算调整率（</w:t>
            </w:r>
            <w:r>
              <w:rPr>
                <w:rFonts w:ascii="TimesNewRoman" w:hAnsi="TimesNewRoman" w:eastAsia="方正仿宋_GBK" w:cs="TimesNewRoman"/>
              </w:rPr>
              <w:t>3</w:t>
            </w:r>
            <w:r>
              <w:rPr>
                <w:rFonts w:hint="eastAsia" w:ascii="TimesNewRoman" w:hAnsi="TimesNewRoman" w:eastAsia="方正仿宋_GBK" w:cs="TimesNewRoman"/>
              </w:rPr>
              <w:t>分）</w:t>
            </w:r>
          </w:p>
        </w:tc>
        <w:tc>
          <w:tcPr>
            <w:tcW w:w="6554"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部门本年度预算调整数与预算数的比率，用以反映和评价部门预算的调整程度。</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预算调整率</w:t>
            </w:r>
            <w:r>
              <w:rPr>
                <w:rFonts w:ascii="TimesNewRoman" w:hAnsi="TimesNewRoman" w:eastAsia="方正仿宋_GBK" w:cs="TimesNewRoman"/>
              </w:rPr>
              <w:t>=</w:t>
            </w:r>
            <w:r>
              <w:rPr>
                <w:rFonts w:hint="eastAsia" w:ascii="TimesNewRoman" w:hAnsi="TimesNewRoman" w:eastAsia="方正仿宋_GBK" w:cs="TimesNewRoman"/>
              </w:rPr>
              <w:t>（预算调整数</w:t>
            </w:r>
            <w:r>
              <w:rPr>
                <w:rFonts w:ascii="TimesNewRoman" w:hAnsi="TimesNewRoman" w:eastAsia="方正仿宋_GBK" w:cs="TimesNewRoman"/>
              </w:rPr>
              <w:t>/</w:t>
            </w:r>
            <w:r>
              <w:rPr>
                <w:rFonts w:hint="eastAsia" w:ascii="TimesNewRoman" w:hAnsi="TimesNewRoman" w:eastAsia="方正仿宋_GBK" w:cs="TimesNewRoman"/>
              </w:rPr>
              <w:t>预算数）</w:t>
            </w:r>
            <w:r>
              <w:rPr>
                <w:rFonts w:ascii="TimesNewRoman" w:hAnsi="TimesNewRoman" w:eastAsia="方正仿宋_GBK" w:cs="TimesNewRoman"/>
              </w:rPr>
              <w:t>×100%</w:t>
            </w:r>
            <w:r>
              <w:rPr>
                <w:rFonts w:hint="eastAsia" w:ascii="TimesNewRoman" w:hAnsi="TimesNewRoman" w:eastAsia="方正仿宋_GBK" w:cs="TimesNewRoman"/>
              </w:rPr>
              <w:t>。</w:t>
            </w:r>
          </w:p>
        </w:tc>
        <w:tc>
          <w:tcPr>
            <w:tcW w:w="3780" w:type="dxa"/>
            <w:tcBorders>
              <w:left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≤3%</w:t>
            </w:r>
            <w:r>
              <w:rPr>
                <w:rFonts w:hint="eastAsia" w:ascii="TimesNewRoman" w:hAnsi="TimesNewRoman" w:eastAsia="方正仿宋_GBK" w:cs="TimesNewRoman"/>
              </w:rPr>
              <w:t>的，得</w:t>
            </w:r>
            <w:r>
              <w:rPr>
                <w:rFonts w:ascii="TimesNewRoman" w:hAnsi="TimesNewRoman" w:eastAsia="方正仿宋_GBK" w:cs="TimesNewRoman"/>
              </w:rPr>
              <w:t>3</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ascii="TimesNewRoman" w:hAnsi="TimesNewRoman" w:eastAsia="方正仿宋_GBK" w:cs="TimesNewRoman"/>
              </w:rPr>
              <w:t>3%</w:t>
            </w:r>
            <w:r>
              <w:rPr>
                <w:rFonts w:hint="eastAsia" w:ascii="TimesNewRoman" w:hAnsi="TimesNewRoman" w:eastAsia="方正仿宋_GBK" w:cs="TimesNewRoman"/>
              </w:rPr>
              <w:t>﹤比率</w:t>
            </w:r>
            <w:r>
              <w:rPr>
                <w:rFonts w:ascii="TimesNewRoman" w:hAnsi="TimesNewRoman" w:eastAsia="方正仿宋_GBK" w:cs="TimesNewRoman"/>
              </w:rPr>
              <w:t>≤ %</w:t>
            </w:r>
            <w:r>
              <w:rPr>
                <w:rFonts w:hint="eastAsia" w:ascii="TimesNewRoman" w:hAnsi="TimesNewRoman" w:eastAsia="方正仿宋_GBK" w:cs="TimesNewRoman"/>
              </w:rPr>
              <w:t>的，得</w:t>
            </w:r>
            <w:r>
              <w:rPr>
                <w:rFonts w:ascii="TimesNewRoman" w:hAnsi="TimesNewRoman" w:eastAsia="方正仿宋_GBK" w:cs="TimesNewRoman"/>
              </w:rPr>
              <w:t>2</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10%</w:t>
            </w:r>
            <w:r>
              <w:rPr>
                <w:rFonts w:hint="eastAsia" w:ascii="TimesNewRoman" w:hAnsi="TimesNewRoman" w:eastAsia="方正仿宋_GBK" w:cs="TimesNewRoman"/>
              </w:rPr>
              <w:t>的，得</w:t>
            </w:r>
            <w:r>
              <w:rPr>
                <w:rFonts w:ascii="TimesNewRoman" w:hAnsi="TimesNewRoman" w:eastAsia="方正仿宋_GBK" w:cs="TimesNewRoman"/>
              </w:rPr>
              <w:t>0</w:t>
            </w:r>
            <w:r>
              <w:rPr>
                <w:rFonts w:hint="eastAsia" w:ascii="TimesNewRoman" w:hAnsi="TimesNewRoman" w:eastAsia="方正仿宋_GBK" w:cs="TimesNewRoman"/>
              </w:rPr>
              <w:t>分。</w:t>
            </w:r>
          </w:p>
        </w:tc>
        <w:tc>
          <w:tcPr>
            <w:tcW w:w="1090" w:type="dxa"/>
            <w:tcBorders>
              <w:left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eastAsia="Times New Roman" w:cs="TimesNewRoman"/>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jc w:val="center"/>
        </w:trPr>
        <w:tc>
          <w:tcPr>
            <w:tcW w:w="733" w:type="dxa"/>
            <w:vMerge w:val="continue"/>
            <w:vAlign w:val="center"/>
          </w:tcPr>
          <w:p>
            <w:pPr>
              <w:jc w:val="both"/>
              <w:rPr>
                <w:rFonts w:ascii="TimesNewRoman" w:hAnsi="TimesNewRoman" w:eastAsia="方正楷体_GBK" w:cs="TimesNewRoman"/>
              </w:rPr>
            </w:pPr>
          </w:p>
        </w:tc>
        <w:tc>
          <w:tcPr>
            <w:tcW w:w="777" w:type="dxa"/>
            <w:vMerge w:val="continue"/>
            <w:vAlign w:val="center"/>
          </w:tcPr>
          <w:p>
            <w:pPr>
              <w:jc w:val="both"/>
              <w:rPr>
                <w:rFonts w:ascii="TimesNewRoman" w:hAnsi="TimesNewRoman" w:eastAsia="方正仿宋_GBK" w:cs="TimesNewRoman"/>
              </w:rPr>
            </w:pPr>
          </w:p>
        </w:tc>
        <w:tc>
          <w:tcPr>
            <w:tcW w:w="1208" w:type="dxa"/>
            <w:gridSpan w:val="2"/>
            <w:tcBorders>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结转结余率（</w:t>
            </w:r>
            <w:r>
              <w:rPr>
                <w:rFonts w:ascii="TimesNewRoman" w:hAnsi="TimesNewRoman" w:eastAsia="方正仿宋_GBK" w:cs="TimesNewRoman"/>
              </w:rPr>
              <w:t>3</w:t>
            </w:r>
            <w:r>
              <w:rPr>
                <w:rFonts w:hint="eastAsia" w:ascii="TimesNewRoman" w:hAnsi="TimesNewRoman" w:eastAsia="方正仿宋_GBK" w:cs="TimesNewRoman"/>
              </w:rPr>
              <w:t>分）</w:t>
            </w:r>
          </w:p>
        </w:tc>
        <w:tc>
          <w:tcPr>
            <w:tcW w:w="6554"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通过对部门本年度结转结余总额与支出预算数的比较，反映和评价部门对本年度结转结余资金的实际控制程度。</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结转结余率</w:t>
            </w:r>
            <w:r>
              <w:rPr>
                <w:rFonts w:ascii="TimesNewRoman" w:hAnsi="TimesNewRoman" w:eastAsia="方正仿宋_GBK" w:cs="TimesNewRoman"/>
              </w:rPr>
              <w:t>=</w:t>
            </w:r>
            <w:r>
              <w:rPr>
                <w:rFonts w:hint="eastAsia" w:ascii="TimesNewRoman" w:hAnsi="TimesNewRoman" w:eastAsia="方正仿宋_GBK" w:cs="TimesNewRoman"/>
              </w:rPr>
              <w:t>（结转结余总额</w:t>
            </w:r>
            <w:r>
              <w:rPr>
                <w:rFonts w:ascii="TimesNewRoman" w:hAnsi="TimesNewRoman" w:eastAsia="方正仿宋_GBK" w:cs="TimesNewRoman"/>
              </w:rPr>
              <w:t>/</w:t>
            </w:r>
            <w:r>
              <w:rPr>
                <w:rFonts w:hint="eastAsia" w:ascii="TimesNewRoman" w:hAnsi="TimesNewRoman" w:eastAsia="方正仿宋_GBK" w:cs="TimesNewRoman"/>
              </w:rPr>
              <w:t>支出预算数）</w:t>
            </w:r>
            <w:r>
              <w:rPr>
                <w:rFonts w:ascii="TimesNewRoman" w:hAnsi="TimesNewRoman" w:eastAsia="方正仿宋_GBK" w:cs="TimesNewRoman"/>
              </w:rPr>
              <w:t>×100%</w:t>
            </w:r>
            <w:r>
              <w:rPr>
                <w:rFonts w:hint="eastAsia" w:ascii="TimesNewRoman" w:hAnsi="TimesNewRoman" w:eastAsia="方正仿宋_GBK" w:cs="TimesNewRoman"/>
              </w:rPr>
              <w:t>。</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结转结余总额，是指预算部门本年度的结转资金与结余资金之和（以决算数为准）。</w:t>
            </w:r>
          </w:p>
        </w:tc>
        <w:tc>
          <w:tcPr>
            <w:tcW w:w="3780" w:type="dxa"/>
            <w:tcBorders>
              <w:left w:val="single" w:color="auto" w:sz="4" w:space="0"/>
              <w:right w:val="single" w:color="auto" w:sz="4" w:space="0"/>
            </w:tcBorders>
            <w:vAlign w:val="center"/>
          </w:tcPr>
          <w:p>
            <w:pPr>
              <w:spacing w:line="360" w:lineRule="auto"/>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≤5%</w:t>
            </w:r>
            <w:r>
              <w:rPr>
                <w:rFonts w:hint="eastAsia" w:ascii="TimesNewRoman" w:hAnsi="TimesNewRoman" w:eastAsia="方正仿宋_GBK" w:cs="TimesNewRoman"/>
              </w:rPr>
              <w:t>的，得</w:t>
            </w:r>
            <w:r>
              <w:rPr>
                <w:rFonts w:ascii="TimesNewRoman" w:hAnsi="TimesNewRoman" w:eastAsia="方正仿宋_GBK" w:cs="TimesNewRoman"/>
              </w:rPr>
              <w:t>3</w:t>
            </w:r>
            <w:r>
              <w:rPr>
                <w:rFonts w:hint="eastAsia" w:ascii="TimesNewRoman" w:hAnsi="TimesNewRoman" w:eastAsia="方正仿宋_GBK" w:cs="TimesNewRoman"/>
              </w:rPr>
              <w:t>分；</w:t>
            </w:r>
          </w:p>
          <w:p>
            <w:pPr>
              <w:spacing w:line="360" w:lineRule="auto"/>
              <w:jc w:val="both"/>
              <w:rPr>
                <w:rFonts w:ascii="TimesNewRoman" w:hAnsi="TimesNewRoman" w:eastAsia="方正仿宋_GBK" w:cs="TimesNewRoman"/>
              </w:rPr>
            </w:pPr>
            <w:r>
              <w:rPr>
                <w:rFonts w:ascii="TimesNewRoman" w:hAnsi="TimesNewRoman" w:eastAsia="方正仿宋_GBK" w:cs="TimesNewRoman"/>
              </w:rPr>
              <w:t>5%</w:t>
            </w:r>
            <w:r>
              <w:rPr>
                <w:rFonts w:hint="eastAsia" w:ascii="TimesNewRoman" w:hAnsi="TimesNewRoman" w:eastAsia="方正仿宋_GBK" w:cs="TimesNewRoman"/>
              </w:rPr>
              <w:t>﹤比率</w:t>
            </w:r>
            <w:r>
              <w:rPr>
                <w:rFonts w:ascii="TimesNewRoman" w:hAnsi="TimesNewRoman" w:eastAsia="方正仿宋_GBK" w:cs="TimesNewRoman"/>
              </w:rPr>
              <w:t>≤10%</w:t>
            </w:r>
            <w:r>
              <w:rPr>
                <w:rFonts w:hint="eastAsia" w:ascii="TimesNewRoman" w:hAnsi="TimesNewRoman" w:eastAsia="方正仿宋_GBK" w:cs="TimesNewRoman"/>
              </w:rPr>
              <w:t>的，得</w:t>
            </w:r>
            <w:r>
              <w:rPr>
                <w:rFonts w:ascii="TimesNewRoman" w:hAnsi="TimesNewRoman" w:eastAsia="方正仿宋_GBK" w:cs="TimesNewRoman"/>
              </w:rPr>
              <w:t>2</w:t>
            </w:r>
            <w:r>
              <w:rPr>
                <w:rFonts w:hint="eastAsia" w:ascii="TimesNewRoman" w:hAnsi="TimesNewRoman" w:eastAsia="方正仿宋_GBK" w:cs="TimesNewRoman"/>
              </w:rPr>
              <w:t>分；</w:t>
            </w:r>
          </w:p>
          <w:p>
            <w:pPr>
              <w:spacing w:line="360" w:lineRule="auto"/>
              <w:jc w:val="both"/>
              <w:rPr>
                <w:rFonts w:ascii="TimesNewRoman" w:hAnsi="TimesNewRoman" w:eastAsia="方正仿宋_GBK" w:cs="TimesNewRoman"/>
              </w:rPr>
            </w:pPr>
            <w:r>
              <w:rPr>
                <w:rFonts w:ascii="TimesNewRoman" w:hAnsi="TimesNewRoman" w:eastAsia="方正仿宋_GBK" w:cs="TimesNewRoman"/>
              </w:rPr>
              <w:t>10%</w:t>
            </w:r>
            <w:r>
              <w:rPr>
                <w:rFonts w:hint="eastAsia" w:ascii="TimesNewRoman" w:hAnsi="TimesNewRoman" w:eastAsia="方正仿宋_GBK" w:cs="TimesNewRoman"/>
              </w:rPr>
              <w:t>﹤比率</w:t>
            </w:r>
            <w:r>
              <w:rPr>
                <w:rFonts w:ascii="TimesNewRoman" w:hAnsi="TimesNewRoman" w:eastAsia="方正仿宋_GBK" w:cs="TimesNewRoman"/>
              </w:rPr>
              <w:t>≤15%</w:t>
            </w:r>
            <w:r>
              <w:rPr>
                <w:rFonts w:hint="eastAsia" w:ascii="TimesNewRoman" w:hAnsi="TimesNewRoman" w:eastAsia="方正仿宋_GBK" w:cs="TimesNewRoman"/>
              </w:rPr>
              <w:t>的，得</w:t>
            </w:r>
            <w:r>
              <w:rPr>
                <w:rFonts w:ascii="TimesNewRoman" w:hAnsi="TimesNewRoman" w:eastAsia="方正仿宋_GBK" w:cs="TimesNewRoman"/>
              </w:rPr>
              <w:t>1</w:t>
            </w:r>
            <w:r>
              <w:rPr>
                <w:rFonts w:hint="eastAsia" w:ascii="TimesNewRoman" w:hAnsi="TimesNewRoman" w:eastAsia="方正仿宋_GBK" w:cs="TimesNewRoman"/>
              </w:rPr>
              <w:t>分；</w:t>
            </w:r>
          </w:p>
          <w:p>
            <w:pPr>
              <w:spacing w:line="360" w:lineRule="auto"/>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15%</w:t>
            </w:r>
            <w:r>
              <w:rPr>
                <w:rFonts w:hint="eastAsia" w:ascii="TimesNewRoman" w:hAnsi="TimesNewRoman" w:eastAsia="方正仿宋_GBK" w:cs="TimesNewRoman"/>
              </w:rPr>
              <w:t>的，得</w:t>
            </w:r>
            <w:r>
              <w:rPr>
                <w:rFonts w:ascii="TimesNewRoman" w:hAnsi="TimesNewRoman" w:eastAsia="方正仿宋_GBK" w:cs="TimesNewRoman"/>
              </w:rPr>
              <w:t>0</w:t>
            </w:r>
            <w:r>
              <w:rPr>
                <w:rFonts w:hint="eastAsia" w:ascii="TimesNewRoman" w:hAnsi="TimesNewRoman" w:eastAsia="方正仿宋_GBK" w:cs="TimesNewRoman"/>
              </w:rPr>
              <w:t>分。</w:t>
            </w:r>
          </w:p>
        </w:tc>
        <w:tc>
          <w:tcPr>
            <w:tcW w:w="1090" w:type="dxa"/>
            <w:tcBorders>
              <w:left w:val="single" w:color="auto" w:sz="4" w:space="0"/>
            </w:tcBorders>
            <w:vAlign w:val="center"/>
          </w:tcPr>
          <w:p>
            <w:pPr>
              <w:spacing w:line="240" w:lineRule="exact"/>
              <w:jc w:val="center"/>
              <w:rPr>
                <w:rFonts w:ascii="TimesNewRoman" w:hAnsi="TimesNewRoman" w:eastAsia="Times New Roman" w:cs="TimesNewRoman"/>
              </w:rPr>
            </w:pPr>
            <w:r>
              <w:rPr>
                <w:rFonts w:ascii="TimesNewRoman" w:hAnsi="TimesNewRoman" w:eastAsia="Times New Roman" w:cs="TimesNewRoman"/>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7" w:hRule="atLeast"/>
          <w:jc w:val="center"/>
        </w:trPr>
        <w:tc>
          <w:tcPr>
            <w:tcW w:w="733" w:type="dxa"/>
            <w:vMerge w:val="continue"/>
            <w:vAlign w:val="center"/>
          </w:tcPr>
          <w:p>
            <w:pPr>
              <w:jc w:val="both"/>
              <w:rPr>
                <w:rFonts w:ascii="TimesNewRoman" w:hAnsi="TimesNewRoman" w:eastAsia="方正楷体_GBK" w:cs="TimesNewRoman"/>
              </w:rPr>
            </w:pPr>
          </w:p>
        </w:tc>
        <w:tc>
          <w:tcPr>
            <w:tcW w:w="777" w:type="dxa"/>
            <w:vMerge w:val="continue"/>
            <w:vAlign w:val="center"/>
          </w:tcPr>
          <w:p>
            <w:pPr>
              <w:jc w:val="both"/>
              <w:rPr>
                <w:rFonts w:ascii="TimesNewRoman" w:hAnsi="TimesNewRoman" w:eastAsia="方正仿宋_GBK" w:cs="TimesNewRoman"/>
              </w:rPr>
            </w:pPr>
          </w:p>
        </w:tc>
        <w:tc>
          <w:tcPr>
            <w:tcW w:w="1208" w:type="dxa"/>
            <w:gridSpan w:val="2"/>
            <w:tcBorders>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结转结余变动率</w:t>
            </w:r>
            <w:r>
              <w:rPr>
                <w:rFonts w:ascii="TimesNewRoman" w:hAnsi="TimesNewRoman" w:eastAsia="方正仿宋_GBK" w:cs="TimesNewRoman"/>
              </w:rPr>
              <w:t>(3</w:t>
            </w:r>
            <w:r>
              <w:rPr>
                <w:rFonts w:hint="eastAsia" w:ascii="TimesNewRoman" w:hAnsi="TimesNewRoman" w:eastAsia="方正仿宋_GBK" w:cs="TimesNewRoman"/>
              </w:rPr>
              <w:t>分）</w:t>
            </w:r>
          </w:p>
        </w:tc>
        <w:tc>
          <w:tcPr>
            <w:tcW w:w="6554"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部门本年度结转结余资金总额与上年度结转结余资金总额的变动比率，用以反映和考核部门对控制结转结余资金的努力程度。</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结转结余变动率</w:t>
            </w:r>
            <w:r>
              <w:rPr>
                <w:rFonts w:ascii="TimesNewRoman" w:hAnsi="TimesNewRoman" w:eastAsia="方正仿宋_GBK" w:cs="TimesNewRoman"/>
              </w:rPr>
              <w:t>=</w:t>
            </w:r>
            <w:r>
              <w:rPr>
                <w:rFonts w:hint="eastAsia" w:ascii="TimesNewRoman" w:hAnsi="TimesNewRoman" w:eastAsia="方正仿宋_GBK" w:cs="TimesNewRoman"/>
              </w:rPr>
              <w:t>〔（本年度累计结转结余资金总额</w:t>
            </w:r>
            <w:r>
              <w:rPr>
                <w:rFonts w:ascii="TimesNewRoman" w:hAnsi="TimesNewRoman" w:eastAsia="方正仿宋_GBK" w:cs="TimesNewRoman"/>
              </w:rPr>
              <w:t>-</w:t>
            </w:r>
            <w:r>
              <w:rPr>
                <w:rFonts w:hint="eastAsia" w:ascii="TimesNewRoman" w:hAnsi="TimesNewRoman" w:eastAsia="方正仿宋_GBK" w:cs="TimesNewRoman"/>
              </w:rPr>
              <w:t>上年度累计结转结余资金总额）</w:t>
            </w:r>
            <w:r>
              <w:rPr>
                <w:rFonts w:ascii="TimesNewRoman" w:hAnsi="TimesNewRoman" w:eastAsia="方正仿宋_GBK" w:cs="TimesNewRoman"/>
              </w:rPr>
              <w:t>/</w:t>
            </w:r>
            <w:r>
              <w:rPr>
                <w:rFonts w:hint="eastAsia" w:ascii="TimesNewRoman" w:hAnsi="TimesNewRoman" w:eastAsia="方正仿宋_GBK" w:cs="TimesNewRoman"/>
              </w:rPr>
              <w:t>上年度累计结转结余资金总额〕</w:t>
            </w:r>
            <w:r>
              <w:rPr>
                <w:rFonts w:ascii="TimesNewRoman" w:hAnsi="TimesNewRoman" w:eastAsia="方正仿宋_GBK" w:cs="TimesNewRoman"/>
              </w:rPr>
              <w:t>×100%</w:t>
            </w:r>
            <w:r>
              <w:rPr>
                <w:rFonts w:hint="eastAsia" w:ascii="TimesNewRoman" w:hAnsi="TimesNewRoman" w:eastAsia="方正仿宋_GBK" w:cs="TimesNewRoman"/>
              </w:rPr>
              <w:t>。</w:t>
            </w:r>
          </w:p>
        </w:tc>
        <w:tc>
          <w:tcPr>
            <w:tcW w:w="3780" w:type="dxa"/>
            <w:tcBorders>
              <w:left w:val="single" w:color="auto" w:sz="4" w:space="0"/>
              <w:right w:val="single" w:color="auto" w:sz="4" w:space="0"/>
            </w:tcBorders>
            <w:vAlign w:val="center"/>
          </w:tcPr>
          <w:p>
            <w:pPr>
              <w:spacing w:line="360" w:lineRule="auto"/>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≤0%</w:t>
            </w:r>
            <w:r>
              <w:rPr>
                <w:rFonts w:hint="eastAsia" w:ascii="TimesNewRoman" w:hAnsi="TimesNewRoman" w:eastAsia="方正仿宋_GBK" w:cs="TimesNewRoman"/>
              </w:rPr>
              <w:t>；得</w:t>
            </w:r>
            <w:r>
              <w:rPr>
                <w:rFonts w:ascii="TimesNewRoman" w:hAnsi="TimesNewRoman" w:eastAsia="方正仿宋_GBK" w:cs="TimesNewRoman"/>
              </w:rPr>
              <w:t>3</w:t>
            </w:r>
            <w:r>
              <w:rPr>
                <w:rFonts w:hint="eastAsia" w:ascii="TimesNewRoman" w:hAnsi="TimesNewRoman" w:eastAsia="方正仿宋_GBK" w:cs="TimesNewRoman"/>
              </w:rPr>
              <w:t>分；</w:t>
            </w:r>
          </w:p>
          <w:p>
            <w:pPr>
              <w:spacing w:line="360" w:lineRule="auto"/>
              <w:jc w:val="both"/>
              <w:rPr>
                <w:rFonts w:ascii="TimesNewRoman" w:hAnsi="TimesNewRoman" w:eastAsia="方正仿宋_GBK" w:cs="TimesNewRoman"/>
              </w:rPr>
            </w:pPr>
            <w:r>
              <w:rPr>
                <w:rFonts w:ascii="TimesNewRoman" w:hAnsi="TimesNewRoman" w:eastAsia="方正仿宋_GBK" w:cs="TimesNewRoman"/>
              </w:rPr>
              <w:t>0%</w:t>
            </w:r>
            <w:r>
              <w:rPr>
                <w:rFonts w:hint="eastAsia" w:ascii="TimesNewRoman" w:hAnsi="TimesNewRoman" w:eastAsia="方正仿宋_GBK" w:cs="TimesNewRoman"/>
              </w:rPr>
              <w:t>﹤比率</w:t>
            </w:r>
            <w:r>
              <w:rPr>
                <w:rFonts w:ascii="TimesNewRoman" w:hAnsi="TimesNewRoman" w:eastAsia="方正仿宋_GBK" w:cs="TimesNewRoman"/>
              </w:rPr>
              <w:t>≤5%</w:t>
            </w:r>
            <w:r>
              <w:rPr>
                <w:rFonts w:hint="eastAsia" w:ascii="TimesNewRoman" w:hAnsi="TimesNewRoman" w:eastAsia="方正仿宋_GBK" w:cs="TimesNewRoman"/>
              </w:rPr>
              <w:t>的，得</w:t>
            </w:r>
            <w:r>
              <w:rPr>
                <w:rFonts w:ascii="TimesNewRoman" w:hAnsi="TimesNewRoman" w:eastAsia="方正仿宋_GBK" w:cs="TimesNewRoman"/>
              </w:rPr>
              <w:t>2</w:t>
            </w:r>
            <w:r>
              <w:rPr>
                <w:rFonts w:hint="eastAsia" w:ascii="TimesNewRoman" w:hAnsi="TimesNewRoman" w:eastAsia="方正仿宋_GBK" w:cs="TimesNewRoman"/>
              </w:rPr>
              <w:t>分；</w:t>
            </w:r>
          </w:p>
          <w:p>
            <w:pPr>
              <w:spacing w:line="360" w:lineRule="auto"/>
              <w:jc w:val="both"/>
              <w:rPr>
                <w:rFonts w:ascii="TimesNewRoman" w:hAnsi="TimesNewRoman" w:eastAsia="方正仿宋_GBK" w:cs="TimesNewRoman"/>
              </w:rPr>
            </w:pPr>
            <w:r>
              <w:rPr>
                <w:rFonts w:ascii="TimesNewRoman" w:hAnsi="TimesNewRoman" w:eastAsia="方正仿宋_GBK" w:cs="TimesNewRoman"/>
              </w:rPr>
              <w:t>5%</w:t>
            </w:r>
            <w:r>
              <w:rPr>
                <w:rFonts w:hint="eastAsia" w:ascii="TimesNewRoman" w:hAnsi="TimesNewRoman" w:eastAsia="方正仿宋_GBK" w:cs="TimesNewRoman"/>
              </w:rPr>
              <w:t>﹤比率</w:t>
            </w:r>
            <w:r>
              <w:rPr>
                <w:rFonts w:ascii="TimesNewRoman" w:hAnsi="TimesNewRoman" w:eastAsia="方正仿宋_GBK" w:cs="TimesNewRoman"/>
              </w:rPr>
              <w:t>≤10%</w:t>
            </w:r>
            <w:r>
              <w:rPr>
                <w:rFonts w:hint="eastAsia" w:ascii="TimesNewRoman" w:hAnsi="TimesNewRoman" w:eastAsia="方正仿宋_GBK" w:cs="TimesNewRoman"/>
              </w:rPr>
              <w:t>的，得</w:t>
            </w:r>
            <w:r>
              <w:rPr>
                <w:rFonts w:ascii="TimesNewRoman" w:hAnsi="TimesNewRoman" w:eastAsia="方正仿宋_GBK" w:cs="TimesNewRoman"/>
              </w:rPr>
              <w:t>1</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10%</w:t>
            </w:r>
            <w:r>
              <w:rPr>
                <w:rFonts w:hint="eastAsia" w:ascii="TimesNewRoman" w:hAnsi="TimesNewRoman" w:eastAsia="方正仿宋_GBK" w:cs="TimesNewRoman"/>
              </w:rPr>
              <w:t>的，得</w:t>
            </w:r>
            <w:r>
              <w:rPr>
                <w:rFonts w:ascii="TimesNewRoman" w:hAnsi="TimesNewRoman" w:eastAsia="方正仿宋_GBK" w:cs="TimesNewRoman"/>
              </w:rPr>
              <w:t>0</w:t>
            </w:r>
            <w:r>
              <w:rPr>
                <w:rFonts w:hint="eastAsia" w:ascii="TimesNewRoman" w:hAnsi="TimesNewRoman" w:eastAsia="方正仿宋_GBK" w:cs="TimesNewRoman"/>
              </w:rPr>
              <w:t>分。</w:t>
            </w:r>
          </w:p>
        </w:tc>
        <w:tc>
          <w:tcPr>
            <w:tcW w:w="1090" w:type="dxa"/>
            <w:tcBorders>
              <w:left w:val="single" w:color="auto" w:sz="4" w:space="0"/>
            </w:tcBorders>
            <w:vAlign w:val="center"/>
          </w:tcPr>
          <w:p>
            <w:pPr>
              <w:spacing w:line="240" w:lineRule="exact"/>
              <w:jc w:val="center"/>
              <w:rPr>
                <w:rFonts w:ascii="TimesNewRoman" w:hAnsi="TimesNewRoman" w:eastAsia="Times New Roman" w:cs="TimesNewRoman"/>
                <w:sz w:val="20"/>
              </w:rPr>
            </w:pPr>
            <w:r>
              <w:rPr>
                <w:rFonts w:ascii="TimesNewRoman" w:hAnsi="TimesNewRoman" w:eastAsia="Times New Roman" w:cs="TimesNewRoman"/>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5" w:hRule="atLeast"/>
          <w:jc w:val="center"/>
        </w:trPr>
        <w:tc>
          <w:tcPr>
            <w:tcW w:w="733" w:type="dxa"/>
            <w:vMerge w:val="continue"/>
            <w:vAlign w:val="center"/>
          </w:tcPr>
          <w:p>
            <w:pPr>
              <w:jc w:val="both"/>
              <w:rPr>
                <w:rFonts w:ascii="TimesNewRoman" w:hAnsi="TimesNewRoman" w:eastAsia="方正楷体_GBK" w:cs="TimesNewRoman"/>
              </w:rPr>
            </w:pPr>
          </w:p>
        </w:tc>
        <w:tc>
          <w:tcPr>
            <w:tcW w:w="777" w:type="dxa"/>
            <w:vMerge w:val="continue"/>
            <w:vAlign w:val="center"/>
          </w:tcPr>
          <w:p>
            <w:pPr>
              <w:jc w:val="both"/>
              <w:rPr>
                <w:rFonts w:ascii="TimesNewRoman" w:hAnsi="TimesNewRoman" w:eastAsia="方正仿宋_GBK" w:cs="TimesNewRoman"/>
              </w:rPr>
            </w:pPr>
          </w:p>
        </w:tc>
        <w:tc>
          <w:tcPr>
            <w:tcW w:w="1208" w:type="dxa"/>
            <w:gridSpan w:val="2"/>
            <w:tcBorders>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公用经费控制率（</w:t>
            </w:r>
            <w:r>
              <w:rPr>
                <w:rFonts w:ascii="TimesNewRoman" w:hAnsi="TimesNewRoman" w:eastAsia="方正仿宋_GBK" w:cs="TimesNewRoman"/>
              </w:rPr>
              <w:t>3</w:t>
            </w:r>
            <w:r>
              <w:rPr>
                <w:rFonts w:hint="eastAsia" w:ascii="TimesNewRoman" w:hAnsi="TimesNewRoman" w:eastAsia="方正仿宋_GBK" w:cs="TimesNewRoman"/>
              </w:rPr>
              <w:t>分）</w:t>
            </w:r>
          </w:p>
        </w:tc>
        <w:tc>
          <w:tcPr>
            <w:tcW w:w="6554"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通过对部门本年度实际支出的公用经费总额与预算安排的公用经费总额的比率，反映和评价部门对机构运转成本的实际控制程度。</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公用经费控制率</w:t>
            </w:r>
            <w:r>
              <w:rPr>
                <w:rFonts w:ascii="TimesNewRoman" w:hAnsi="TimesNewRoman" w:eastAsia="方正仿宋_GBK" w:cs="TimesNewRoman"/>
              </w:rPr>
              <w:t>=</w:t>
            </w:r>
            <w:r>
              <w:rPr>
                <w:rFonts w:hint="eastAsia" w:ascii="TimesNewRoman" w:hAnsi="TimesNewRoman" w:eastAsia="方正仿宋_GBK" w:cs="TimesNewRoman"/>
              </w:rPr>
              <w:t>（实际支出公用经费总额</w:t>
            </w:r>
            <w:r>
              <w:rPr>
                <w:rFonts w:ascii="TimesNewRoman" w:hAnsi="TimesNewRoman" w:eastAsia="方正仿宋_GBK" w:cs="TimesNewRoman"/>
              </w:rPr>
              <w:t>/</w:t>
            </w:r>
            <w:r>
              <w:rPr>
                <w:rFonts w:hint="eastAsia" w:ascii="TimesNewRoman" w:hAnsi="TimesNewRoman" w:eastAsia="方正仿宋_GBK" w:cs="TimesNewRoman"/>
              </w:rPr>
              <w:t>预算安排公用经费总额）</w:t>
            </w:r>
            <w:r>
              <w:rPr>
                <w:rFonts w:ascii="TimesNewRoman" w:hAnsi="TimesNewRoman" w:eastAsia="方正仿宋_GBK" w:cs="TimesNewRoman"/>
              </w:rPr>
              <w:t>×100%</w:t>
            </w:r>
            <w:r>
              <w:rPr>
                <w:rFonts w:hint="eastAsia" w:ascii="TimesNewRoman" w:hAnsi="TimesNewRoman" w:eastAsia="方正仿宋_GBK" w:cs="TimesNewRoman"/>
              </w:rPr>
              <w:t>。</w:t>
            </w:r>
          </w:p>
        </w:tc>
        <w:tc>
          <w:tcPr>
            <w:tcW w:w="3780"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目标值为</w:t>
            </w:r>
            <w:r>
              <w:rPr>
                <w:rFonts w:ascii="TimesNewRoman" w:hAnsi="TimesNewRoman" w:eastAsia="方正仿宋_GBK" w:cs="TimesNewRoman"/>
              </w:rPr>
              <w:t>≤100%</w:t>
            </w:r>
            <w:r>
              <w:rPr>
                <w:rFonts w:hint="eastAsia" w:ascii="TimesNewRoman" w:hAnsi="TimesNewRoman" w:eastAsia="方正仿宋_GBK" w:cs="TimesNewRoman"/>
              </w:rPr>
              <w:t>；达到目标值得</w:t>
            </w:r>
            <w:r>
              <w:rPr>
                <w:rFonts w:ascii="TimesNewRoman" w:hAnsi="TimesNewRoman" w:eastAsia="方正仿宋_GBK" w:cs="TimesNewRoman"/>
              </w:rPr>
              <w:t>3</w:t>
            </w:r>
            <w:r>
              <w:rPr>
                <w:rFonts w:hint="eastAsia" w:ascii="TimesNewRoman" w:hAnsi="TimesNewRoman" w:eastAsia="方正仿宋_GBK" w:cs="TimesNewRoman"/>
              </w:rPr>
              <w:t>分，未达到目标值的每增加</w:t>
            </w:r>
            <w:r>
              <w:rPr>
                <w:rFonts w:ascii="TimesNewRoman" w:hAnsi="TimesNewRoman" w:eastAsia="方正仿宋_GBK" w:cs="TimesNewRoman"/>
              </w:rPr>
              <w:t>0.1</w:t>
            </w:r>
            <w:r>
              <w:rPr>
                <w:rFonts w:hint="eastAsia" w:ascii="TimesNewRoman" w:hAnsi="TimesNewRoman" w:eastAsia="方正仿宋_GBK" w:cs="TimesNewRoman"/>
              </w:rPr>
              <w:t>个百分点扣</w:t>
            </w:r>
            <w:r>
              <w:rPr>
                <w:rFonts w:ascii="TimesNewRoman" w:hAnsi="TimesNewRoman" w:eastAsia="方正仿宋_GBK" w:cs="TimesNewRoman"/>
              </w:rPr>
              <w:t>0.1</w:t>
            </w:r>
            <w:r>
              <w:rPr>
                <w:rFonts w:hint="eastAsia" w:ascii="TimesNewRoman" w:hAnsi="TimesNewRoman" w:eastAsia="方正仿宋_GBK" w:cs="TimesNewRoman"/>
              </w:rPr>
              <w:t>分，扣完为止。</w:t>
            </w:r>
          </w:p>
        </w:tc>
        <w:tc>
          <w:tcPr>
            <w:tcW w:w="1090" w:type="dxa"/>
            <w:tcBorders>
              <w:left w:val="single" w:color="auto" w:sz="4" w:space="0"/>
            </w:tcBorders>
            <w:vAlign w:val="center"/>
          </w:tcPr>
          <w:p>
            <w:pPr>
              <w:spacing w:line="240" w:lineRule="exact"/>
              <w:jc w:val="center"/>
              <w:rPr>
                <w:rFonts w:ascii="TimesNewRoman" w:hAnsi="TimesNewRoman" w:eastAsia="Times New Roman" w:cs="TimesNewRoman"/>
              </w:rPr>
            </w:pPr>
            <w:r>
              <w:rPr>
                <w:rFonts w:ascii="TimesNewRoman" w:hAnsi="TimesNewRoman" w:eastAsia="Times New Roman" w:cs="TimesNewRoman"/>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3" w:hRule="atLeast"/>
          <w:jc w:val="center"/>
        </w:trPr>
        <w:tc>
          <w:tcPr>
            <w:tcW w:w="733" w:type="dxa"/>
            <w:vMerge w:val="continue"/>
            <w:vAlign w:val="center"/>
          </w:tcPr>
          <w:p>
            <w:pPr>
              <w:jc w:val="both"/>
              <w:rPr>
                <w:rFonts w:ascii="TimesNewRoman" w:hAnsi="TimesNewRoman" w:eastAsia="方正楷体_GBK" w:cs="TimesNewRoman"/>
              </w:rPr>
            </w:pPr>
          </w:p>
        </w:tc>
        <w:tc>
          <w:tcPr>
            <w:tcW w:w="777" w:type="dxa"/>
            <w:vMerge w:val="continue"/>
            <w:vAlign w:val="center"/>
          </w:tcPr>
          <w:p>
            <w:pPr>
              <w:jc w:val="both"/>
              <w:rPr>
                <w:rFonts w:ascii="TimesNewRoman" w:hAnsi="TimesNewRoman" w:eastAsia="方正仿宋_GBK" w:cs="TimesNewRoman"/>
              </w:rPr>
            </w:pPr>
          </w:p>
        </w:tc>
        <w:tc>
          <w:tcPr>
            <w:tcW w:w="1208" w:type="dxa"/>
            <w:gridSpan w:val="2"/>
            <w:tcBorders>
              <w:right w:val="single" w:color="auto" w:sz="4" w:space="0"/>
            </w:tcBorders>
            <w:vAlign w:val="center"/>
          </w:tcPr>
          <w:p>
            <w:pPr>
              <w:spacing w:line="240" w:lineRule="exact"/>
              <w:jc w:val="both"/>
              <w:rPr>
                <w:rFonts w:ascii="TimesNewRoman" w:hAnsi="TimesNewRoman" w:eastAsia="方正仿宋_GBK" w:cs="TimesNewRoman"/>
              </w:rPr>
            </w:pPr>
            <w:r>
              <w:rPr>
                <w:rFonts w:ascii="TimesNewRoman" w:hAnsi="TimesNewRoman" w:eastAsia="方正仿宋_GBK" w:cs="TimesNewRoman"/>
              </w:rPr>
              <w:t>“</w:t>
            </w:r>
            <w:r>
              <w:rPr>
                <w:rFonts w:hint="eastAsia" w:ascii="TimesNewRoman" w:hAnsi="TimesNewRoman" w:eastAsia="方正仿宋_GBK" w:cs="TimesNewRoman"/>
              </w:rPr>
              <w:t>三公经费</w:t>
            </w:r>
            <w:r>
              <w:rPr>
                <w:rFonts w:ascii="TimesNewRoman" w:hAnsi="TimesNewRoman" w:eastAsia="方正仿宋_GBK" w:cs="TimesNewRoman"/>
              </w:rPr>
              <w:t>”</w:t>
            </w:r>
            <w:r>
              <w:rPr>
                <w:rFonts w:hint="eastAsia" w:ascii="TimesNewRoman" w:hAnsi="TimesNewRoman" w:eastAsia="方正仿宋_GBK" w:cs="TimesNewRoman"/>
              </w:rPr>
              <w:t>控制率（</w:t>
            </w:r>
            <w:r>
              <w:rPr>
                <w:rFonts w:ascii="TimesNewRoman" w:hAnsi="TimesNewRoman" w:eastAsia="方正仿宋_GBK" w:cs="TimesNewRoman"/>
              </w:rPr>
              <w:t>3</w:t>
            </w:r>
            <w:r>
              <w:rPr>
                <w:rFonts w:hint="eastAsia" w:ascii="TimesNewRoman" w:hAnsi="TimesNewRoman" w:eastAsia="方正仿宋_GBK" w:cs="TimesNewRoman"/>
              </w:rPr>
              <w:t>分）</w:t>
            </w:r>
          </w:p>
        </w:tc>
        <w:tc>
          <w:tcPr>
            <w:tcW w:w="6554"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部门（单位）本年度</w:t>
            </w:r>
            <w:r>
              <w:rPr>
                <w:rFonts w:ascii="TimesNewRoman" w:hAnsi="TimesNewRoman" w:eastAsia="方正仿宋_GBK" w:cs="TimesNewRoman"/>
              </w:rPr>
              <w:t>“</w:t>
            </w:r>
            <w:r>
              <w:rPr>
                <w:rFonts w:hint="eastAsia" w:ascii="TimesNewRoman" w:hAnsi="TimesNewRoman" w:eastAsia="方正仿宋_GBK" w:cs="TimesNewRoman"/>
              </w:rPr>
              <w:t>三公经费</w:t>
            </w:r>
            <w:r>
              <w:rPr>
                <w:rFonts w:ascii="TimesNewRoman" w:hAnsi="TimesNewRoman" w:eastAsia="方正仿宋_GBK" w:cs="TimesNewRoman"/>
              </w:rPr>
              <w:t>”</w:t>
            </w:r>
            <w:r>
              <w:rPr>
                <w:rFonts w:hint="eastAsia" w:ascii="TimesNewRoman" w:hAnsi="TimesNewRoman" w:eastAsia="方正仿宋_GBK" w:cs="TimesNewRoman"/>
              </w:rPr>
              <w:t>实际支出数与预算安排数的比率，用以反映和考核部门（单位）对</w:t>
            </w:r>
            <w:r>
              <w:rPr>
                <w:rFonts w:ascii="TimesNewRoman" w:hAnsi="TimesNewRoman" w:eastAsia="方正仿宋_GBK" w:cs="TimesNewRoman"/>
              </w:rPr>
              <w:t>“</w:t>
            </w:r>
            <w:r>
              <w:rPr>
                <w:rFonts w:hint="eastAsia" w:ascii="TimesNewRoman" w:hAnsi="TimesNewRoman" w:eastAsia="方正仿宋_GBK" w:cs="TimesNewRoman"/>
              </w:rPr>
              <w:t>三公经费</w:t>
            </w:r>
            <w:r>
              <w:rPr>
                <w:rFonts w:ascii="TimesNewRoman" w:hAnsi="TimesNewRoman" w:eastAsia="方正仿宋_GBK" w:cs="TimesNewRoman"/>
              </w:rPr>
              <w:t>”</w:t>
            </w:r>
            <w:r>
              <w:rPr>
                <w:rFonts w:hint="eastAsia" w:ascii="TimesNewRoman" w:hAnsi="TimesNewRoman" w:eastAsia="方正仿宋_GBK" w:cs="TimesNewRoman"/>
              </w:rPr>
              <w:t>的实际控制程度。</w:t>
            </w:r>
          </w:p>
          <w:p>
            <w:pPr>
              <w:spacing w:line="240" w:lineRule="exact"/>
              <w:jc w:val="both"/>
              <w:rPr>
                <w:rFonts w:ascii="TimesNewRoman" w:hAnsi="TimesNewRoman" w:eastAsia="方正仿宋_GBK" w:cs="TimesNewRoman"/>
              </w:rPr>
            </w:pPr>
            <w:r>
              <w:rPr>
                <w:rFonts w:ascii="TimesNewRoman" w:hAnsi="TimesNewRoman" w:eastAsia="方正仿宋_GBK" w:cs="TimesNewRoman"/>
              </w:rPr>
              <w:t>“</w:t>
            </w:r>
            <w:r>
              <w:rPr>
                <w:rFonts w:hint="eastAsia" w:ascii="TimesNewRoman" w:hAnsi="TimesNewRoman" w:eastAsia="方正仿宋_GBK" w:cs="TimesNewRoman"/>
              </w:rPr>
              <w:t>三公经费</w:t>
            </w:r>
            <w:r>
              <w:rPr>
                <w:rFonts w:ascii="TimesNewRoman" w:hAnsi="TimesNewRoman" w:eastAsia="方正仿宋_GBK" w:cs="TimesNewRoman"/>
              </w:rPr>
              <w:t>”</w:t>
            </w:r>
            <w:r>
              <w:rPr>
                <w:rFonts w:hint="eastAsia" w:ascii="TimesNewRoman" w:hAnsi="TimesNewRoman" w:eastAsia="方正仿宋_GBK" w:cs="TimesNewRoman"/>
              </w:rPr>
              <w:t>控制率</w:t>
            </w:r>
            <w:r>
              <w:rPr>
                <w:rFonts w:ascii="TimesNewRoman" w:hAnsi="TimesNewRoman" w:eastAsia="方正仿宋_GBK" w:cs="TimesNewRoman"/>
              </w:rPr>
              <w:t>=</w:t>
            </w:r>
            <w:r>
              <w:rPr>
                <w:rFonts w:hint="eastAsia" w:ascii="TimesNewRoman" w:hAnsi="TimesNewRoman" w:eastAsia="方正仿宋_GBK" w:cs="TimesNewRoman"/>
              </w:rPr>
              <w:t>（</w:t>
            </w:r>
            <w:r>
              <w:rPr>
                <w:rFonts w:ascii="TimesNewRoman" w:hAnsi="TimesNewRoman" w:eastAsia="方正仿宋_GBK" w:cs="TimesNewRoman"/>
              </w:rPr>
              <w:t>“</w:t>
            </w:r>
            <w:r>
              <w:rPr>
                <w:rFonts w:hint="eastAsia" w:ascii="TimesNewRoman" w:hAnsi="TimesNewRoman" w:eastAsia="方正仿宋_GBK" w:cs="TimesNewRoman"/>
              </w:rPr>
              <w:t>三公经费</w:t>
            </w:r>
            <w:r>
              <w:rPr>
                <w:rFonts w:ascii="TimesNewRoman" w:hAnsi="TimesNewRoman" w:eastAsia="方正仿宋_GBK" w:cs="TimesNewRoman"/>
              </w:rPr>
              <w:t>”</w:t>
            </w:r>
            <w:r>
              <w:rPr>
                <w:rFonts w:hint="eastAsia" w:ascii="TimesNewRoman" w:hAnsi="TimesNewRoman" w:eastAsia="方正仿宋_GBK" w:cs="TimesNewRoman"/>
              </w:rPr>
              <w:t>实际支出</w:t>
            </w:r>
            <w:r>
              <w:rPr>
                <w:rFonts w:ascii="TimesNewRoman" w:hAnsi="TimesNewRoman" w:eastAsia="方正仿宋_GBK" w:cs="TimesNewRoman"/>
              </w:rPr>
              <w:t>/“</w:t>
            </w:r>
            <w:r>
              <w:rPr>
                <w:rFonts w:hint="eastAsia" w:ascii="TimesNewRoman" w:hAnsi="TimesNewRoman" w:eastAsia="方正仿宋_GBK" w:cs="TimesNewRoman"/>
              </w:rPr>
              <w:t>三公经费</w:t>
            </w:r>
            <w:r>
              <w:rPr>
                <w:rFonts w:ascii="TimesNewRoman" w:hAnsi="TimesNewRoman" w:eastAsia="方正仿宋_GBK" w:cs="TimesNewRoman"/>
              </w:rPr>
              <w:t>”</w:t>
            </w:r>
            <w:r>
              <w:rPr>
                <w:rFonts w:hint="eastAsia" w:ascii="TimesNewRoman" w:hAnsi="TimesNewRoman" w:eastAsia="方正仿宋_GBK" w:cs="TimesNewRoman"/>
              </w:rPr>
              <w:t>预算安排数）</w:t>
            </w:r>
            <w:r>
              <w:rPr>
                <w:rFonts w:ascii="TimesNewRoman" w:hAnsi="TimesNewRoman" w:eastAsia="方正仿宋_GBK" w:cs="TimesNewRoman"/>
              </w:rPr>
              <w:t>×100%</w:t>
            </w:r>
          </w:p>
        </w:tc>
        <w:tc>
          <w:tcPr>
            <w:tcW w:w="3780"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目标值为</w:t>
            </w:r>
            <w:r>
              <w:rPr>
                <w:rFonts w:ascii="TimesNewRoman" w:hAnsi="TimesNewRoman" w:eastAsia="方正仿宋_GBK" w:cs="TimesNewRoman"/>
              </w:rPr>
              <w:t>≤100%</w:t>
            </w:r>
            <w:r>
              <w:rPr>
                <w:rFonts w:hint="eastAsia" w:ascii="TimesNewRoman" w:hAnsi="TimesNewRoman" w:eastAsia="方正仿宋_GBK" w:cs="TimesNewRoman"/>
              </w:rPr>
              <w:t>；达到目标值得</w:t>
            </w:r>
            <w:r>
              <w:rPr>
                <w:rFonts w:ascii="TimesNewRoman" w:hAnsi="TimesNewRoman" w:eastAsia="方正仿宋_GBK" w:cs="TimesNewRoman"/>
              </w:rPr>
              <w:t>3</w:t>
            </w:r>
            <w:r>
              <w:rPr>
                <w:rFonts w:hint="eastAsia" w:ascii="TimesNewRoman" w:hAnsi="TimesNewRoman" w:eastAsia="方正仿宋_GBK" w:cs="TimesNewRoman"/>
              </w:rPr>
              <w:t>分，未达到目标值的每增加</w:t>
            </w:r>
            <w:r>
              <w:rPr>
                <w:rFonts w:ascii="TimesNewRoman" w:hAnsi="TimesNewRoman" w:eastAsia="方正仿宋_GBK" w:cs="TimesNewRoman"/>
              </w:rPr>
              <w:t>0.1</w:t>
            </w:r>
            <w:r>
              <w:rPr>
                <w:rFonts w:hint="eastAsia" w:ascii="TimesNewRoman" w:hAnsi="TimesNewRoman" w:eastAsia="方正仿宋_GBK" w:cs="TimesNewRoman"/>
              </w:rPr>
              <w:t>个百分点扣</w:t>
            </w:r>
            <w:r>
              <w:rPr>
                <w:rFonts w:ascii="TimesNewRoman" w:hAnsi="TimesNewRoman" w:eastAsia="方正仿宋_GBK" w:cs="TimesNewRoman"/>
              </w:rPr>
              <w:t>0.1</w:t>
            </w:r>
            <w:r>
              <w:rPr>
                <w:rFonts w:hint="eastAsia" w:ascii="TimesNewRoman" w:hAnsi="TimesNewRoman" w:eastAsia="方正仿宋_GBK" w:cs="TimesNewRoman"/>
              </w:rPr>
              <w:t>分，扣完为止。</w:t>
            </w:r>
          </w:p>
        </w:tc>
        <w:tc>
          <w:tcPr>
            <w:tcW w:w="1090" w:type="dxa"/>
            <w:tcBorders>
              <w:left w:val="single" w:color="auto" w:sz="4" w:space="0"/>
            </w:tcBorders>
            <w:vAlign w:val="center"/>
          </w:tcPr>
          <w:p>
            <w:pPr>
              <w:spacing w:line="240" w:lineRule="exact"/>
              <w:jc w:val="center"/>
              <w:rPr>
                <w:rFonts w:ascii="TimesNewRoman" w:hAnsi="TimesNewRoman" w:eastAsia="Times New Roman" w:cs="TimesNewRoman"/>
                <w:sz w:val="20"/>
              </w:rPr>
            </w:pPr>
            <w:r>
              <w:rPr>
                <w:rFonts w:ascii="TimesNewRoman" w:hAnsi="TimesNewRoman" w:eastAsia="Times New Roman" w:cs="TimesNewRoman"/>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1" w:hRule="atLeast"/>
          <w:jc w:val="center"/>
        </w:trPr>
        <w:tc>
          <w:tcPr>
            <w:tcW w:w="733" w:type="dxa"/>
            <w:vMerge w:val="continue"/>
            <w:vAlign w:val="center"/>
          </w:tcPr>
          <w:p>
            <w:pPr>
              <w:jc w:val="both"/>
              <w:rPr>
                <w:rFonts w:ascii="TimesNewRoman" w:hAnsi="TimesNewRoman" w:eastAsia="方正楷体_GBK" w:cs="TimesNewRoman"/>
              </w:rPr>
            </w:pPr>
          </w:p>
        </w:tc>
        <w:tc>
          <w:tcPr>
            <w:tcW w:w="777" w:type="dxa"/>
            <w:vMerge w:val="continue"/>
            <w:vAlign w:val="center"/>
          </w:tcPr>
          <w:p>
            <w:pPr>
              <w:jc w:val="both"/>
              <w:rPr>
                <w:rFonts w:ascii="TimesNewRoman" w:hAnsi="TimesNewRoman" w:eastAsia="方正仿宋_GBK" w:cs="TimesNewRoman"/>
              </w:rPr>
            </w:pPr>
          </w:p>
        </w:tc>
        <w:tc>
          <w:tcPr>
            <w:tcW w:w="1208" w:type="dxa"/>
            <w:gridSpan w:val="2"/>
            <w:tcBorders>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政府采购执行率（</w:t>
            </w:r>
            <w:r>
              <w:rPr>
                <w:rFonts w:ascii="TimesNewRoman" w:hAnsi="TimesNewRoman" w:eastAsia="方正仿宋_GBK" w:cs="TimesNewRoman"/>
              </w:rPr>
              <w:t>3</w:t>
            </w:r>
            <w:r>
              <w:rPr>
                <w:rFonts w:hint="eastAsia" w:ascii="TimesNewRoman" w:hAnsi="TimesNewRoman" w:eastAsia="方正仿宋_GBK" w:cs="TimesNewRoman"/>
              </w:rPr>
              <w:t>分）</w:t>
            </w:r>
          </w:p>
        </w:tc>
        <w:tc>
          <w:tcPr>
            <w:tcW w:w="6554"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通过对部门本年度实际政府采购金额与年初政府采购预算的比较，反映和评价部门政府采购预算执行情况。</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政府采购执行率</w:t>
            </w:r>
            <w:r>
              <w:rPr>
                <w:rFonts w:ascii="TimesNewRoman" w:hAnsi="TimesNewRoman" w:eastAsia="方正仿宋_GBK" w:cs="TimesNewRoman"/>
              </w:rPr>
              <w:t>=</w:t>
            </w:r>
            <w:r>
              <w:rPr>
                <w:rFonts w:hint="eastAsia" w:ascii="TimesNewRoman" w:hAnsi="TimesNewRoman" w:eastAsia="方正仿宋_GBK" w:cs="TimesNewRoman"/>
              </w:rPr>
              <w:t>（实际政府采购金额</w:t>
            </w:r>
            <w:r>
              <w:rPr>
                <w:rFonts w:ascii="TimesNewRoman" w:hAnsi="TimesNewRoman" w:eastAsia="方正仿宋_GBK" w:cs="TimesNewRoman"/>
              </w:rPr>
              <w:t>/</w:t>
            </w:r>
            <w:r>
              <w:rPr>
                <w:rFonts w:hint="eastAsia" w:ascii="TimesNewRoman" w:hAnsi="TimesNewRoman" w:eastAsia="方正仿宋_GBK" w:cs="TimesNewRoman"/>
              </w:rPr>
              <w:t>政府采购预算</w:t>
            </w:r>
            <w:r>
              <w:rPr>
                <w:rFonts w:ascii="TimesNewRoman" w:hAnsi="TimesNewRoman" w:eastAsia="方正仿宋_GBK" w:cs="TimesNewRoman"/>
              </w:rPr>
              <w:t>×100%</w:t>
            </w:r>
            <w:r>
              <w:rPr>
                <w:rFonts w:hint="eastAsia" w:ascii="TimesNewRoman" w:hAnsi="TimesNewRoman" w:eastAsia="方正仿宋_GBK" w:cs="TimesNewRoman"/>
              </w:rPr>
              <w:t>。</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政府采购预算，是指采购机关根据事业发展计划和行政任务编制的、并经过规定程序批准的年度政府采购计划。</w:t>
            </w:r>
          </w:p>
        </w:tc>
        <w:tc>
          <w:tcPr>
            <w:tcW w:w="3780"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目标值为</w:t>
            </w:r>
            <w:r>
              <w:rPr>
                <w:rFonts w:ascii="TimesNewRoman" w:hAnsi="TimesNewRoman" w:eastAsia="方正仿宋_GBK" w:cs="TimesNewRoman"/>
              </w:rPr>
              <w:t>100%</w:t>
            </w:r>
            <w:r>
              <w:rPr>
                <w:rFonts w:hint="eastAsia" w:ascii="TimesNewRoman" w:hAnsi="TimesNewRoman" w:eastAsia="方正仿宋_GBK" w:cs="TimesNewRoman"/>
              </w:rPr>
              <w:t>；以</w:t>
            </w:r>
            <w:r>
              <w:rPr>
                <w:rFonts w:ascii="TimesNewRoman" w:hAnsi="TimesNewRoman" w:eastAsia="方正仿宋_GBK" w:cs="TimesNewRoman"/>
              </w:rPr>
              <w:t>3</w:t>
            </w:r>
            <w:r>
              <w:rPr>
                <w:rFonts w:hint="eastAsia" w:ascii="TimesNewRoman" w:hAnsi="TimesNewRoman" w:eastAsia="方正仿宋_GBK" w:cs="TimesNewRoman"/>
              </w:rPr>
              <w:t>分为上限，采用完成比率法计分：得分</w:t>
            </w:r>
            <w:r>
              <w:rPr>
                <w:rFonts w:ascii="TimesNewRoman" w:hAnsi="TimesNewRoman" w:eastAsia="方正仿宋_GBK" w:cs="TimesNewRoman"/>
              </w:rPr>
              <w:t>=</w:t>
            </w:r>
            <w:r>
              <w:rPr>
                <w:rFonts w:hint="eastAsia" w:ascii="TimesNewRoman" w:hAnsi="TimesNewRoman" w:eastAsia="方正仿宋_GBK" w:cs="TimesNewRoman"/>
              </w:rPr>
              <w:t>政府采购执行率</w:t>
            </w:r>
            <w:r>
              <w:rPr>
                <w:rFonts w:ascii="TimesNewRoman" w:hAnsi="TimesNewRoman" w:eastAsia="方正仿宋_GBK" w:cs="TimesNewRoman"/>
              </w:rPr>
              <w:t>×3</w:t>
            </w:r>
            <w:r>
              <w:rPr>
                <w:rFonts w:hint="eastAsia" w:ascii="TimesNewRoman" w:hAnsi="TimesNewRoman" w:eastAsia="方正仿宋_GBK" w:cs="TimesNewRoman"/>
              </w:rPr>
              <w:t>。若实际政府采购金额大于政府采购预算数则本项不得分。</w:t>
            </w:r>
          </w:p>
        </w:tc>
        <w:tc>
          <w:tcPr>
            <w:tcW w:w="1090" w:type="dxa"/>
            <w:tcBorders>
              <w:left w:val="single" w:color="auto" w:sz="4" w:space="0"/>
            </w:tcBorders>
            <w:vAlign w:val="center"/>
          </w:tcPr>
          <w:p>
            <w:pPr>
              <w:spacing w:line="240" w:lineRule="exact"/>
              <w:jc w:val="center"/>
              <w:rPr>
                <w:rFonts w:ascii="TimesNewRoman" w:hAnsi="TimesNewRoman" w:eastAsia="Times New Roman" w:cs="TimesNewRoman"/>
              </w:rPr>
            </w:pPr>
            <w:r>
              <w:rPr>
                <w:rFonts w:ascii="TimesNewRoman" w:hAnsi="TimesNewRoman" w:eastAsia="Times New Roman" w:cs="TimesNewRoman"/>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4" w:hRule="atLeast"/>
          <w:jc w:val="center"/>
        </w:trPr>
        <w:tc>
          <w:tcPr>
            <w:tcW w:w="733" w:type="dxa"/>
            <w:vMerge w:val="continue"/>
            <w:vAlign w:val="center"/>
          </w:tcPr>
          <w:p>
            <w:pPr>
              <w:jc w:val="both"/>
              <w:rPr>
                <w:rFonts w:ascii="TimesNewRoman" w:hAnsi="TimesNewRoman" w:eastAsia="方正楷体_GBK" w:cs="TimesNewRoman"/>
              </w:rPr>
            </w:pPr>
          </w:p>
        </w:tc>
        <w:tc>
          <w:tcPr>
            <w:tcW w:w="803" w:type="dxa"/>
            <w:gridSpan w:val="2"/>
            <w:vMerge w:val="restart"/>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预算管理</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w:t>
            </w:r>
            <w:r>
              <w:rPr>
                <w:rFonts w:ascii="TimesNewRoman" w:hAnsi="TimesNewRoman" w:eastAsia="方正仿宋_GBK" w:cs="TimesNewRoman"/>
              </w:rPr>
              <w:t>18</w:t>
            </w:r>
            <w:r>
              <w:rPr>
                <w:rFonts w:hint="eastAsia" w:ascii="TimesNewRoman" w:hAnsi="TimesNewRoman" w:eastAsia="方正仿宋_GBK" w:cs="TimesNewRoman"/>
              </w:rPr>
              <w:t>分）</w:t>
            </w:r>
          </w:p>
        </w:tc>
        <w:tc>
          <w:tcPr>
            <w:tcW w:w="1182" w:type="dxa"/>
            <w:tcBorders>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管理制度健全性</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w:t>
            </w:r>
            <w:r>
              <w:rPr>
                <w:rFonts w:ascii="TimesNewRoman" w:hAnsi="TimesNewRoman" w:eastAsia="方正仿宋_GBK" w:cs="TimesNewRoman"/>
              </w:rPr>
              <w:t>6</w:t>
            </w:r>
            <w:r>
              <w:rPr>
                <w:rFonts w:hint="eastAsia" w:ascii="TimesNewRoman" w:hAnsi="TimesNewRoman" w:eastAsia="方正仿宋_GBK" w:cs="TimesNewRoman"/>
              </w:rPr>
              <w:t>分）</w:t>
            </w:r>
          </w:p>
        </w:tc>
        <w:tc>
          <w:tcPr>
            <w:tcW w:w="6554"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部门为加强预算管理，规范财务行为而制定的管理制度是否健全完整，项目管理是否规范，基础信息是否完整等。评价要点：</w:t>
            </w:r>
          </w:p>
          <w:p>
            <w:pPr>
              <w:spacing w:line="240" w:lineRule="exact"/>
              <w:jc w:val="both"/>
              <w:rPr>
                <w:rFonts w:ascii="TimesNewRoman" w:hAnsi="TimesNewRoman" w:eastAsia="方正仿宋_GBK" w:cs="TimesNewRoman"/>
              </w:rPr>
            </w:pPr>
            <w:r>
              <w:rPr>
                <w:rFonts w:ascii="TimesNewRoman" w:hAnsi="TimesNewRoman" w:eastAsia="方正仿宋_GBK" w:cs="TimesNewRoman"/>
              </w:rPr>
              <w:t>1</w:t>
            </w:r>
            <w:r>
              <w:rPr>
                <w:rFonts w:hint="eastAsia" w:ascii="TimesNewRoman" w:hAnsi="TimesNewRoman" w:eastAsia="方正仿宋_GBK" w:cs="TimesNewRoman"/>
              </w:rPr>
              <w:t>．是否已制定或具有预算资金管理办法、内部财务管理制度、会计核算制度等管理制度；</w:t>
            </w:r>
          </w:p>
          <w:p>
            <w:pPr>
              <w:spacing w:line="240" w:lineRule="exact"/>
              <w:jc w:val="both"/>
              <w:rPr>
                <w:rFonts w:ascii="TimesNewRoman" w:hAnsi="TimesNewRoman" w:eastAsia="方正仿宋_GBK" w:cs="TimesNewRoman"/>
              </w:rPr>
            </w:pPr>
            <w:r>
              <w:rPr>
                <w:rFonts w:ascii="TimesNewRoman" w:hAnsi="TimesNewRoman" w:eastAsia="方正仿宋_GBK" w:cs="TimesNewRoman"/>
              </w:rPr>
              <w:t>2.</w:t>
            </w:r>
            <w:r>
              <w:rPr>
                <w:rFonts w:hint="eastAsia" w:ascii="TimesNewRoman" w:hAnsi="TimesNewRoman" w:eastAsia="方正仿宋_GBK" w:cs="TimesNewRoman"/>
              </w:rPr>
              <w:t>相关管理制度是否合法、合规、完整；</w:t>
            </w:r>
          </w:p>
          <w:p>
            <w:pPr>
              <w:spacing w:line="240" w:lineRule="exact"/>
              <w:jc w:val="both"/>
              <w:rPr>
                <w:rFonts w:ascii="TimesNewRoman" w:hAnsi="TimesNewRoman" w:eastAsia="方正仿宋_GBK" w:cs="TimesNewRoman"/>
              </w:rPr>
            </w:pPr>
            <w:r>
              <w:rPr>
                <w:rFonts w:ascii="TimesNewRoman" w:hAnsi="TimesNewRoman" w:eastAsia="方正仿宋_GBK" w:cs="TimesNewRoman"/>
              </w:rPr>
              <w:t>3.</w:t>
            </w:r>
            <w:r>
              <w:rPr>
                <w:rFonts w:hint="eastAsia" w:ascii="TimesNewRoman" w:hAnsi="TimesNewRoman" w:eastAsia="方正仿宋_GBK" w:cs="TimesNewRoman"/>
              </w:rPr>
              <w:t>相关管理制度是否得到有效执行。</w:t>
            </w:r>
          </w:p>
          <w:p>
            <w:pPr>
              <w:spacing w:line="240" w:lineRule="exact"/>
              <w:jc w:val="both"/>
              <w:rPr>
                <w:rFonts w:ascii="TimesNewRoman" w:hAnsi="TimesNewRoman" w:eastAsia="方正仿宋_GBK" w:cs="TimesNewRoman"/>
              </w:rPr>
            </w:pPr>
            <w:r>
              <w:rPr>
                <w:rFonts w:ascii="TimesNewRoman" w:hAnsi="TimesNewRoman" w:eastAsia="方正仿宋_GBK" w:cs="TimesNewRoman"/>
              </w:rPr>
              <w:t>4</w:t>
            </w:r>
            <w:r>
              <w:rPr>
                <w:rFonts w:hint="eastAsia" w:ascii="TimesNewRoman" w:hAnsi="TimesNewRoman" w:eastAsia="方正仿宋_GBK" w:cs="TimesNewRoman"/>
              </w:rPr>
              <w:t>、基础数据信息和会计信息资料真实、完整、准确；</w:t>
            </w:r>
          </w:p>
          <w:p>
            <w:pPr>
              <w:spacing w:line="240" w:lineRule="exact"/>
              <w:jc w:val="both"/>
              <w:rPr>
                <w:rFonts w:ascii="TimesNewRoman" w:hAnsi="TimesNewRoman" w:eastAsia="方正仿宋_GBK" w:cs="TimesNewRoman"/>
              </w:rPr>
            </w:pPr>
            <w:r>
              <w:rPr>
                <w:rFonts w:ascii="TimesNewRoman" w:hAnsi="TimesNewRoman" w:eastAsia="方正仿宋_GBK" w:cs="TimesNewRoman"/>
              </w:rPr>
              <w:t>5</w:t>
            </w:r>
            <w:r>
              <w:rPr>
                <w:rFonts w:hint="eastAsia" w:ascii="TimesNewRoman" w:hAnsi="TimesNewRoman" w:eastAsia="方正仿宋_GBK" w:cs="TimesNewRoman"/>
              </w:rPr>
              <w:t>、是否制定相关项目管理制度。</w:t>
            </w:r>
          </w:p>
          <w:p>
            <w:pPr>
              <w:spacing w:line="240" w:lineRule="exact"/>
              <w:jc w:val="both"/>
              <w:rPr>
                <w:rFonts w:ascii="TimesNewRoman" w:hAnsi="TimesNewRoman" w:eastAsia="方正仿宋_GBK" w:cs="TimesNewRoman"/>
              </w:rPr>
            </w:pPr>
            <w:r>
              <w:rPr>
                <w:rFonts w:ascii="TimesNewRoman" w:hAnsi="TimesNewRoman" w:eastAsia="方正仿宋_GBK" w:cs="TimesNewRoman"/>
              </w:rPr>
              <w:t>6</w:t>
            </w:r>
            <w:r>
              <w:rPr>
                <w:rFonts w:hint="eastAsia" w:ascii="TimesNewRoman" w:hAnsi="TimesNewRoman" w:eastAsia="方正仿宋_GBK" w:cs="TimesNewRoman"/>
              </w:rPr>
              <w:t>、项目实施是否规范。</w:t>
            </w:r>
          </w:p>
        </w:tc>
        <w:tc>
          <w:tcPr>
            <w:tcW w:w="3780"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全部符合（</w:t>
            </w:r>
            <w:r>
              <w:rPr>
                <w:rFonts w:ascii="TimesNewRoman" w:hAnsi="TimesNewRoman" w:eastAsia="方正仿宋_GBK" w:cs="TimesNewRoman"/>
              </w:rPr>
              <w:t>6</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符合其中一项（</w:t>
            </w:r>
            <w:r>
              <w:rPr>
                <w:rFonts w:ascii="TimesNewRoman" w:hAnsi="TimesNewRoman" w:eastAsia="方正仿宋_GBK" w:cs="TimesNewRoman"/>
              </w:rPr>
              <w:t>1</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p>
        </w:tc>
        <w:tc>
          <w:tcPr>
            <w:tcW w:w="1090" w:type="dxa"/>
            <w:tcBorders>
              <w:left w:val="single" w:color="auto" w:sz="4" w:space="0"/>
            </w:tcBorders>
            <w:vAlign w:val="center"/>
          </w:tcPr>
          <w:p>
            <w:pPr>
              <w:spacing w:line="240" w:lineRule="exact"/>
              <w:jc w:val="center"/>
              <w:rPr>
                <w:rFonts w:ascii="TimesNewRoman" w:hAnsi="TimesNewRoman" w:eastAsia="Times New Roman" w:cs="TimesNewRoman"/>
                <w:sz w:val="20"/>
              </w:rPr>
            </w:pPr>
            <w:r>
              <w:rPr>
                <w:rFonts w:ascii="TimesNewRoman" w:hAnsi="TimesNewRoman" w:eastAsia="Times New Roman" w:cs="TimesNewRoman"/>
                <w:sz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9" w:hRule="atLeast"/>
          <w:jc w:val="center"/>
        </w:trPr>
        <w:tc>
          <w:tcPr>
            <w:tcW w:w="733" w:type="dxa"/>
            <w:vMerge w:val="continue"/>
            <w:vAlign w:val="center"/>
          </w:tcPr>
          <w:p>
            <w:pPr>
              <w:jc w:val="both"/>
              <w:rPr>
                <w:rFonts w:ascii="TimesNewRoman" w:hAnsi="TimesNewRoman" w:eastAsia="方正楷体_GBK" w:cs="TimesNewRoman"/>
              </w:rPr>
            </w:pPr>
          </w:p>
        </w:tc>
        <w:tc>
          <w:tcPr>
            <w:tcW w:w="803" w:type="dxa"/>
            <w:gridSpan w:val="2"/>
            <w:vMerge w:val="continue"/>
            <w:vAlign w:val="center"/>
          </w:tcPr>
          <w:p>
            <w:pPr>
              <w:spacing w:line="68" w:lineRule="atLeast"/>
              <w:jc w:val="both"/>
              <w:rPr>
                <w:rFonts w:ascii="TimesNewRoman" w:hAnsi="TimesNewRoman" w:eastAsia="方正仿宋_GBK" w:cs="TimesNewRoman"/>
              </w:rPr>
            </w:pPr>
          </w:p>
        </w:tc>
        <w:tc>
          <w:tcPr>
            <w:tcW w:w="1182" w:type="dxa"/>
            <w:tcBorders>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资金使用合规性</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w:t>
            </w:r>
            <w:r>
              <w:rPr>
                <w:rFonts w:ascii="TimesNewRoman" w:hAnsi="TimesNewRoman" w:eastAsia="方正仿宋_GBK" w:cs="TimesNewRoman"/>
              </w:rPr>
              <w:t>9</w:t>
            </w:r>
            <w:r>
              <w:rPr>
                <w:rFonts w:hint="eastAsia" w:ascii="TimesNewRoman" w:hAnsi="TimesNewRoman" w:eastAsia="方正仿宋_GBK" w:cs="TimesNewRoman"/>
              </w:rPr>
              <w:t>分）</w:t>
            </w:r>
          </w:p>
        </w:tc>
        <w:tc>
          <w:tcPr>
            <w:tcW w:w="6554"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部门使用预算资金是否符合相关的预算财务管理制度的规定，反映和评价部门预算资金的规范运行情况。</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评价要点：</w:t>
            </w:r>
          </w:p>
          <w:p>
            <w:pPr>
              <w:spacing w:line="240" w:lineRule="exact"/>
              <w:jc w:val="both"/>
              <w:rPr>
                <w:rFonts w:ascii="TimesNewRoman" w:hAnsi="TimesNewRoman" w:eastAsia="方正仿宋_GBK" w:cs="TimesNewRoman"/>
              </w:rPr>
            </w:pPr>
            <w:r>
              <w:rPr>
                <w:rFonts w:ascii="TimesNewRoman" w:hAnsi="TimesNewRoman" w:eastAsia="方正仿宋_GBK" w:cs="TimesNewRoman"/>
              </w:rPr>
              <w:t>1.</w:t>
            </w:r>
            <w:r>
              <w:rPr>
                <w:rFonts w:hint="eastAsia" w:ascii="TimesNewRoman" w:hAnsi="TimesNewRoman" w:eastAsia="方正仿宋_GBK" w:cs="TimesNewRoman"/>
              </w:rPr>
              <w:t>符合国家财经法规和财务管理制度规定以及有关部门资金管理办法的规定；</w:t>
            </w:r>
          </w:p>
          <w:p>
            <w:pPr>
              <w:spacing w:line="240" w:lineRule="exact"/>
              <w:jc w:val="both"/>
              <w:rPr>
                <w:rFonts w:ascii="TimesNewRoman" w:hAnsi="TimesNewRoman" w:eastAsia="方正仿宋_GBK" w:cs="TimesNewRoman"/>
              </w:rPr>
            </w:pPr>
            <w:r>
              <w:rPr>
                <w:rFonts w:ascii="TimesNewRoman" w:hAnsi="TimesNewRoman" w:eastAsia="方正仿宋_GBK" w:cs="TimesNewRoman"/>
              </w:rPr>
              <w:t>2.</w:t>
            </w:r>
            <w:r>
              <w:rPr>
                <w:rFonts w:hint="eastAsia" w:ascii="TimesNewRoman" w:hAnsi="TimesNewRoman" w:eastAsia="方正仿宋_GBK" w:cs="TimesNewRoman"/>
              </w:rPr>
              <w:t>资金的拨付有完整的审批过程和手续；</w:t>
            </w:r>
          </w:p>
          <w:p>
            <w:pPr>
              <w:spacing w:line="240" w:lineRule="exact"/>
              <w:jc w:val="both"/>
              <w:rPr>
                <w:rFonts w:ascii="TimesNewRoman" w:hAnsi="TimesNewRoman" w:eastAsia="方正仿宋_GBK" w:cs="TimesNewRoman"/>
              </w:rPr>
            </w:pPr>
            <w:r>
              <w:rPr>
                <w:rFonts w:ascii="TimesNewRoman" w:hAnsi="TimesNewRoman" w:eastAsia="方正仿宋_GBK" w:cs="TimesNewRoman"/>
              </w:rPr>
              <w:t>3.</w:t>
            </w:r>
            <w:r>
              <w:rPr>
                <w:rFonts w:hint="eastAsia" w:ascii="TimesNewRoman" w:hAnsi="TimesNewRoman" w:eastAsia="方正仿宋_GBK" w:cs="TimesNewRoman"/>
              </w:rPr>
              <w:t>项目的重大开支经过评估论证；</w:t>
            </w:r>
          </w:p>
          <w:p>
            <w:pPr>
              <w:spacing w:line="240" w:lineRule="exact"/>
              <w:jc w:val="both"/>
              <w:rPr>
                <w:rFonts w:ascii="TimesNewRoman" w:hAnsi="TimesNewRoman" w:eastAsia="方正仿宋_GBK" w:cs="TimesNewRoman"/>
              </w:rPr>
            </w:pPr>
            <w:r>
              <w:rPr>
                <w:rFonts w:ascii="TimesNewRoman" w:hAnsi="TimesNewRoman" w:eastAsia="方正仿宋_GBK" w:cs="TimesNewRoman"/>
              </w:rPr>
              <w:t>4.</w:t>
            </w:r>
            <w:r>
              <w:rPr>
                <w:rFonts w:hint="eastAsia" w:ascii="TimesNewRoman" w:hAnsi="TimesNewRoman" w:eastAsia="方正仿宋_GBK" w:cs="TimesNewRoman"/>
              </w:rPr>
              <w:t>符合部门预算批复的用途；</w:t>
            </w:r>
          </w:p>
          <w:p>
            <w:pPr>
              <w:spacing w:line="240" w:lineRule="exact"/>
              <w:jc w:val="both"/>
              <w:rPr>
                <w:rFonts w:ascii="TimesNewRoman" w:hAnsi="TimesNewRoman" w:eastAsia="方正仿宋_GBK" w:cs="TimesNewRoman"/>
              </w:rPr>
            </w:pPr>
            <w:r>
              <w:rPr>
                <w:rFonts w:ascii="TimesNewRoman" w:hAnsi="TimesNewRoman" w:eastAsia="方正仿宋_GBK" w:cs="TimesNewRoman"/>
              </w:rPr>
              <w:t>5.</w:t>
            </w:r>
            <w:r>
              <w:rPr>
                <w:rFonts w:hint="eastAsia" w:ascii="TimesNewRoman" w:hAnsi="TimesNewRoman" w:eastAsia="方正仿宋_GBK" w:cs="TimesNewRoman"/>
              </w:rPr>
              <w:t>不存在截留情况；</w:t>
            </w:r>
            <w:r>
              <w:rPr>
                <w:rFonts w:ascii="TimesNewRoman" w:hAnsi="TimesNewRoman" w:eastAsia="方正仿宋_GBK" w:cs="TimesNewRoman"/>
              </w:rPr>
              <w:t>6.</w:t>
            </w:r>
            <w:r>
              <w:rPr>
                <w:rFonts w:hint="eastAsia" w:ascii="TimesNewRoman" w:hAnsi="TimesNewRoman" w:eastAsia="方正仿宋_GBK" w:cs="TimesNewRoman"/>
              </w:rPr>
              <w:t>不存在挤占情况；</w:t>
            </w:r>
          </w:p>
          <w:p>
            <w:pPr>
              <w:spacing w:line="240" w:lineRule="exact"/>
              <w:jc w:val="both"/>
              <w:rPr>
                <w:rFonts w:ascii="TimesNewRoman" w:hAnsi="TimesNewRoman" w:eastAsia="方正仿宋_GBK" w:cs="TimesNewRoman"/>
              </w:rPr>
            </w:pPr>
            <w:r>
              <w:rPr>
                <w:rFonts w:ascii="TimesNewRoman" w:hAnsi="TimesNewRoman" w:eastAsia="方正仿宋_GBK" w:cs="TimesNewRoman"/>
              </w:rPr>
              <w:t>7.</w:t>
            </w:r>
            <w:r>
              <w:rPr>
                <w:rFonts w:hint="eastAsia" w:ascii="TimesNewRoman" w:hAnsi="TimesNewRoman" w:eastAsia="方正仿宋_GBK" w:cs="TimesNewRoman"/>
              </w:rPr>
              <w:t>不存在挪用情况；</w:t>
            </w:r>
            <w:r>
              <w:rPr>
                <w:rFonts w:ascii="TimesNewRoman" w:hAnsi="TimesNewRoman" w:eastAsia="方正仿宋_GBK" w:cs="TimesNewRoman"/>
              </w:rPr>
              <w:t>8.</w:t>
            </w:r>
            <w:r>
              <w:rPr>
                <w:rFonts w:hint="eastAsia" w:ascii="TimesNewRoman" w:hAnsi="TimesNewRoman" w:eastAsia="方正仿宋_GBK" w:cs="TimesNewRoman"/>
              </w:rPr>
              <w:t>不存在虚列支出情况。</w:t>
            </w:r>
          </w:p>
        </w:tc>
        <w:tc>
          <w:tcPr>
            <w:tcW w:w="3780"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全部符合（</w:t>
            </w:r>
            <w:r>
              <w:rPr>
                <w:rFonts w:ascii="TimesNewRoman" w:hAnsi="TimesNewRoman" w:eastAsia="方正仿宋_GBK" w:cs="TimesNewRoman"/>
              </w:rPr>
              <w:t>9</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符合其中七项（</w:t>
            </w:r>
            <w:r>
              <w:rPr>
                <w:rFonts w:ascii="TimesNewRoman" w:hAnsi="TimesNewRoman" w:eastAsia="方正仿宋_GBK" w:cs="TimesNewRoman"/>
              </w:rPr>
              <w:t>8</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符合其中六项（</w:t>
            </w:r>
            <w:r>
              <w:rPr>
                <w:rFonts w:ascii="TimesNewRoman" w:hAnsi="TimesNewRoman" w:eastAsia="方正仿宋_GBK" w:cs="TimesNewRoman"/>
              </w:rPr>
              <w:t>5</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符合其中五项（</w:t>
            </w:r>
            <w:r>
              <w:rPr>
                <w:rFonts w:ascii="TimesNewRoman" w:hAnsi="TimesNewRoman" w:eastAsia="方正仿宋_GBK" w:cs="TimesNewRoman"/>
              </w:rPr>
              <w:t>3</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符合其中四项及以下（</w:t>
            </w:r>
            <w:r>
              <w:rPr>
                <w:rFonts w:ascii="TimesNewRoman" w:hAnsi="TimesNewRoman" w:eastAsia="方正仿宋_GBK" w:cs="TimesNewRoman"/>
              </w:rPr>
              <w:t>0</w:t>
            </w:r>
            <w:r>
              <w:rPr>
                <w:rFonts w:hint="eastAsia" w:ascii="TimesNewRoman" w:hAnsi="TimesNewRoman" w:eastAsia="方正仿宋_GBK" w:cs="TimesNewRoman"/>
              </w:rPr>
              <w:t>分）。</w:t>
            </w:r>
          </w:p>
        </w:tc>
        <w:tc>
          <w:tcPr>
            <w:tcW w:w="1090" w:type="dxa"/>
            <w:tcBorders>
              <w:left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eastAsia="Times New Roman" w:cs="TimesNewRoman"/>
                <w:sz w:val="20"/>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3" w:hRule="atLeast"/>
          <w:jc w:val="center"/>
        </w:trPr>
        <w:tc>
          <w:tcPr>
            <w:tcW w:w="733" w:type="dxa"/>
            <w:vMerge w:val="continue"/>
            <w:vAlign w:val="center"/>
          </w:tcPr>
          <w:p>
            <w:pPr>
              <w:jc w:val="both"/>
              <w:rPr>
                <w:rFonts w:ascii="TimesNewRoman" w:hAnsi="TimesNewRoman" w:eastAsia="方正楷体_GBK" w:cs="TimesNewRoman"/>
              </w:rPr>
            </w:pPr>
          </w:p>
        </w:tc>
        <w:tc>
          <w:tcPr>
            <w:tcW w:w="803" w:type="dxa"/>
            <w:gridSpan w:val="2"/>
            <w:vMerge w:val="continue"/>
            <w:vAlign w:val="center"/>
          </w:tcPr>
          <w:p>
            <w:pPr>
              <w:jc w:val="both"/>
              <w:rPr>
                <w:rFonts w:ascii="TimesNewRoman" w:hAnsi="TimesNewRoman" w:eastAsia="方正仿宋_GBK" w:cs="TimesNewRoman"/>
              </w:rPr>
            </w:pPr>
          </w:p>
        </w:tc>
        <w:tc>
          <w:tcPr>
            <w:tcW w:w="1182" w:type="dxa"/>
            <w:tcBorders>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预决算信息公开性（</w:t>
            </w:r>
            <w:r>
              <w:rPr>
                <w:rFonts w:ascii="TimesNewRoman" w:hAnsi="TimesNewRoman" w:eastAsia="方正仿宋_GBK" w:cs="TimesNewRoman"/>
              </w:rPr>
              <w:t>3</w:t>
            </w:r>
            <w:r>
              <w:rPr>
                <w:rFonts w:hint="eastAsia" w:ascii="TimesNewRoman" w:hAnsi="TimesNewRoman" w:eastAsia="方正仿宋_GBK" w:cs="TimesNewRoman"/>
              </w:rPr>
              <w:t>分）</w:t>
            </w:r>
          </w:p>
        </w:tc>
        <w:tc>
          <w:tcPr>
            <w:tcW w:w="6554"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部门是否按照政府信息公开有关规定公开相关预决算信息，用以反映和评价部门预决算管理的公开透明情况。</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预决算信息是指与部门预算、执行、决算、监督、绩效等管理相关的信息。</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评价要点：</w:t>
            </w:r>
          </w:p>
          <w:p>
            <w:pPr>
              <w:spacing w:line="240" w:lineRule="exact"/>
              <w:jc w:val="both"/>
              <w:rPr>
                <w:rFonts w:ascii="TimesNewRoman" w:hAnsi="TimesNewRoman" w:eastAsia="方正仿宋_GBK" w:cs="TimesNewRoman"/>
              </w:rPr>
            </w:pPr>
            <w:r>
              <w:rPr>
                <w:rFonts w:ascii="TimesNewRoman" w:hAnsi="TimesNewRoman" w:eastAsia="方正仿宋_GBK" w:cs="TimesNewRoman"/>
              </w:rPr>
              <w:t>1.</w:t>
            </w:r>
            <w:r>
              <w:rPr>
                <w:rFonts w:hint="eastAsia" w:ascii="TimesNewRoman" w:hAnsi="TimesNewRoman" w:eastAsia="方正仿宋_GBK" w:cs="TimesNewRoman"/>
              </w:rPr>
              <w:t>公开预决算信息；</w:t>
            </w:r>
          </w:p>
          <w:p>
            <w:pPr>
              <w:spacing w:line="240" w:lineRule="exact"/>
              <w:jc w:val="both"/>
              <w:rPr>
                <w:rFonts w:ascii="TimesNewRoman" w:hAnsi="TimesNewRoman" w:eastAsia="方正仿宋_GBK" w:cs="TimesNewRoman"/>
              </w:rPr>
            </w:pPr>
            <w:r>
              <w:rPr>
                <w:rFonts w:ascii="TimesNewRoman" w:hAnsi="TimesNewRoman" w:eastAsia="方正仿宋_GBK" w:cs="TimesNewRoman"/>
              </w:rPr>
              <w:t>2.</w:t>
            </w:r>
            <w:r>
              <w:rPr>
                <w:rFonts w:hint="eastAsia" w:ascii="TimesNewRoman" w:hAnsi="TimesNewRoman" w:eastAsia="方正仿宋_GBK" w:cs="TimesNewRoman"/>
              </w:rPr>
              <w:t>按规定内容公开预决算信息；</w:t>
            </w:r>
          </w:p>
          <w:p>
            <w:pPr>
              <w:spacing w:line="68" w:lineRule="atLeast"/>
              <w:jc w:val="both"/>
              <w:rPr>
                <w:rFonts w:ascii="TimesNewRoman" w:hAnsi="TimesNewRoman" w:eastAsia="方正仿宋_GBK" w:cs="TimesNewRoman"/>
              </w:rPr>
            </w:pPr>
            <w:r>
              <w:rPr>
                <w:rFonts w:ascii="TimesNewRoman" w:hAnsi="TimesNewRoman" w:eastAsia="方正仿宋_GBK" w:cs="TimesNewRoman"/>
              </w:rPr>
              <w:t>3.</w:t>
            </w:r>
            <w:r>
              <w:rPr>
                <w:rFonts w:hint="eastAsia" w:ascii="TimesNewRoman" w:hAnsi="TimesNewRoman" w:eastAsia="方正仿宋_GBK" w:cs="TimesNewRoman"/>
              </w:rPr>
              <w:t>按规定时限公开预决算信息。</w:t>
            </w:r>
          </w:p>
        </w:tc>
        <w:tc>
          <w:tcPr>
            <w:tcW w:w="3780"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全部符合（</w:t>
            </w:r>
            <w:r>
              <w:rPr>
                <w:rFonts w:ascii="TimesNewRoman" w:hAnsi="TimesNewRoman" w:eastAsia="方正仿宋_GBK" w:cs="TimesNewRoman"/>
              </w:rPr>
              <w:t>3</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符合其中两项（</w:t>
            </w:r>
            <w:r>
              <w:rPr>
                <w:rFonts w:ascii="TimesNewRoman" w:hAnsi="TimesNewRoman" w:eastAsia="方正仿宋_GBK" w:cs="TimesNewRoman"/>
              </w:rPr>
              <w:t>2</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符合其中一项及以下（</w:t>
            </w:r>
            <w:r>
              <w:rPr>
                <w:rFonts w:ascii="TimesNewRoman" w:hAnsi="TimesNewRoman" w:eastAsia="方正仿宋_GBK" w:cs="TimesNewRoman"/>
              </w:rPr>
              <w:t>0</w:t>
            </w:r>
            <w:r>
              <w:rPr>
                <w:rFonts w:hint="eastAsia" w:ascii="TimesNewRoman" w:hAnsi="TimesNewRoman" w:eastAsia="方正仿宋_GBK" w:cs="TimesNewRoman"/>
              </w:rPr>
              <w:t>分）。</w:t>
            </w:r>
          </w:p>
        </w:tc>
        <w:tc>
          <w:tcPr>
            <w:tcW w:w="1090" w:type="dxa"/>
            <w:tcBorders>
              <w:left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eastAsia="Times New Roman" w:cs="TimesNewRoman"/>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733" w:type="dxa"/>
            <w:vMerge w:val="continue"/>
            <w:vAlign w:val="center"/>
          </w:tcPr>
          <w:p>
            <w:pPr>
              <w:jc w:val="both"/>
              <w:rPr>
                <w:rFonts w:ascii="TimesNewRoman" w:hAnsi="TimesNewRoman" w:eastAsia="方正楷体_GBK" w:cs="TimesNewRoman"/>
              </w:rPr>
            </w:pPr>
          </w:p>
        </w:tc>
        <w:tc>
          <w:tcPr>
            <w:tcW w:w="803" w:type="dxa"/>
            <w:gridSpan w:val="2"/>
            <w:vMerge w:val="restart"/>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资产管理（</w:t>
            </w:r>
            <w:r>
              <w:rPr>
                <w:rFonts w:ascii="TimesNewRoman" w:hAnsi="TimesNewRoman" w:eastAsia="方正仿宋_GBK" w:cs="TimesNewRoman"/>
              </w:rPr>
              <w:t>8</w:t>
            </w:r>
            <w:r>
              <w:rPr>
                <w:rFonts w:hint="eastAsia" w:ascii="TimesNewRoman" w:hAnsi="TimesNewRoman" w:eastAsia="方正仿宋_GBK" w:cs="TimesNewRoman"/>
              </w:rPr>
              <w:t>分）</w:t>
            </w:r>
          </w:p>
        </w:tc>
        <w:tc>
          <w:tcPr>
            <w:tcW w:w="1182" w:type="dxa"/>
            <w:tcBorders>
              <w:top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资产管理完全性</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w:t>
            </w:r>
            <w:r>
              <w:rPr>
                <w:rFonts w:ascii="TimesNewRoman" w:hAnsi="TimesNewRoman" w:eastAsia="方正仿宋_GBK" w:cs="TimesNewRoman"/>
              </w:rPr>
              <w:t>4</w:t>
            </w:r>
            <w:r>
              <w:rPr>
                <w:rFonts w:hint="eastAsia" w:ascii="TimesNewRoman" w:hAnsi="TimesNewRoman" w:eastAsia="方正仿宋_GBK" w:cs="TimesNewRoman"/>
              </w:rPr>
              <w:t>分）</w:t>
            </w:r>
          </w:p>
        </w:tc>
        <w:tc>
          <w:tcPr>
            <w:tcW w:w="6554" w:type="dxa"/>
            <w:tcBorders>
              <w:top w:val="single" w:color="auto" w:sz="4" w:space="0"/>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部门的资产是否保存完整、使用合规、收入及时足额上缴，用以反映和评价部门资产运行情况。</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评价要点：</w:t>
            </w:r>
          </w:p>
          <w:p>
            <w:pPr>
              <w:spacing w:line="240" w:lineRule="exact"/>
              <w:jc w:val="both"/>
              <w:rPr>
                <w:rFonts w:ascii="TimesNewRoman" w:hAnsi="TimesNewRoman" w:eastAsia="方正仿宋_GBK" w:cs="TimesNewRoman"/>
              </w:rPr>
            </w:pPr>
            <w:r>
              <w:rPr>
                <w:rFonts w:ascii="TimesNewRoman" w:hAnsi="TimesNewRoman" w:eastAsia="方正仿宋_GBK" w:cs="TimesNewRoman"/>
              </w:rPr>
              <w:t>1.</w:t>
            </w:r>
            <w:r>
              <w:rPr>
                <w:rFonts w:hint="eastAsia" w:ascii="TimesNewRoman" w:hAnsi="TimesNewRoman" w:eastAsia="方正仿宋_GBK" w:cs="TimesNewRoman"/>
              </w:rPr>
              <w:t>资产保存完整；</w:t>
            </w:r>
          </w:p>
          <w:p>
            <w:pPr>
              <w:spacing w:line="240" w:lineRule="exact"/>
              <w:jc w:val="both"/>
              <w:rPr>
                <w:rFonts w:ascii="TimesNewRoman" w:hAnsi="TimesNewRoman" w:eastAsia="方正仿宋_GBK" w:cs="TimesNewRoman"/>
              </w:rPr>
            </w:pPr>
            <w:r>
              <w:rPr>
                <w:rFonts w:ascii="TimesNewRoman" w:hAnsi="TimesNewRoman" w:eastAsia="方正仿宋_GBK" w:cs="TimesNewRoman"/>
              </w:rPr>
              <w:t>2.</w:t>
            </w:r>
            <w:r>
              <w:rPr>
                <w:rFonts w:hint="eastAsia" w:ascii="TimesNewRoman" w:hAnsi="TimesNewRoman" w:eastAsia="方正仿宋_GBK" w:cs="TimesNewRoman"/>
              </w:rPr>
              <w:t>资产账务管理合规，账实相符；</w:t>
            </w:r>
          </w:p>
          <w:p>
            <w:pPr>
              <w:spacing w:line="240" w:lineRule="exact"/>
              <w:jc w:val="both"/>
              <w:rPr>
                <w:rFonts w:ascii="TimesNewRoman" w:hAnsi="TimesNewRoman" w:eastAsia="方正仿宋_GBK" w:cs="TimesNewRoman"/>
              </w:rPr>
            </w:pPr>
            <w:r>
              <w:rPr>
                <w:rFonts w:ascii="TimesNewRoman" w:hAnsi="TimesNewRoman" w:eastAsia="方正仿宋_GBK" w:cs="TimesNewRoman"/>
              </w:rPr>
              <w:t>3</w:t>
            </w:r>
            <w:r>
              <w:rPr>
                <w:rFonts w:hint="eastAsia" w:ascii="TimesNewRoman" w:hAnsi="TimesNewRoman" w:eastAsia="方正仿宋_GBK" w:cs="TimesNewRoman"/>
              </w:rPr>
              <w:t>、资产配置合理、处置规范；</w:t>
            </w:r>
          </w:p>
          <w:p>
            <w:pPr>
              <w:spacing w:line="68" w:lineRule="atLeast"/>
              <w:jc w:val="both"/>
              <w:rPr>
                <w:rFonts w:ascii="TimesNewRoman" w:hAnsi="TimesNewRoman" w:eastAsia="方正仿宋_GBK" w:cs="TimesNewRoman"/>
              </w:rPr>
            </w:pPr>
            <w:r>
              <w:rPr>
                <w:rFonts w:ascii="TimesNewRoman" w:hAnsi="TimesNewRoman" w:eastAsia="方正仿宋_GBK" w:cs="TimesNewRoman"/>
              </w:rPr>
              <w:t>4.</w:t>
            </w:r>
            <w:r>
              <w:rPr>
                <w:rFonts w:hint="eastAsia" w:ascii="TimesNewRoman" w:hAnsi="TimesNewRoman" w:eastAsia="方正仿宋_GBK" w:cs="TimesNewRoman"/>
              </w:rPr>
              <w:t>资产有偿使用及处置收入及时足额上缴。</w:t>
            </w:r>
          </w:p>
        </w:tc>
        <w:tc>
          <w:tcPr>
            <w:tcW w:w="3780" w:type="dxa"/>
            <w:tcBorders>
              <w:top w:val="single" w:color="auto" w:sz="4" w:space="0"/>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符合全部四项（</w:t>
            </w:r>
            <w:r>
              <w:rPr>
                <w:rFonts w:ascii="TimesNewRoman" w:hAnsi="TimesNewRoman" w:eastAsia="方正仿宋_GBK" w:cs="TimesNewRoman"/>
              </w:rPr>
              <w:t>4</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符合其中三项（</w:t>
            </w:r>
            <w:r>
              <w:rPr>
                <w:rFonts w:ascii="TimesNewRoman" w:hAnsi="TimesNewRoman" w:eastAsia="方正仿宋_GBK" w:cs="TimesNewRoman"/>
              </w:rPr>
              <w:t>3</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符合其中二项（</w:t>
            </w:r>
            <w:r>
              <w:rPr>
                <w:rFonts w:ascii="TimesNewRoman" w:hAnsi="TimesNewRoman" w:eastAsia="方正仿宋_GBK" w:cs="TimesNewRoman"/>
              </w:rPr>
              <w:t>2</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符合其中一项（</w:t>
            </w:r>
            <w:r>
              <w:rPr>
                <w:rFonts w:ascii="TimesNewRoman" w:hAnsi="TimesNewRoman" w:eastAsia="方正仿宋_GBK" w:cs="TimesNewRoman"/>
              </w:rPr>
              <w:t>1</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符合零项（</w:t>
            </w:r>
            <w:r>
              <w:rPr>
                <w:rFonts w:ascii="TimesNewRoman" w:hAnsi="TimesNewRoman" w:eastAsia="方正仿宋_GBK" w:cs="TimesNewRoman"/>
              </w:rPr>
              <w:t>0</w:t>
            </w:r>
            <w:r>
              <w:rPr>
                <w:rFonts w:hint="eastAsia" w:ascii="TimesNewRoman" w:hAnsi="TimesNewRoman" w:eastAsia="方正仿宋_GBK" w:cs="TimesNewRoman"/>
              </w:rPr>
              <w:t>分）。</w:t>
            </w:r>
          </w:p>
        </w:tc>
        <w:tc>
          <w:tcPr>
            <w:tcW w:w="1090" w:type="dxa"/>
            <w:tcBorders>
              <w:top w:val="single" w:color="auto" w:sz="4" w:space="0"/>
              <w:left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eastAsia="Times New Roman" w:cs="TimesNewRoman"/>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733" w:type="dxa"/>
            <w:vMerge w:val="continue"/>
            <w:tcBorders>
              <w:bottom w:val="single" w:color="auto" w:sz="4" w:space="0"/>
            </w:tcBorders>
            <w:vAlign w:val="center"/>
          </w:tcPr>
          <w:p>
            <w:pPr>
              <w:jc w:val="both"/>
              <w:rPr>
                <w:rFonts w:ascii="TimesNewRoman" w:hAnsi="TimesNewRoman" w:eastAsia="方正楷体_GBK" w:cs="TimesNewRoman"/>
              </w:rPr>
            </w:pPr>
          </w:p>
        </w:tc>
        <w:tc>
          <w:tcPr>
            <w:tcW w:w="803" w:type="dxa"/>
            <w:gridSpan w:val="2"/>
            <w:vMerge w:val="continue"/>
            <w:tcBorders>
              <w:bottom w:val="single" w:color="auto" w:sz="4" w:space="0"/>
            </w:tcBorders>
            <w:vAlign w:val="center"/>
          </w:tcPr>
          <w:p>
            <w:pPr>
              <w:jc w:val="both"/>
              <w:rPr>
                <w:rFonts w:ascii="TimesNewRoman" w:hAnsi="TimesNewRoman" w:eastAsia="方正仿宋_GBK" w:cs="TimesNewRoman"/>
              </w:rPr>
            </w:pPr>
          </w:p>
        </w:tc>
        <w:tc>
          <w:tcPr>
            <w:tcW w:w="1182" w:type="dxa"/>
            <w:tcBorders>
              <w:top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固定资产利用率</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w:t>
            </w:r>
            <w:r>
              <w:rPr>
                <w:rFonts w:ascii="TimesNewRoman" w:hAnsi="TimesNewRoman" w:eastAsia="方正仿宋_GBK" w:cs="TimesNewRoman"/>
              </w:rPr>
              <w:t>4</w:t>
            </w:r>
            <w:r>
              <w:rPr>
                <w:rFonts w:hint="eastAsia" w:ascii="TimesNewRoman" w:hAnsi="TimesNewRoman" w:eastAsia="方正仿宋_GBK" w:cs="TimesNewRoman"/>
              </w:rPr>
              <w:t>分）</w:t>
            </w:r>
          </w:p>
        </w:tc>
        <w:tc>
          <w:tcPr>
            <w:tcW w:w="6554"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部门实际在用固定资产总额与所有固定资产总额的比率，用以反映和评价部门固定资产使用效率。</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固定资产利用率</w:t>
            </w:r>
            <w:r>
              <w:rPr>
                <w:rFonts w:ascii="TimesNewRoman" w:hAnsi="TimesNewRoman" w:eastAsia="方正仿宋_GBK" w:cs="TimesNewRoman"/>
              </w:rPr>
              <w:t>=</w:t>
            </w:r>
            <w:r>
              <w:rPr>
                <w:rFonts w:hint="eastAsia" w:ascii="TimesNewRoman" w:hAnsi="TimesNewRoman" w:eastAsia="方正仿宋_GBK" w:cs="TimesNewRoman"/>
              </w:rPr>
              <w:t>（实际在用固定资产总额</w:t>
            </w:r>
            <w:r>
              <w:rPr>
                <w:rFonts w:ascii="TimesNewRoman" w:hAnsi="TimesNewRoman" w:eastAsia="方正仿宋_GBK" w:cs="TimesNewRoman"/>
              </w:rPr>
              <w:t>/</w:t>
            </w:r>
            <w:r>
              <w:rPr>
                <w:rFonts w:hint="eastAsia" w:ascii="TimesNewRoman" w:hAnsi="TimesNewRoman" w:eastAsia="方正仿宋_GBK" w:cs="TimesNewRoman"/>
              </w:rPr>
              <w:t>所有固定资产总额）</w:t>
            </w:r>
            <w:r>
              <w:rPr>
                <w:rFonts w:ascii="TimesNewRoman" w:hAnsi="TimesNewRoman" w:eastAsia="方正仿宋_GBK" w:cs="TimesNewRoman"/>
              </w:rPr>
              <w:t>×100%</w:t>
            </w:r>
            <w:r>
              <w:rPr>
                <w:rFonts w:hint="eastAsia" w:ascii="TimesNewRoman" w:hAnsi="TimesNewRoman" w:eastAsia="方正仿宋_GBK" w:cs="TimesNewRoman"/>
              </w:rPr>
              <w:t>。</w:t>
            </w:r>
          </w:p>
        </w:tc>
        <w:tc>
          <w:tcPr>
            <w:tcW w:w="3780" w:type="dxa"/>
            <w:tcBorders>
              <w:top w:val="single" w:color="auto" w:sz="4" w:space="0"/>
              <w:left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≥90%</w:t>
            </w:r>
            <w:r>
              <w:rPr>
                <w:rFonts w:hint="eastAsia" w:ascii="TimesNewRoman" w:hAnsi="TimesNewRoman" w:eastAsia="方正仿宋_GBK" w:cs="TimesNewRoman"/>
              </w:rPr>
              <w:t>的，得</w:t>
            </w:r>
            <w:r>
              <w:rPr>
                <w:rFonts w:ascii="TimesNewRoman" w:hAnsi="TimesNewRoman" w:eastAsia="方正仿宋_GBK" w:cs="TimesNewRoman"/>
              </w:rPr>
              <w:t>4</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ascii="TimesNewRoman" w:hAnsi="TimesNewRoman" w:eastAsia="方正仿宋_GBK" w:cs="TimesNewRoman"/>
              </w:rPr>
              <w:t>90%</w:t>
            </w:r>
            <w:r>
              <w:rPr>
                <w:rFonts w:hint="eastAsia" w:ascii="TimesNewRoman" w:hAnsi="TimesNewRoman" w:eastAsia="方正仿宋_GBK" w:cs="TimesNewRoman"/>
              </w:rPr>
              <w:t>＞比率</w:t>
            </w:r>
            <w:r>
              <w:rPr>
                <w:rFonts w:ascii="TimesNewRoman" w:hAnsi="TimesNewRoman" w:eastAsia="方正仿宋_GBK" w:cs="TimesNewRoman"/>
              </w:rPr>
              <w:t>≥80%</w:t>
            </w:r>
            <w:r>
              <w:rPr>
                <w:rFonts w:hint="eastAsia" w:ascii="TimesNewRoman" w:hAnsi="TimesNewRoman" w:eastAsia="方正仿宋_GBK" w:cs="TimesNewRoman"/>
              </w:rPr>
              <w:t>，得</w:t>
            </w:r>
            <w:r>
              <w:rPr>
                <w:rFonts w:ascii="TimesNewRoman" w:hAnsi="TimesNewRoman" w:eastAsia="方正仿宋_GBK" w:cs="TimesNewRoman"/>
              </w:rPr>
              <w:t>3</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ascii="TimesNewRoman" w:hAnsi="TimesNewRoman" w:eastAsia="方正仿宋_GBK" w:cs="TimesNewRoman"/>
              </w:rPr>
              <w:t>80%</w:t>
            </w:r>
            <w:r>
              <w:rPr>
                <w:rFonts w:hint="eastAsia" w:ascii="TimesNewRoman" w:hAnsi="TimesNewRoman" w:eastAsia="方正仿宋_GBK" w:cs="TimesNewRoman"/>
              </w:rPr>
              <w:t>＞比率</w:t>
            </w:r>
            <w:r>
              <w:rPr>
                <w:rFonts w:ascii="TimesNewRoman" w:hAnsi="TimesNewRoman" w:eastAsia="方正仿宋_GBK" w:cs="TimesNewRoman"/>
              </w:rPr>
              <w:t>≥70%</w:t>
            </w:r>
            <w:r>
              <w:rPr>
                <w:rFonts w:hint="eastAsia" w:ascii="TimesNewRoman" w:hAnsi="TimesNewRoman" w:eastAsia="方正仿宋_GBK" w:cs="TimesNewRoman"/>
              </w:rPr>
              <w:t>，得</w:t>
            </w:r>
            <w:r>
              <w:rPr>
                <w:rFonts w:ascii="TimesNewRoman" w:hAnsi="TimesNewRoman" w:eastAsia="方正仿宋_GBK" w:cs="TimesNewRoman"/>
              </w:rPr>
              <w:t>2</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ascii="TimesNewRoman" w:hAnsi="TimesNewRoman" w:eastAsia="方正仿宋_GBK" w:cs="TimesNewRoman"/>
              </w:rPr>
              <w:t>70%</w:t>
            </w:r>
            <w:r>
              <w:rPr>
                <w:rFonts w:hint="eastAsia" w:ascii="TimesNewRoman" w:hAnsi="TimesNewRoman" w:eastAsia="方正仿宋_GBK" w:cs="TimesNewRoman"/>
              </w:rPr>
              <w:t>＞比率</w:t>
            </w:r>
            <w:r>
              <w:rPr>
                <w:rFonts w:ascii="TimesNewRoman" w:hAnsi="TimesNewRoman" w:eastAsia="方正仿宋_GBK" w:cs="TimesNewRoman"/>
              </w:rPr>
              <w:t>≥60%</w:t>
            </w:r>
            <w:r>
              <w:rPr>
                <w:rFonts w:hint="eastAsia" w:ascii="TimesNewRoman" w:hAnsi="TimesNewRoman" w:eastAsia="方正仿宋_GBK" w:cs="TimesNewRoman"/>
              </w:rPr>
              <w:t>，得</w:t>
            </w:r>
            <w:r>
              <w:rPr>
                <w:rFonts w:ascii="TimesNewRoman" w:hAnsi="TimesNewRoman" w:eastAsia="方正仿宋_GBK" w:cs="TimesNewRoman"/>
              </w:rPr>
              <w:t>1</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60%</w:t>
            </w:r>
            <w:r>
              <w:rPr>
                <w:rFonts w:hint="eastAsia" w:ascii="TimesNewRoman" w:hAnsi="TimesNewRoman" w:eastAsia="方正仿宋_GBK" w:cs="TimesNewRoman"/>
              </w:rPr>
              <w:t>得</w:t>
            </w:r>
            <w:r>
              <w:rPr>
                <w:rFonts w:ascii="TimesNewRoman" w:hAnsi="TimesNewRoman" w:eastAsia="方正仿宋_GBK" w:cs="TimesNewRoman"/>
              </w:rPr>
              <w:t>0</w:t>
            </w:r>
            <w:r>
              <w:rPr>
                <w:rFonts w:hint="eastAsia" w:ascii="TimesNewRoman" w:hAnsi="TimesNewRoman" w:eastAsia="方正仿宋_GBK" w:cs="TimesNewRoman"/>
              </w:rPr>
              <w:t>分。</w:t>
            </w:r>
          </w:p>
        </w:tc>
        <w:tc>
          <w:tcPr>
            <w:tcW w:w="1090" w:type="dxa"/>
            <w:tcBorders>
              <w:top w:val="single" w:color="auto" w:sz="4" w:space="0"/>
              <w:left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eastAsia="Times New Roman" w:cs="TimesNewRoman"/>
                <w:sz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p>
          <w:p>
            <w:pPr>
              <w:spacing w:line="68" w:lineRule="atLeast"/>
              <w:jc w:val="both"/>
              <w:rPr>
                <w:rFonts w:ascii="TimesNewRoman" w:hAnsi="TimesNewRoman" w:eastAsia="方正楷体_GBK" w:cs="TimesNewRoman"/>
              </w:rPr>
            </w:pPr>
            <w:r>
              <w:rPr>
                <w:rFonts w:hint="eastAsia" w:ascii="TimesNewRoman" w:hAnsi="TimesNewRoman" w:eastAsia="方正楷体_GBK" w:cs="TimesNewRoman"/>
              </w:rPr>
              <w:t>产出</w:t>
            </w:r>
            <w:r>
              <w:rPr>
                <w:rFonts w:ascii="TimesNewRoman" w:hAnsi="TimesNewRoman" w:eastAsia="方正楷体_GBK" w:cs="TimesNewRoman"/>
              </w:rPr>
              <w:t>(25</w:t>
            </w:r>
            <w:r>
              <w:rPr>
                <w:rFonts w:hint="eastAsia" w:ascii="TimesNewRoman" w:hAnsi="TimesNewRoman" w:eastAsia="方正楷体_GBK" w:cs="TimesNewRoman"/>
              </w:rPr>
              <w:t>分</w:t>
            </w:r>
            <w:r>
              <w:rPr>
                <w:rFonts w:ascii="TimesNewRoman" w:hAnsi="TimesNewRoman" w:eastAsia="方正楷体_GBK" w:cs="TimesNewRoman"/>
              </w:rPr>
              <w:t>)</w:t>
            </w:r>
          </w:p>
        </w:tc>
        <w:tc>
          <w:tcPr>
            <w:tcW w:w="80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职责履行（</w:t>
            </w:r>
            <w:r>
              <w:rPr>
                <w:rFonts w:ascii="TimesNewRoman" w:hAnsi="TimesNewRoman" w:eastAsia="方正仿宋_GBK" w:cs="TimesNewRoman"/>
              </w:rPr>
              <w:t>25</w:t>
            </w:r>
            <w:r>
              <w:rPr>
                <w:rFonts w:hint="eastAsia" w:ascii="TimesNewRoman" w:hAnsi="TimesNewRoman" w:eastAsia="方正仿宋_GBK" w:cs="TimesNewRoman"/>
              </w:rPr>
              <w:t>分）</w:t>
            </w:r>
          </w:p>
        </w:tc>
        <w:tc>
          <w:tcPr>
            <w:tcW w:w="1182" w:type="dxa"/>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项目实际完成率（</w:t>
            </w:r>
            <w:r>
              <w:rPr>
                <w:rFonts w:ascii="TimesNewRoman" w:hAnsi="TimesNewRoman" w:eastAsia="方正仿宋_GBK" w:cs="TimesNewRoman"/>
              </w:rPr>
              <w:t>5</w:t>
            </w:r>
            <w:r>
              <w:rPr>
                <w:rFonts w:hint="eastAsia" w:ascii="TimesNewRoman" w:hAnsi="TimesNewRoman" w:eastAsia="方正仿宋_GBK" w:cs="TimesNewRoman"/>
              </w:rPr>
              <w:t>分）</w:t>
            </w:r>
          </w:p>
        </w:tc>
        <w:tc>
          <w:tcPr>
            <w:tcW w:w="6554"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部门履行职责而实际完成的项目数与计划完成的项目数的比率，用以反映和评价部门履职任务目标的实现程度。</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项目实际完成率</w:t>
            </w:r>
            <w:r>
              <w:rPr>
                <w:rFonts w:ascii="TimesNewRoman" w:hAnsi="TimesNewRoman" w:eastAsia="方正仿宋_GBK" w:cs="TimesNewRoman"/>
              </w:rPr>
              <w:t>=</w:t>
            </w:r>
            <w:r>
              <w:rPr>
                <w:rFonts w:hint="eastAsia" w:ascii="TimesNewRoman" w:hAnsi="TimesNewRoman" w:eastAsia="方正仿宋_GBK" w:cs="TimesNewRoman"/>
              </w:rPr>
              <w:t>（实际完成项目数</w:t>
            </w:r>
            <w:r>
              <w:rPr>
                <w:rFonts w:ascii="TimesNewRoman" w:hAnsi="TimesNewRoman" w:eastAsia="方正仿宋_GBK" w:cs="TimesNewRoman"/>
              </w:rPr>
              <w:t>/</w:t>
            </w:r>
            <w:r>
              <w:rPr>
                <w:rFonts w:hint="eastAsia" w:ascii="TimesNewRoman" w:hAnsi="TimesNewRoman" w:eastAsia="方正仿宋_GBK" w:cs="TimesNewRoman"/>
              </w:rPr>
              <w:t>计划完成项目数）</w:t>
            </w:r>
            <w:r>
              <w:rPr>
                <w:rFonts w:ascii="TimesNewRoman" w:hAnsi="TimesNewRoman" w:eastAsia="方正仿宋_GBK" w:cs="TimesNewRoman"/>
              </w:rPr>
              <w:t>×100%</w:t>
            </w:r>
            <w:r>
              <w:rPr>
                <w:rFonts w:hint="eastAsia" w:ascii="TimesNewRoman" w:hAnsi="TimesNewRoman" w:eastAsia="方正仿宋_GBK" w:cs="TimesNewRoman"/>
              </w:rPr>
              <w:t>。</w:t>
            </w:r>
          </w:p>
        </w:tc>
        <w:tc>
          <w:tcPr>
            <w:tcW w:w="3780" w:type="dxa"/>
            <w:tcBorders>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ascii="TimesNewRoman" w:hAnsi="TimesNewRoman" w:eastAsia="方正仿宋_GBK" w:cs="TimesNewRoman"/>
              </w:rPr>
              <w:t>100%</w:t>
            </w:r>
            <w:r>
              <w:rPr>
                <w:rFonts w:hint="eastAsia" w:ascii="TimesNewRoman" w:hAnsi="TimesNewRoman" w:eastAsia="方正仿宋_GBK" w:cs="TimesNewRoman"/>
              </w:rPr>
              <w:t>＞比率</w:t>
            </w:r>
            <w:r>
              <w:rPr>
                <w:rFonts w:ascii="TimesNewRoman" w:hAnsi="TimesNewRoman" w:eastAsia="方正仿宋_GBK" w:cs="TimesNewRoman"/>
              </w:rPr>
              <w:t>≥95%</w:t>
            </w:r>
            <w:r>
              <w:rPr>
                <w:rFonts w:hint="eastAsia" w:ascii="TimesNewRoman" w:hAnsi="TimesNewRoman" w:eastAsia="方正仿宋_GBK" w:cs="TimesNewRoman"/>
              </w:rPr>
              <w:t>，得</w:t>
            </w:r>
            <w:r>
              <w:rPr>
                <w:rFonts w:ascii="TimesNewRoman" w:hAnsi="TimesNewRoman" w:eastAsia="方正仿宋_GBK" w:cs="TimesNewRoman"/>
              </w:rPr>
              <w:t>5</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ascii="TimesNewRoman" w:hAnsi="TimesNewRoman" w:eastAsia="方正仿宋_GBK" w:cs="TimesNewRoman"/>
              </w:rPr>
              <w:t>95%</w:t>
            </w:r>
            <w:r>
              <w:rPr>
                <w:rFonts w:hint="eastAsia" w:ascii="TimesNewRoman" w:hAnsi="TimesNewRoman" w:eastAsia="方正仿宋_GBK" w:cs="TimesNewRoman"/>
              </w:rPr>
              <w:t>＞比率</w:t>
            </w:r>
            <w:r>
              <w:rPr>
                <w:rFonts w:ascii="TimesNewRoman" w:hAnsi="TimesNewRoman" w:eastAsia="方正仿宋_GBK" w:cs="TimesNewRoman"/>
              </w:rPr>
              <w:t>≥90%</w:t>
            </w:r>
            <w:r>
              <w:rPr>
                <w:rFonts w:hint="eastAsia" w:ascii="TimesNewRoman" w:hAnsi="TimesNewRoman" w:eastAsia="方正仿宋_GBK" w:cs="TimesNewRoman"/>
              </w:rPr>
              <w:t>，得</w:t>
            </w:r>
            <w:r>
              <w:rPr>
                <w:rFonts w:ascii="TimesNewRoman" w:hAnsi="TimesNewRoman" w:eastAsia="方正仿宋_GBK" w:cs="TimesNewRoman"/>
              </w:rPr>
              <w:t>4</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ascii="TimesNewRoman" w:hAnsi="TimesNewRoman" w:eastAsia="方正仿宋_GBK" w:cs="TimesNewRoman"/>
              </w:rPr>
              <w:t>90%</w:t>
            </w:r>
            <w:r>
              <w:rPr>
                <w:rFonts w:hint="eastAsia" w:ascii="TimesNewRoman" w:hAnsi="TimesNewRoman" w:eastAsia="方正仿宋_GBK" w:cs="TimesNewRoman"/>
              </w:rPr>
              <w:t>＞比率</w:t>
            </w:r>
            <w:r>
              <w:rPr>
                <w:rFonts w:ascii="TimesNewRoman" w:hAnsi="TimesNewRoman" w:eastAsia="方正仿宋_GBK" w:cs="TimesNewRoman"/>
              </w:rPr>
              <w:t>≥85%</w:t>
            </w:r>
            <w:r>
              <w:rPr>
                <w:rFonts w:hint="eastAsia" w:ascii="TimesNewRoman" w:hAnsi="TimesNewRoman" w:eastAsia="方正仿宋_GBK" w:cs="TimesNewRoman"/>
              </w:rPr>
              <w:t>，得</w:t>
            </w:r>
            <w:r>
              <w:rPr>
                <w:rFonts w:ascii="TimesNewRoman" w:hAnsi="TimesNewRoman" w:eastAsia="方正仿宋_GBK" w:cs="TimesNewRoman"/>
              </w:rPr>
              <w:t>3</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比率＜</w:t>
            </w:r>
            <w:r>
              <w:rPr>
                <w:rFonts w:ascii="TimesNewRoman" w:hAnsi="TimesNewRoman" w:eastAsia="方正仿宋_GBK" w:cs="TimesNewRoman"/>
              </w:rPr>
              <w:t>85%</w:t>
            </w:r>
            <w:r>
              <w:rPr>
                <w:rFonts w:hint="eastAsia" w:ascii="TimesNewRoman" w:hAnsi="TimesNewRoman" w:eastAsia="方正仿宋_GBK" w:cs="TimesNewRoman"/>
              </w:rPr>
              <w:t>得</w:t>
            </w:r>
            <w:r>
              <w:rPr>
                <w:rFonts w:ascii="TimesNewRoman" w:hAnsi="TimesNewRoman" w:eastAsia="方正仿宋_GBK" w:cs="TimesNewRoman"/>
              </w:rPr>
              <w:t>0</w:t>
            </w:r>
            <w:r>
              <w:rPr>
                <w:rFonts w:hint="eastAsia" w:ascii="TimesNewRoman" w:hAnsi="TimesNewRoman" w:eastAsia="方正仿宋_GBK" w:cs="TimesNewRoman"/>
              </w:rPr>
              <w:t>分。</w:t>
            </w:r>
          </w:p>
        </w:tc>
        <w:tc>
          <w:tcPr>
            <w:tcW w:w="1090" w:type="dxa"/>
            <w:tcBorders>
              <w:left w:val="single" w:color="auto" w:sz="4" w:space="0"/>
              <w:bottom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cs="TimesNewRoman"/>
                <w:sz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9"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eastAsia="方正楷体_GBK" w:cs="TimesNewRoman"/>
              </w:rPr>
            </w:pPr>
          </w:p>
        </w:tc>
        <w:tc>
          <w:tcPr>
            <w:tcW w:w="803" w:type="dxa"/>
            <w:gridSpan w:val="2"/>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eastAsia="方正仿宋_GBK" w:cs="TimesNewRoman"/>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项目质量达标率（</w:t>
            </w:r>
            <w:r>
              <w:rPr>
                <w:rFonts w:ascii="TimesNewRoman" w:hAnsi="TimesNewRoman" w:eastAsia="方正仿宋_GBK" w:cs="TimesNewRoman"/>
              </w:rPr>
              <w:t>5</w:t>
            </w:r>
            <w:r>
              <w:rPr>
                <w:rFonts w:hint="eastAsia" w:ascii="TimesNewRoman" w:hAnsi="TimesNewRoman" w:eastAsia="方正仿宋_GBK" w:cs="TimesNewRoman"/>
              </w:rPr>
              <w:t>分）</w:t>
            </w:r>
          </w:p>
        </w:tc>
        <w:tc>
          <w:tcPr>
            <w:tcW w:w="6554"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部门已完成项目中质量达标项目个数占已完成项目个数的比率</w:t>
            </w:r>
            <w:r>
              <w:rPr>
                <w:rFonts w:ascii="TimesNewRoman" w:hAnsi="TimesNewRoman" w:eastAsia="方正仿宋_GBK" w:cs="TimesNewRoman"/>
              </w:rPr>
              <w:t>,</w:t>
            </w:r>
            <w:r>
              <w:rPr>
                <w:rFonts w:hint="eastAsia" w:ascii="TimesNewRoman" w:hAnsi="TimesNewRoman" w:eastAsia="方正仿宋_GBK" w:cs="TimesNewRoman"/>
              </w:rPr>
              <w:t>用以反映和评价部门履职质量目标的实现程度。</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项目质量达标率</w:t>
            </w:r>
            <w:r>
              <w:rPr>
                <w:rFonts w:ascii="TimesNewRoman" w:hAnsi="TimesNewRoman" w:eastAsia="方正仿宋_GBK" w:cs="TimesNewRoman"/>
              </w:rPr>
              <w:t>=</w:t>
            </w:r>
            <w:r>
              <w:rPr>
                <w:rFonts w:hint="eastAsia" w:ascii="TimesNewRoman" w:hAnsi="TimesNewRoman" w:eastAsia="方正仿宋_GBK" w:cs="TimesNewRoman"/>
              </w:rPr>
              <w:t>（已完成项目中质量达标项目个数</w:t>
            </w:r>
            <w:r>
              <w:rPr>
                <w:rFonts w:ascii="TimesNewRoman" w:hAnsi="TimesNewRoman" w:eastAsia="方正仿宋_GBK" w:cs="TimesNewRoman"/>
              </w:rPr>
              <w:t>/</w:t>
            </w:r>
            <w:r>
              <w:rPr>
                <w:rFonts w:hint="eastAsia" w:ascii="TimesNewRoman" w:hAnsi="TimesNewRoman" w:eastAsia="方正仿宋_GBK" w:cs="TimesNewRoman"/>
              </w:rPr>
              <w:t>已完成项目个数）</w:t>
            </w:r>
            <w:r>
              <w:rPr>
                <w:rFonts w:ascii="TimesNewRoman" w:hAnsi="TimesNewRoman" w:eastAsia="方正仿宋_GBK" w:cs="TimesNewRoman"/>
              </w:rPr>
              <w:t>×100%</w:t>
            </w:r>
            <w:r>
              <w:rPr>
                <w:rFonts w:hint="eastAsia" w:ascii="TimesNewRoman" w:hAnsi="TimesNewRoman" w:eastAsia="方正仿宋_GBK" w:cs="TimesNewRoman"/>
              </w:rPr>
              <w:t>。</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项目质量达标是指项目决算验收合格。</w:t>
            </w:r>
          </w:p>
        </w:tc>
        <w:tc>
          <w:tcPr>
            <w:tcW w:w="3780" w:type="dxa"/>
            <w:tcBorders>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目标值</w:t>
            </w:r>
            <w:r>
              <w:rPr>
                <w:rFonts w:ascii="TimesNewRoman" w:hAnsi="TimesNewRoman" w:eastAsia="方正仿宋_GBK" w:cs="TimesNewRoman"/>
              </w:rPr>
              <w:t>100%</w:t>
            </w:r>
            <w:r>
              <w:rPr>
                <w:rFonts w:hint="eastAsia" w:ascii="TimesNewRoman" w:hAnsi="TimesNewRoman" w:eastAsia="方正仿宋_GBK" w:cs="TimesNewRoman"/>
              </w:rPr>
              <w:t>；以</w:t>
            </w:r>
            <w:r>
              <w:rPr>
                <w:rFonts w:ascii="TimesNewRoman" w:hAnsi="TimesNewRoman" w:eastAsia="方正仿宋_GBK" w:cs="TimesNewRoman"/>
              </w:rPr>
              <w:t>5</w:t>
            </w:r>
            <w:r>
              <w:rPr>
                <w:rFonts w:hint="eastAsia" w:ascii="TimesNewRoman" w:hAnsi="TimesNewRoman" w:eastAsia="方正仿宋_GBK" w:cs="TimesNewRoman"/>
              </w:rPr>
              <w:t>分为上限，采用完成比率法计分：得分</w:t>
            </w:r>
            <w:r>
              <w:rPr>
                <w:rFonts w:ascii="TimesNewRoman" w:hAnsi="TimesNewRoman" w:eastAsia="方正仿宋_GBK" w:cs="TimesNewRoman"/>
              </w:rPr>
              <w:t>=</w:t>
            </w:r>
            <w:r>
              <w:rPr>
                <w:rFonts w:hint="eastAsia" w:ascii="TimesNewRoman" w:hAnsi="TimesNewRoman" w:eastAsia="方正仿宋_GBK" w:cs="TimesNewRoman"/>
              </w:rPr>
              <w:t>项目质量达标率</w:t>
            </w:r>
            <w:r>
              <w:rPr>
                <w:rFonts w:ascii="TimesNewRoman" w:hAnsi="TimesNewRoman" w:eastAsia="方正仿宋_GBK" w:cs="TimesNewRoman"/>
              </w:rPr>
              <w:t>×5</w:t>
            </w:r>
            <w:r>
              <w:rPr>
                <w:rFonts w:hint="eastAsia" w:ascii="TimesNewRoman" w:hAnsi="TimesNewRoman" w:eastAsia="方正仿宋_GBK" w:cs="TimesNewRoman"/>
              </w:rPr>
              <w:t>，</w:t>
            </w:r>
            <w:r>
              <w:rPr>
                <w:rFonts w:ascii="TimesNewRoman" w:hAnsi="TimesNewRoman" w:eastAsia="方正仿宋_GBK" w:cs="TimesNewRoman"/>
              </w:rPr>
              <w:t>≤95%</w:t>
            </w:r>
            <w:r>
              <w:rPr>
                <w:rFonts w:hint="eastAsia" w:ascii="TimesNewRoman" w:hAnsi="TimesNewRoman" w:eastAsia="方正仿宋_GBK" w:cs="TimesNewRoman"/>
              </w:rPr>
              <w:t>的扣</w:t>
            </w:r>
            <w:r>
              <w:rPr>
                <w:rFonts w:ascii="TimesNewRoman" w:hAnsi="TimesNewRoman" w:eastAsia="方正仿宋_GBK" w:cs="TimesNewRoman"/>
              </w:rPr>
              <w:t>5</w:t>
            </w:r>
            <w:r>
              <w:rPr>
                <w:rFonts w:hint="eastAsia" w:ascii="TimesNewRoman" w:hAnsi="TimesNewRoman" w:eastAsia="方正仿宋_GBK" w:cs="TimesNewRoman"/>
              </w:rPr>
              <w:t>分。</w:t>
            </w:r>
          </w:p>
        </w:tc>
        <w:tc>
          <w:tcPr>
            <w:tcW w:w="1090" w:type="dxa"/>
            <w:tcBorders>
              <w:left w:val="single" w:color="auto" w:sz="4" w:space="0"/>
              <w:bottom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cs="TimesNewRoman"/>
                <w:sz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eastAsia="方正楷体_GBK" w:cs="TimesNewRoman"/>
              </w:rPr>
            </w:pPr>
          </w:p>
        </w:tc>
        <w:tc>
          <w:tcPr>
            <w:tcW w:w="803" w:type="dxa"/>
            <w:gridSpan w:val="2"/>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eastAsia="方正仿宋_GBK" w:cs="TimesNewRoman"/>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重点工作办结率（</w:t>
            </w:r>
            <w:r>
              <w:rPr>
                <w:rFonts w:ascii="TimesNewRoman" w:hAnsi="TimesNewRoman" w:eastAsia="方正仿宋_GBK" w:cs="TimesNewRoman"/>
              </w:rPr>
              <w:t>5</w:t>
            </w:r>
            <w:r>
              <w:rPr>
                <w:rFonts w:hint="eastAsia" w:ascii="TimesNewRoman" w:hAnsi="TimesNewRoman" w:eastAsia="方正仿宋_GBK" w:cs="TimesNewRoman"/>
              </w:rPr>
              <w:t>分）</w:t>
            </w:r>
          </w:p>
        </w:tc>
        <w:tc>
          <w:tcPr>
            <w:tcW w:w="6554" w:type="dxa"/>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部门年度重点工作实际完成数与交办或下达数的比率，用以反映部门对重点工作的办理落实程度。</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重点工作办结率</w:t>
            </w:r>
            <w:r>
              <w:rPr>
                <w:rFonts w:ascii="TimesNewRoman" w:hAnsi="TimesNewRoman" w:eastAsia="方正仿宋_GBK" w:cs="TimesNewRoman"/>
              </w:rPr>
              <w:t>=</w:t>
            </w:r>
            <w:r>
              <w:rPr>
                <w:rFonts w:hint="eastAsia" w:ascii="TimesNewRoman" w:hAnsi="TimesNewRoman" w:eastAsia="方正仿宋_GBK" w:cs="TimesNewRoman"/>
              </w:rPr>
              <w:t>（重点工作实际完成数</w:t>
            </w:r>
            <w:r>
              <w:rPr>
                <w:rFonts w:ascii="TimesNewRoman" w:hAnsi="TimesNewRoman" w:eastAsia="方正仿宋_GBK" w:cs="TimesNewRoman"/>
              </w:rPr>
              <w:t>/</w:t>
            </w:r>
            <w:r>
              <w:rPr>
                <w:rFonts w:hint="eastAsia" w:ascii="TimesNewRoman" w:hAnsi="TimesNewRoman" w:eastAsia="方正仿宋_GBK" w:cs="TimesNewRoman"/>
              </w:rPr>
              <w:t>交办或下达数）</w:t>
            </w:r>
            <w:r>
              <w:rPr>
                <w:rFonts w:ascii="TimesNewRoman" w:hAnsi="TimesNewRoman" w:eastAsia="方正仿宋_GBK" w:cs="TimesNewRoman"/>
              </w:rPr>
              <w:t>×100%</w:t>
            </w:r>
            <w:r>
              <w:rPr>
                <w:rFonts w:hint="eastAsia" w:ascii="TimesNewRoman" w:hAnsi="TimesNewRoman" w:eastAsia="方正仿宋_GBK" w:cs="TimesNewRoman"/>
              </w:rPr>
              <w:t>。</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重点工作是指党委、政府、人大、相关部门交办或下达的工作任务。</w:t>
            </w:r>
          </w:p>
        </w:tc>
        <w:tc>
          <w:tcPr>
            <w:tcW w:w="3780" w:type="dxa"/>
            <w:tcBorders>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目标值</w:t>
            </w:r>
            <w:r>
              <w:rPr>
                <w:rFonts w:ascii="TimesNewRoman" w:hAnsi="TimesNewRoman" w:eastAsia="方正仿宋_GBK" w:cs="TimesNewRoman"/>
              </w:rPr>
              <w:t>100%</w:t>
            </w:r>
            <w:r>
              <w:rPr>
                <w:rFonts w:hint="eastAsia" w:ascii="TimesNewRoman" w:hAnsi="TimesNewRoman" w:eastAsia="方正仿宋_GBK" w:cs="TimesNewRoman"/>
              </w:rPr>
              <w:t>；以</w:t>
            </w:r>
            <w:r>
              <w:rPr>
                <w:rFonts w:ascii="TimesNewRoman" w:hAnsi="TimesNewRoman" w:eastAsia="方正仿宋_GBK" w:cs="TimesNewRoman"/>
              </w:rPr>
              <w:t>5</w:t>
            </w:r>
            <w:r>
              <w:rPr>
                <w:rFonts w:hint="eastAsia" w:ascii="TimesNewRoman" w:hAnsi="TimesNewRoman" w:eastAsia="方正仿宋_GBK" w:cs="TimesNewRoman"/>
              </w:rPr>
              <w:t>分为上限，采用完成比率法计分：得分</w:t>
            </w:r>
            <w:r>
              <w:rPr>
                <w:rFonts w:ascii="TimesNewRoman" w:hAnsi="TimesNewRoman" w:eastAsia="方正仿宋_GBK" w:cs="TimesNewRoman"/>
              </w:rPr>
              <w:t>=</w:t>
            </w:r>
            <w:r>
              <w:rPr>
                <w:rFonts w:hint="eastAsia" w:ascii="TimesNewRoman" w:hAnsi="TimesNewRoman" w:eastAsia="方正仿宋_GBK" w:cs="TimesNewRoman"/>
              </w:rPr>
              <w:t>重点工作办结率</w:t>
            </w:r>
            <w:r>
              <w:rPr>
                <w:rFonts w:ascii="TimesNewRoman" w:hAnsi="TimesNewRoman" w:eastAsia="方正仿宋_GBK" w:cs="TimesNewRoman"/>
              </w:rPr>
              <w:t>×5</w:t>
            </w:r>
            <w:r>
              <w:rPr>
                <w:rFonts w:hint="eastAsia" w:ascii="TimesNewRoman" w:hAnsi="TimesNewRoman" w:eastAsia="方正仿宋_GBK" w:cs="TimesNewRoman"/>
              </w:rPr>
              <w:t>，</w:t>
            </w:r>
            <w:r>
              <w:rPr>
                <w:rFonts w:ascii="TimesNewRoman" w:hAnsi="TimesNewRoman" w:eastAsia="方正仿宋_GBK" w:cs="TimesNewRoman"/>
              </w:rPr>
              <w:t>≤90%</w:t>
            </w:r>
            <w:r>
              <w:rPr>
                <w:rFonts w:hint="eastAsia" w:ascii="TimesNewRoman" w:hAnsi="TimesNewRoman" w:eastAsia="方正仿宋_GBK" w:cs="TimesNewRoman"/>
              </w:rPr>
              <w:t>的扣</w:t>
            </w:r>
            <w:r>
              <w:rPr>
                <w:rFonts w:ascii="TimesNewRoman" w:hAnsi="TimesNewRoman" w:eastAsia="方正仿宋_GBK" w:cs="TimesNewRoman"/>
              </w:rPr>
              <w:t>5</w:t>
            </w:r>
            <w:r>
              <w:rPr>
                <w:rFonts w:hint="eastAsia" w:ascii="TimesNewRoman" w:hAnsi="TimesNewRoman" w:eastAsia="方正仿宋_GBK" w:cs="TimesNewRoman"/>
              </w:rPr>
              <w:t>分。</w:t>
            </w:r>
          </w:p>
        </w:tc>
        <w:tc>
          <w:tcPr>
            <w:tcW w:w="1090" w:type="dxa"/>
            <w:tcBorders>
              <w:left w:val="single" w:color="auto" w:sz="4" w:space="0"/>
              <w:bottom w:val="single" w:color="auto" w:sz="4" w:space="0"/>
            </w:tcBorders>
            <w:vAlign w:val="center"/>
          </w:tcPr>
          <w:p>
            <w:pPr>
              <w:spacing w:line="68" w:lineRule="atLeast"/>
              <w:jc w:val="center"/>
              <w:rPr>
                <w:rFonts w:ascii="TimesNewRoman" w:hAnsi="TimesNewRoman" w:eastAsia="Times New Roman" w:cs="TimesNewRoman"/>
              </w:rPr>
            </w:pPr>
            <w:r>
              <w:rPr>
                <w:rFonts w:ascii="TimesNewRoman" w:hAnsi="TimesNewRoman" w:cs="TimesNewRoman"/>
                <w:sz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eastAsia="方正楷体_GBK" w:cs="TimesNewRoman"/>
              </w:rPr>
            </w:pPr>
          </w:p>
        </w:tc>
        <w:tc>
          <w:tcPr>
            <w:tcW w:w="803" w:type="dxa"/>
            <w:gridSpan w:val="2"/>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eastAsia="方正仿宋_GBK" w:cs="TimesNewRoman"/>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绩效目标完成率</w:t>
            </w:r>
            <w:r>
              <w:rPr>
                <w:rFonts w:hint="eastAsia" w:ascii="TimesNewRoman" w:hAnsi="TimesNewRoman" w:eastAsia="方正仿宋_GBK" w:cs="TimesNewRoman"/>
                <w:spacing w:val="-20"/>
              </w:rPr>
              <w:t>（</w:t>
            </w:r>
            <w:r>
              <w:rPr>
                <w:rFonts w:ascii="TimesNewRoman" w:hAnsi="TimesNewRoman" w:eastAsia="方正仿宋_GBK" w:cs="TimesNewRoman"/>
                <w:spacing w:val="-20"/>
              </w:rPr>
              <w:t>10</w:t>
            </w:r>
            <w:r>
              <w:rPr>
                <w:rFonts w:hint="eastAsia" w:ascii="TimesNewRoman" w:hAnsi="TimesNewRoman" w:eastAsia="方正仿宋_GBK" w:cs="TimesNewRoman"/>
                <w:spacing w:val="-20"/>
              </w:rPr>
              <w:t>分）</w:t>
            </w:r>
          </w:p>
        </w:tc>
        <w:tc>
          <w:tcPr>
            <w:tcW w:w="6554" w:type="dxa"/>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反映部门（单位）整体绩效目标完成的情况。</w:t>
            </w:r>
          </w:p>
        </w:tc>
        <w:tc>
          <w:tcPr>
            <w:tcW w:w="3780" w:type="dxa"/>
            <w:tcBorders>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本项得分</w:t>
            </w:r>
            <w:r>
              <w:rPr>
                <w:rFonts w:ascii="TimesNewRoman" w:hAnsi="TimesNewRoman" w:eastAsia="方正仿宋_GBK" w:cs="TimesNewRoman"/>
              </w:rPr>
              <w:t>=</w:t>
            </w:r>
            <w:r>
              <w:rPr>
                <w:rFonts w:hint="eastAsia" w:ascii="TimesNewRoman" w:hAnsi="TimesNewRoman" w:eastAsia="方正仿宋_GBK" w:cs="TimesNewRoman"/>
              </w:rPr>
              <w:t>绩效目标完成率</w:t>
            </w:r>
            <w:r>
              <w:rPr>
                <w:rFonts w:ascii="TimesNewRoman" w:hAnsi="TimesNewRoman" w:eastAsia="方正仿宋_GBK" w:cs="TimesNewRoman"/>
              </w:rPr>
              <w:t>×10</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（绩效目标完成率需提出合理依据）。</w:t>
            </w:r>
          </w:p>
        </w:tc>
        <w:tc>
          <w:tcPr>
            <w:tcW w:w="1090" w:type="dxa"/>
            <w:tcBorders>
              <w:left w:val="single" w:color="auto" w:sz="4" w:space="0"/>
              <w:bottom w:val="single" w:color="auto" w:sz="4" w:space="0"/>
            </w:tcBorders>
            <w:vAlign w:val="center"/>
          </w:tcPr>
          <w:p>
            <w:pPr>
              <w:spacing w:line="68" w:lineRule="atLeast"/>
              <w:jc w:val="center"/>
              <w:rPr>
                <w:rFonts w:ascii="TimesNewRoman" w:hAnsi="TimesNewRoman" w:cs="TimesNewRoman"/>
                <w:sz w:val="20"/>
              </w:rPr>
            </w:pPr>
            <w:r>
              <w:rPr>
                <w:rFonts w:ascii="TimesNewRoman" w:hAnsi="TimesNewRoman" w:cs="TimesNewRoman"/>
                <w:sz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5"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楷体_GBK" w:cs="TimesNewRoman"/>
              </w:rPr>
            </w:pPr>
            <w:r>
              <w:rPr>
                <w:rFonts w:hint="eastAsia" w:ascii="TimesNewRoman" w:hAnsi="TimesNewRoman" w:eastAsia="方正楷体_GBK" w:cs="TimesNewRoman"/>
              </w:rPr>
              <w:t>效益（</w:t>
            </w:r>
            <w:r>
              <w:rPr>
                <w:rFonts w:ascii="TimesNewRoman" w:hAnsi="TimesNewRoman" w:eastAsia="方正楷体_GBK" w:cs="TimesNewRoman"/>
              </w:rPr>
              <w:t>15</w:t>
            </w:r>
            <w:r>
              <w:rPr>
                <w:rFonts w:hint="eastAsia" w:ascii="TimesNewRoman" w:hAnsi="TimesNewRoman" w:eastAsia="方正楷体_GBK" w:cs="TimesNewRoman"/>
              </w:rPr>
              <w:t>分）</w:t>
            </w:r>
          </w:p>
        </w:tc>
        <w:tc>
          <w:tcPr>
            <w:tcW w:w="803" w:type="dxa"/>
            <w:gridSpan w:val="2"/>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效果性</w:t>
            </w:r>
            <w:r>
              <w:rPr>
                <w:rFonts w:hint="eastAsia" w:ascii="TimesNewRoman" w:hAnsi="TimesNewRoman" w:eastAsia="方正仿宋_GBK" w:cs="TimesNewRoman"/>
                <w:spacing w:val="-20"/>
              </w:rPr>
              <w:t>（</w:t>
            </w:r>
            <w:r>
              <w:rPr>
                <w:rFonts w:ascii="TimesNewRoman" w:hAnsi="TimesNewRoman" w:eastAsia="方正仿宋_GBK" w:cs="TimesNewRoman"/>
                <w:spacing w:val="-20"/>
              </w:rPr>
              <w:t>5</w:t>
            </w:r>
            <w:r>
              <w:rPr>
                <w:rFonts w:hint="eastAsia" w:ascii="TimesNewRoman" w:hAnsi="TimesNewRoman" w:eastAsia="方正仿宋_GBK" w:cs="TimesNewRoman"/>
                <w:spacing w:val="-20"/>
              </w:rPr>
              <w:t>分）</w:t>
            </w:r>
          </w:p>
        </w:tc>
        <w:tc>
          <w:tcPr>
            <w:tcW w:w="1182" w:type="dxa"/>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bCs/>
                <w:color w:val="000000"/>
              </w:rPr>
              <w:t>社会经济效益</w:t>
            </w:r>
            <w:r>
              <w:rPr>
                <w:rFonts w:hint="eastAsia" w:ascii="TimesNewRoman" w:hAnsi="TimesNewRoman" w:eastAsia="方正仿宋_GBK" w:cs="TimesNewRoman"/>
                <w:bCs/>
              </w:rPr>
              <w:t>（</w:t>
            </w:r>
            <w:r>
              <w:rPr>
                <w:rFonts w:ascii="TimesNewRoman" w:hAnsi="TimesNewRoman" w:eastAsia="方正仿宋_GBK" w:cs="TimesNewRoman"/>
                <w:bCs/>
              </w:rPr>
              <w:t>5</w:t>
            </w:r>
            <w:r>
              <w:rPr>
                <w:rFonts w:hint="eastAsia" w:ascii="TimesNewRoman" w:hAnsi="TimesNewRoman" w:eastAsia="方正仿宋_GBK" w:cs="TimesNewRoman"/>
                <w:bCs/>
              </w:rPr>
              <w:t>分）</w:t>
            </w:r>
          </w:p>
        </w:tc>
        <w:tc>
          <w:tcPr>
            <w:tcW w:w="6554" w:type="dxa"/>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color w:val="000000"/>
              </w:rPr>
              <w:t>反映项目实施直接产出的社会、经济、环境效应，主要通过项目资金使用效果的个性指标完成情况反映。</w:t>
            </w:r>
          </w:p>
        </w:tc>
        <w:tc>
          <w:tcPr>
            <w:tcW w:w="3780" w:type="dxa"/>
            <w:tcBorders>
              <w:left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color w:val="000000"/>
              </w:rPr>
              <w:t>根据项目实际并结合绩效目标设立情况，有选择地设置个性化绩效指标，且通过绩效指标完成情况与目标值对比分析，进行核定得分。</w:t>
            </w:r>
          </w:p>
        </w:tc>
        <w:tc>
          <w:tcPr>
            <w:tcW w:w="1090" w:type="dxa"/>
            <w:tcBorders>
              <w:left w:val="single" w:color="auto" w:sz="4" w:space="0"/>
            </w:tcBorders>
            <w:vAlign w:val="center"/>
          </w:tcPr>
          <w:p>
            <w:pPr>
              <w:spacing w:line="68" w:lineRule="atLeast"/>
              <w:jc w:val="center"/>
              <w:rPr>
                <w:rFonts w:ascii="TimesNewRoman" w:hAnsi="TimesNewRoman" w:cs="TimesNewRoman"/>
                <w:sz w:val="20"/>
              </w:rPr>
            </w:pPr>
            <w:r>
              <w:rPr>
                <w:rFonts w:ascii="TimesNewRoman" w:hAnsi="TimesNewRoman" w:cs="TimesNewRoman"/>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eastAsia="方正楷体_GBK" w:cs="TimesNewRoman"/>
              </w:rPr>
            </w:pPr>
          </w:p>
        </w:tc>
        <w:tc>
          <w:tcPr>
            <w:tcW w:w="80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公平性</w:t>
            </w:r>
          </w:p>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w:t>
            </w:r>
            <w:r>
              <w:rPr>
                <w:rFonts w:ascii="TimesNewRoman" w:hAnsi="TimesNewRoman" w:eastAsia="方正仿宋_GBK" w:cs="TimesNewRoman"/>
              </w:rPr>
              <w:t>10</w:t>
            </w:r>
            <w:r>
              <w:rPr>
                <w:rFonts w:hint="eastAsia" w:ascii="TimesNewRoman" w:hAnsi="TimesNewRoman" w:eastAsia="方正仿宋_GBK" w:cs="TimesNewRoman"/>
              </w:rPr>
              <w:t>分）</w:t>
            </w:r>
          </w:p>
        </w:tc>
        <w:tc>
          <w:tcPr>
            <w:tcW w:w="1182" w:type="dxa"/>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群众信访办理情况（</w:t>
            </w:r>
            <w:r>
              <w:rPr>
                <w:rFonts w:ascii="TimesNewRoman" w:hAnsi="TimesNewRoman" w:eastAsia="方正仿宋_GBK" w:cs="TimesNewRoman"/>
              </w:rPr>
              <w:t>5</w:t>
            </w:r>
            <w:r>
              <w:rPr>
                <w:rFonts w:hint="eastAsia" w:ascii="TimesNewRoman" w:hAnsi="TimesNewRoman" w:eastAsia="方正仿宋_GBK" w:cs="TimesNewRoman"/>
              </w:rPr>
              <w:t>分）</w:t>
            </w:r>
          </w:p>
        </w:tc>
        <w:tc>
          <w:tcPr>
            <w:tcW w:w="6554" w:type="dxa"/>
            <w:tcBorders>
              <w:top w:val="single" w:color="auto" w:sz="4" w:space="0"/>
              <w:left w:val="single" w:color="auto" w:sz="4" w:space="0"/>
              <w:bottom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部门（单位）对群众信访意见的完成情况及及时性，反映部门（单位）对群众意见的重视程度。</w:t>
            </w:r>
          </w:p>
        </w:tc>
        <w:tc>
          <w:tcPr>
            <w:tcW w:w="3780"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设置了便利的群众意见反映渠道和群众意见办理回复机制的，得</w:t>
            </w:r>
            <w:r>
              <w:rPr>
                <w:rFonts w:ascii="TimesNewRoman" w:hAnsi="TimesNewRoman" w:eastAsia="方正仿宋_GBK" w:cs="TimesNewRoman"/>
              </w:rPr>
              <w:t>2</w:t>
            </w:r>
            <w:r>
              <w:rPr>
                <w:rFonts w:hint="eastAsia" w:ascii="TimesNewRoman" w:hAnsi="TimesNewRoman" w:eastAsia="方正仿宋_GBK" w:cs="TimesNewRoman"/>
              </w:rPr>
              <w:t>分；</w:t>
            </w:r>
          </w:p>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当年所有群众信访意见均有回复，且在规定时间内，得</w:t>
            </w:r>
            <w:r>
              <w:rPr>
                <w:rFonts w:ascii="TimesNewRoman" w:hAnsi="TimesNewRoman" w:eastAsia="方正仿宋_GBK" w:cs="TimesNewRoman"/>
              </w:rPr>
              <w:t>3</w:t>
            </w:r>
            <w:r>
              <w:rPr>
                <w:rFonts w:hint="eastAsia" w:ascii="TimesNewRoman" w:hAnsi="TimesNewRoman" w:eastAsia="方正仿宋_GBK" w:cs="TimesNewRoman"/>
              </w:rPr>
              <w:t>分，否则按比例扣分。</w:t>
            </w:r>
          </w:p>
        </w:tc>
        <w:tc>
          <w:tcPr>
            <w:tcW w:w="1090" w:type="dxa"/>
            <w:tcBorders>
              <w:left w:val="single" w:color="auto" w:sz="4" w:space="0"/>
            </w:tcBorders>
            <w:vAlign w:val="center"/>
          </w:tcPr>
          <w:p>
            <w:pPr>
              <w:spacing w:line="68" w:lineRule="atLeast"/>
              <w:jc w:val="center"/>
              <w:rPr>
                <w:rFonts w:ascii="TimesNewRoman" w:hAnsi="TimesNewRoman" w:cs="TimesNewRoman"/>
                <w:sz w:val="20"/>
              </w:rPr>
            </w:pPr>
            <w:r>
              <w:rPr>
                <w:rFonts w:ascii="TimesNewRoman" w:hAnsi="TimesNewRoman" w:cs="TimesNewRoman"/>
                <w:sz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2" w:hRule="atLeast"/>
          <w:jc w:val="center"/>
        </w:trPr>
        <w:tc>
          <w:tcPr>
            <w:tcW w:w="733" w:type="dxa"/>
            <w:vMerge w:val="continue"/>
            <w:tcBorders>
              <w:top w:val="single" w:color="auto" w:sz="4" w:space="0"/>
            </w:tcBorders>
            <w:vAlign w:val="center"/>
          </w:tcPr>
          <w:p>
            <w:pPr>
              <w:jc w:val="both"/>
              <w:rPr>
                <w:rFonts w:ascii="TimesNewRoman" w:hAnsi="TimesNewRoman" w:eastAsia="方正楷体_GBK" w:cs="TimesNewRoman"/>
              </w:rPr>
            </w:pPr>
          </w:p>
        </w:tc>
        <w:tc>
          <w:tcPr>
            <w:tcW w:w="803" w:type="dxa"/>
            <w:gridSpan w:val="2"/>
            <w:vMerge w:val="continue"/>
            <w:tcBorders>
              <w:top w:val="single" w:color="auto" w:sz="4" w:space="0"/>
              <w:bottom w:val="single" w:color="auto" w:sz="4" w:space="0"/>
            </w:tcBorders>
            <w:vAlign w:val="center"/>
          </w:tcPr>
          <w:p>
            <w:pPr>
              <w:spacing w:line="68" w:lineRule="atLeast"/>
              <w:jc w:val="both"/>
              <w:rPr>
                <w:rFonts w:ascii="TimesNewRoman" w:hAnsi="TimesNewRoman" w:eastAsia="方正仿宋_GBK" w:cs="TimesNewRoman"/>
              </w:rPr>
            </w:pPr>
          </w:p>
        </w:tc>
        <w:tc>
          <w:tcPr>
            <w:tcW w:w="1182" w:type="dxa"/>
            <w:tcBorders>
              <w:top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社会公众满意度（</w:t>
            </w:r>
            <w:r>
              <w:rPr>
                <w:rFonts w:ascii="TimesNewRoman" w:hAnsi="TimesNewRoman" w:eastAsia="方正仿宋_GBK" w:cs="TimesNewRoman"/>
              </w:rPr>
              <w:t>5</w:t>
            </w:r>
            <w:r>
              <w:rPr>
                <w:rFonts w:hint="eastAsia" w:ascii="TimesNewRoman" w:hAnsi="TimesNewRoman" w:eastAsia="方正仿宋_GBK" w:cs="TimesNewRoman"/>
              </w:rPr>
              <w:t>分）</w:t>
            </w:r>
          </w:p>
        </w:tc>
        <w:tc>
          <w:tcPr>
            <w:tcW w:w="6554" w:type="dxa"/>
            <w:tcBorders>
              <w:top w:val="single" w:color="auto" w:sz="4" w:space="0"/>
              <w:left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hint="eastAsia" w:ascii="TimesNewRoman" w:hAnsi="TimesNewRoman" w:eastAsia="方正仿宋_GBK" w:cs="TimesNewRoman"/>
              </w:rPr>
              <w:t>通过问卷调查了解社会公众对部门履职效果、解决民众关心的热点问题、厉行节约等方面的满意程度，反映和评价部门支出所带来的社会效益。</w:t>
            </w:r>
          </w:p>
        </w:tc>
        <w:tc>
          <w:tcPr>
            <w:tcW w:w="3780" w:type="dxa"/>
            <w:tcBorders>
              <w:left w:val="single" w:color="auto" w:sz="4" w:space="0"/>
              <w:right w:val="single" w:color="auto" w:sz="4" w:space="0"/>
            </w:tcBorders>
            <w:vAlign w:val="center"/>
          </w:tcPr>
          <w:p>
            <w:pPr>
              <w:spacing w:line="240" w:lineRule="exact"/>
              <w:jc w:val="both"/>
              <w:rPr>
                <w:rFonts w:ascii="TimesNewRoman" w:hAnsi="TimesNewRoman" w:eastAsia="方正仿宋_GBK" w:cs="TimesNewRoman"/>
              </w:rPr>
            </w:pPr>
            <w:r>
              <w:rPr>
                <w:rFonts w:hint="eastAsia" w:ascii="TimesNewRoman" w:hAnsi="TimesNewRoman" w:eastAsia="方正仿宋_GBK" w:cs="TimesNewRoman"/>
              </w:rPr>
              <w:t>按照满意度调查的优秀、良好、合格、不合格给予该项指标打分：优秀（</w:t>
            </w:r>
            <w:r>
              <w:rPr>
                <w:rFonts w:ascii="TimesNewRoman" w:hAnsi="TimesNewRoman" w:eastAsia="方正仿宋_GBK" w:cs="TimesNewRoman"/>
              </w:rPr>
              <w:t>5</w:t>
            </w:r>
            <w:r>
              <w:rPr>
                <w:rFonts w:hint="eastAsia" w:ascii="TimesNewRoman" w:hAnsi="TimesNewRoman" w:eastAsia="方正仿宋_GBK" w:cs="TimesNewRoman"/>
              </w:rPr>
              <w:t>分）；良好（</w:t>
            </w:r>
            <w:r>
              <w:rPr>
                <w:rFonts w:ascii="TimesNewRoman" w:hAnsi="TimesNewRoman" w:eastAsia="方正仿宋_GBK" w:cs="TimesNewRoman"/>
              </w:rPr>
              <w:t>3</w:t>
            </w:r>
            <w:r>
              <w:rPr>
                <w:rFonts w:hint="eastAsia" w:ascii="TimesNewRoman" w:hAnsi="TimesNewRoman" w:eastAsia="方正仿宋_GBK" w:cs="TimesNewRoman"/>
              </w:rPr>
              <w:t>分）；合格（</w:t>
            </w:r>
            <w:r>
              <w:rPr>
                <w:rFonts w:ascii="TimesNewRoman" w:hAnsi="TimesNewRoman" w:eastAsia="方正仿宋_GBK" w:cs="TimesNewRoman"/>
              </w:rPr>
              <w:t>1</w:t>
            </w:r>
            <w:r>
              <w:rPr>
                <w:rFonts w:hint="eastAsia" w:ascii="TimesNewRoman" w:hAnsi="TimesNewRoman" w:eastAsia="方正仿宋_GBK" w:cs="TimesNewRoman"/>
              </w:rPr>
              <w:t>分）；不合格（</w:t>
            </w:r>
            <w:r>
              <w:rPr>
                <w:rFonts w:ascii="TimesNewRoman" w:hAnsi="TimesNewRoman" w:eastAsia="方正仿宋_GBK" w:cs="TimesNewRoman"/>
              </w:rPr>
              <w:t>0</w:t>
            </w:r>
            <w:r>
              <w:rPr>
                <w:rFonts w:hint="eastAsia" w:ascii="TimesNewRoman" w:hAnsi="TimesNewRoman" w:eastAsia="方正仿宋_GBK" w:cs="TimesNewRoman"/>
              </w:rPr>
              <w:t>分）。</w:t>
            </w:r>
          </w:p>
        </w:tc>
        <w:tc>
          <w:tcPr>
            <w:tcW w:w="1090" w:type="dxa"/>
            <w:tcBorders>
              <w:left w:val="single" w:color="auto" w:sz="4" w:space="0"/>
            </w:tcBorders>
            <w:vAlign w:val="center"/>
          </w:tcPr>
          <w:p>
            <w:pPr>
              <w:spacing w:line="68" w:lineRule="atLeast"/>
              <w:jc w:val="center"/>
              <w:rPr>
                <w:rFonts w:ascii="TimesNewRoman" w:hAnsi="TimesNewRoman" w:cs="TimesNewRoman"/>
                <w:sz w:val="20"/>
              </w:rPr>
            </w:pPr>
            <w:r>
              <w:rPr>
                <w:rFonts w:ascii="TimesNewRoman" w:hAnsi="TimesNewRoman" w:cs="TimesNewRoman"/>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733" w:type="dxa"/>
            <w:vAlign w:val="center"/>
          </w:tcPr>
          <w:p>
            <w:pPr>
              <w:jc w:val="both"/>
              <w:rPr>
                <w:rFonts w:ascii="TimesNewRoman" w:hAnsi="TimesNewRoman" w:eastAsia="方正楷体_GBK" w:cs="TimesNewRoman"/>
              </w:rPr>
            </w:pPr>
            <w:r>
              <w:rPr>
                <w:rFonts w:hint="eastAsia" w:ascii="TimesNewRoman" w:hAnsi="TimesNewRoman" w:eastAsia="方正楷体_GBK" w:cs="TimesNewRoman"/>
              </w:rPr>
              <w:t>小计</w:t>
            </w:r>
          </w:p>
        </w:tc>
        <w:tc>
          <w:tcPr>
            <w:tcW w:w="803" w:type="dxa"/>
            <w:gridSpan w:val="2"/>
            <w:tcBorders>
              <w:top w:val="single" w:color="auto" w:sz="4" w:space="0"/>
              <w:bottom w:val="single" w:color="auto" w:sz="4" w:space="0"/>
            </w:tcBorders>
            <w:vAlign w:val="center"/>
          </w:tcPr>
          <w:p>
            <w:pPr>
              <w:spacing w:line="68" w:lineRule="atLeast"/>
              <w:jc w:val="both"/>
              <w:rPr>
                <w:rFonts w:ascii="TimesNewRoman" w:hAnsi="TimesNewRoman" w:eastAsia="方正仿宋_GBK" w:cs="TimesNewRoman"/>
              </w:rPr>
            </w:pPr>
            <w:r>
              <w:rPr>
                <w:rFonts w:ascii="TimesNewRoman" w:hAnsi="TimesNewRoman" w:eastAsia="方正仿宋_GBK" w:cs="TimesNewRoman"/>
              </w:rPr>
              <w:t>100</w:t>
            </w:r>
          </w:p>
        </w:tc>
        <w:tc>
          <w:tcPr>
            <w:tcW w:w="1182" w:type="dxa"/>
            <w:tcBorders>
              <w:right w:val="single" w:color="auto" w:sz="4" w:space="0"/>
            </w:tcBorders>
            <w:vAlign w:val="center"/>
          </w:tcPr>
          <w:p>
            <w:pPr>
              <w:spacing w:line="68" w:lineRule="atLeast"/>
              <w:jc w:val="both"/>
              <w:rPr>
                <w:rFonts w:ascii="TimesNewRoman" w:hAnsi="TimesNewRoman" w:eastAsia="方正仿宋_GBK" w:cs="TimesNewRoman"/>
              </w:rPr>
            </w:pPr>
          </w:p>
        </w:tc>
        <w:tc>
          <w:tcPr>
            <w:tcW w:w="6554" w:type="dxa"/>
            <w:tcBorders>
              <w:left w:val="single" w:color="auto" w:sz="4" w:space="0"/>
              <w:right w:val="single" w:color="auto" w:sz="4" w:space="0"/>
            </w:tcBorders>
            <w:vAlign w:val="center"/>
          </w:tcPr>
          <w:p>
            <w:pPr>
              <w:spacing w:line="68" w:lineRule="atLeast"/>
              <w:jc w:val="both"/>
              <w:rPr>
                <w:rFonts w:ascii="TimesNewRoman" w:hAnsi="TimesNewRoman" w:eastAsia="方正仿宋_GBK" w:cs="TimesNewRoman"/>
              </w:rPr>
            </w:pPr>
          </w:p>
        </w:tc>
        <w:tc>
          <w:tcPr>
            <w:tcW w:w="3780" w:type="dxa"/>
            <w:tcBorders>
              <w:left w:val="single" w:color="auto" w:sz="4" w:space="0"/>
              <w:right w:val="single" w:color="auto" w:sz="4" w:space="0"/>
            </w:tcBorders>
            <w:vAlign w:val="center"/>
          </w:tcPr>
          <w:p>
            <w:pPr>
              <w:spacing w:line="68" w:lineRule="atLeast"/>
              <w:jc w:val="both"/>
              <w:rPr>
                <w:rFonts w:ascii="TimesNewRoman" w:hAnsi="TimesNewRoman" w:eastAsia="方正仿宋_GBK" w:cs="TimesNewRoman"/>
              </w:rPr>
            </w:pPr>
          </w:p>
        </w:tc>
        <w:tc>
          <w:tcPr>
            <w:tcW w:w="1090" w:type="dxa"/>
            <w:tcBorders>
              <w:left w:val="single" w:color="auto" w:sz="4" w:space="0"/>
            </w:tcBorders>
            <w:vAlign w:val="center"/>
          </w:tcPr>
          <w:p>
            <w:pPr>
              <w:spacing w:line="68" w:lineRule="atLeast"/>
              <w:jc w:val="center"/>
              <w:rPr>
                <w:rFonts w:ascii="TimesNewRoman" w:hAnsi="TimesNewRoman" w:cs="TimesNewRoman"/>
                <w:sz w:val="20"/>
              </w:rPr>
            </w:pPr>
            <w:r>
              <w:rPr>
                <w:rFonts w:ascii="TimesNewRoman" w:hAnsi="TimesNewRoman" w:cs="TimesNewRoman"/>
                <w:sz w:val="20"/>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jc w:val="center"/>
        </w:trPr>
        <w:tc>
          <w:tcPr>
            <w:tcW w:w="733" w:type="dxa"/>
            <w:vAlign w:val="center"/>
          </w:tcPr>
          <w:p>
            <w:pPr>
              <w:jc w:val="both"/>
              <w:rPr>
                <w:rFonts w:ascii="TimesNewRoman" w:hAnsi="TimesNewRoman" w:eastAsia="方正楷体_GBK" w:cs="TimesNewRoman"/>
              </w:rPr>
            </w:pPr>
            <w:r>
              <w:rPr>
                <w:rFonts w:hint="eastAsia" w:ascii="TimesNewRoman" w:hAnsi="TimesNewRoman" w:eastAsia="方正楷体_GBK" w:cs="TimesNewRoman"/>
              </w:rPr>
              <w:t>评价结果</w:t>
            </w:r>
          </w:p>
        </w:tc>
        <w:tc>
          <w:tcPr>
            <w:tcW w:w="803" w:type="dxa"/>
            <w:gridSpan w:val="2"/>
            <w:tcBorders>
              <w:top w:val="single" w:color="auto" w:sz="4" w:space="0"/>
              <w:bottom w:val="single" w:color="auto" w:sz="4" w:space="0"/>
            </w:tcBorders>
            <w:vAlign w:val="center"/>
          </w:tcPr>
          <w:p>
            <w:pPr>
              <w:spacing w:line="68" w:lineRule="atLeast"/>
              <w:jc w:val="both"/>
              <w:rPr>
                <w:rFonts w:ascii="TimesNewRoman" w:hAnsi="TimesNewRoman" w:eastAsia="方正仿宋_GBK" w:cs="TimesNewRoman"/>
              </w:rPr>
            </w:pPr>
          </w:p>
        </w:tc>
        <w:tc>
          <w:tcPr>
            <w:tcW w:w="1182" w:type="dxa"/>
            <w:tcBorders>
              <w:right w:val="single" w:color="auto" w:sz="4" w:space="0"/>
            </w:tcBorders>
            <w:vAlign w:val="center"/>
          </w:tcPr>
          <w:p>
            <w:pPr>
              <w:spacing w:line="68" w:lineRule="atLeast"/>
              <w:jc w:val="both"/>
              <w:rPr>
                <w:rFonts w:ascii="TimesNewRoman" w:hAnsi="TimesNewRoman" w:eastAsia="方正仿宋_GBK" w:cs="TimesNewRoman"/>
              </w:rPr>
            </w:pPr>
          </w:p>
        </w:tc>
        <w:tc>
          <w:tcPr>
            <w:tcW w:w="10334" w:type="dxa"/>
            <w:gridSpan w:val="2"/>
            <w:tcBorders>
              <w:left w:val="single" w:color="auto" w:sz="4" w:space="0"/>
              <w:right w:val="single" w:color="auto" w:sz="4" w:space="0"/>
            </w:tcBorders>
            <w:vAlign w:val="center"/>
          </w:tcPr>
          <w:p>
            <w:pPr>
              <w:spacing w:line="68" w:lineRule="atLeast"/>
              <w:jc w:val="both"/>
              <w:rPr>
                <w:rFonts w:ascii="TimesNewRoman" w:hAnsi="TimesNewRoman" w:eastAsia="方正仿宋_GBK" w:cs="TimesNewRoman"/>
              </w:rPr>
            </w:pPr>
            <w:r>
              <w:rPr>
                <w:rFonts w:ascii="TimesNewRoman" w:hAnsi="TimesNewRoman" w:eastAsia="方正仿宋_GBK" w:cs="TimesNewRoman"/>
              </w:rPr>
              <w:t>□</w:t>
            </w:r>
            <w:r>
              <w:rPr>
                <w:rFonts w:hint="eastAsia" w:ascii="TimesNewRoman" w:hAnsi="TimesNewRoman" w:eastAsia="方正仿宋_GBK" w:cs="TimesNewRoman"/>
              </w:rPr>
              <w:t>优秀</w:t>
            </w:r>
            <w:r>
              <w:rPr>
                <w:rFonts w:ascii="TimesNewRoman" w:hAnsi="TimesNewRoman" w:eastAsia="方正仿宋_GBK" w:cs="TimesNewRoman"/>
              </w:rPr>
              <w:t xml:space="preserve">  90</w:t>
            </w:r>
            <w:r>
              <w:rPr>
                <w:rFonts w:hint="eastAsia" w:ascii="TimesNewRoman" w:hAnsi="TimesNewRoman" w:eastAsia="方正仿宋_GBK" w:cs="TimesNewRoman"/>
              </w:rPr>
              <w:t>分</w:t>
            </w:r>
            <w:r>
              <w:rPr>
                <w:rFonts w:ascii="TimesNewRoman" w:hAnsi="TimesNewRoman" w:eastAsia="方正仿宋_GBK" w:cs="TimesNewRoman"/>
              </w:rPr>
              <w:t>≤</w:t>
            </w:r>
            <w:r>
              <w:rPr>
                <w:rFonts w:hint="eastAsia" w:ascii="TimesNewRoman" w:hAnsi="TimesNewRoman" w:eastAsia="方正仿宋_GBK" w:cs="TimesNewRoman"/>
              </w:rPr>
              <w:t>得分</w:t>
            </w:r>
            <w:r>
              <w:rPr>
                <w:rFonts w:ascii="TimesNewRoman" w:hAnsi="TimesNewRoman" w:eastAsia="方正仿宋_GBK" w:cs="TimesNewRoman"/>
              </w:rPr>
              <w:t>≤100</w:t>
            </w:r>
            <w:r>
              <w:rPr>
                <w:rFonts w:hint="eastAsia" w:ascii="TimesNewRoman" w:hAnsi="TimesNewRoman" w:eastAsia="方正仿宋_GBK" w:cs="TimesNewRoman"/>
              </w:rPr>
              <w:t>分；</w:t>
            </w:r>
            <w:r>
              <w:rPr>
                <w:rFonts w:ascii="TimesNewRoman" w:hAnsi="TimesNewRoman" w:eastAsia="方正仿宋_GBK" w:cs="TimesNewRoman"/>
              </w:rPr>
              <w:t xml:space="preserve"> □</w:t>
            </w:r>
            <w:r>
              <w:rPr>
                <w:rFonts w:hint="eastAsia" w:ascii="TimesNewRoman" w:hAnsi="TimesNewRoman" w:eastAsia="方正仿宋_GBK" w:cs="TimesNewRoman"/>
              </w:rPr>
              <w:t>良好</w:t>
            </w:r>
            <w:r>
              <w:rPr>
                <w:rFonts w:ascii="TimesNewRoman" w:hAnsi="TimesNewRoman" w:eastAsia="方正仿宋_GBK" w:cs="TimesNewRoman"/>
              </w:rPr>
              <w:t xml:space="preserve">  80</w:t>
            </w:r>
            <w:r>
              <w:rPr>
                <w:rFonts w:hint="eastAsia" w:ascii="TimesNewRoman" w:hAnsi="TimesNewRoman" w:eastAsia="方正仿宋_GBK" w:cs="TimesNewRoman"/>
              </w:rPr>
              <w:t>分</w:t>
            </w:r>
            <w:r>
              <w:rPr>
                <w:rFonts w:ascii="TimesNewRoman" w:hAnsi="TimesNewRoman" w:eastAsia="方正仿宋_GBK" w:cs="TimesNewRoman"/>
              </w:rPr>
              <w:t>≤</w:t>
            </w:r>
            <w:r>
              <w:rPr>
                <w:rFonts w:hint="eastAsia" w:ascii="TimesNewRoman" w:hAnsi="TimesNewRoman" w:eastAsia="方正仿宋_GBK" w:cs="TimesNewRoman"/>
              </w:rPr>
              <w:t>得分</w:t>
            </w:r>
            <w:r>
              <w:rPr>
                <w:rFonts w:ascii="TimesNewRoman" w:hAnsi="TimesNewRoman" w:eastAsia="方正仿宋_GBK" w:cs="TimesNewRoman"/>
              </w:rPr>
              <w:t>≤89</w:t>
            </w:r>
            <w:r>
              <w:rPr>
                <w:rFonts w:hint="eastAsia" w:ascii="TimesNewRoman" w:hAnsi="TimesNewRoman" w:eastAsia="方正仿宋_GBK" w:cs="TimesNewRoman"/>
              </w:rPr>
              <w:t>分；</w:t>
            </w:r>
          </w:p>
          <w:p>
            <w:pPr>
              <w:spacing w:line="68" w:lineRule="atLeast"/>
              <w:jc w:val="both"/>
              <w:rPr>
                <w:rFonts w:ascii="TimesNewRoman" w:hAnsi="TimesNewRoman" w:eastAsia="方正仿宋_GBK" w:cs="TimesNewRoman"/>
              </w:rPr>
            </w:pPr>
            <w:r>
              <w:rPr>
                <w:rFonts w:ascii="TimesNewRoman" w:hAnsi="TimesNewRoman" w:eastAsia="方正仿宋_GBK" w:cs="TimesNewRoman"/>
              </w:rPr>
              <w:t xml:space="preserve">  □</w:t>
            </w:r>
            <w:r>
              <w:rPr>
                <w:rFonts w:hint="eastAsia" w:ascii="TimesNewRoman" w:hAnsi="TimesNewRoman" w:eastAsia="方正仿宋_GBK" w:cs="TimesNewRoman"/>
              </w:rPr>
              <w:t>中</w:t>
            </w:r>
            <w:r>
              <w:rPr>
                <w:rFonts w:ascii="TimesNewRoman" w:hAnsi="TimesNewRoman" w:eastAsia="方正仿宋_GBK" w:cs="TimesNewRoman"/>
              </w:rPr>
              <w:t xml:space="preserve">  60</w:t>
            </w:r>
            <w:r>
              <w:rPr>
                <w:rFonts w:hint="eastAsia" w:ascii="TimesNewRoman" w:hAnsi="TimesNewRoman" w:eastAsia="方正仿宋_GBK" w:cs="TimesNewRoman"/>
              </w:rPr>
              <w:t>分</w:t>
            </w:r>
            <w:r>
              <w:rPr>
                <w:rFonts w:ascii="TimesNewRoman" w:hAnsi="TimesNewRoman" w:eastAsia="方正仿宋_GBK" w:cs="TimesNewRoman"/>
              </w:rPr>
              <w:t>≤</w:t>
            </w:r>
            <w:r>
              <w:rPr>
                <w:rFonts w:hint="eastAsia" w:ascii="TimesNewRoman" w:hAnsi="TimesNewRoman" w:eastAsia="方正仿宋_GBK" w:cs="TimesNewRoman"/>
              </w:rPr>
              <w:t>得分</w:t>
            </w:r>
            <w:r>
              <w:rPr>
                <w:rFonts w:ascii="TimesNewRoman" w:hAnsi="TimesNewRoman" w:eastAsia="方正仿宋_GBK" w:cs="TimesNewRoman"/>
              </w:rPr>
              <w:t>≤79</w:t>
            </w:r>
            <w:r>
              <w:rPr>
                <w:rFonts w:hint="eastAsia" w:ascii="TimesNewRoman" w:hAnsi="TimesNewRoman" w:eastAsia="方正仿宋_GBK" w:cs="TimesNewRoman"/>
              </w:rPr>
              <w:t>分；</w:t>
            </w:r>
            <w:r>
              <w:rPr>
                <w:rFonts w:ascii="TimesNewRoman" w:hAnsi="TimesNewRoman" w:eastAsia="方正仿宋_GBK" w:cs="TimesNewRoman"/>
              </w:rPr>
              <w:t xml:space="preserve">  □</w:t>
            </w:r>
            <w:r>
              <w:rPr>
                <w:rFonts w:hint="eastAsia" w:ascii="TimesNewRoman" w:hAnsi="TimesNewRoman" w:eastAsia="方正仿宋_GBK" w:cs="TimesNewRoman"/>
              </w:rPr>
              <w:t>较差</w:t>
            </w:r>
            <w:r>
              <w:rPr>
                <w:rFonts w:ascii="TimesNewRoman" w:hAnsi="TimesNewRoman" w:eastAsia="方正仿宋_GBK" w:cs="TimesNewRoman"/>
              </w:rPr>
              <w:t xml:space="preserve">  0≤</w:t>
            </w:r>
            <w:r>
              <w:rPr>
                <w:rFonts w:hint="eastAsia" w:ascii="TimesNewRoman" w:hAnsi="TimesNewRoman" w:eastAsia="方正仿宋_GBK" w:cs="TimesNewRoman"/>
              </w:rPr>
              <w:t>得分</w:t>
            </w:r>
            <w:r>
              <w:rPr>
                <w:rFonts w:ascii="TimesNewRoman" w:hAnsi="TimesNewRoman" w:eastAsia="方正仿宋_GBK" w:cs="TimesNewRoman"/>
              </w:rPr>
              <w:t>≤59</w:t>
            </w:r>
            <w:r>
              <w:rPr>
                <w:rFonts w:hint="eastAsia" w:ascii="TimesNewRoman" w:hAnsi="TimesNewRoman" w:eastAsia="方正仿宋_GBK" w:cs="TimesNewRoman"/>
              </w:rPr>
              <w:t>分。</w:t>
            </w:r>
          </w:p>
        </w:tc>
        <w:tc>
          <w:tcPr>
            <w:tcW w:w="1090" w:type="dxa"/>
            <w:tcBorders>
              <w:left w:val="single" w:color="auto" w:sz="4" w:space="0"/>
            </w:tcBorders>
            <w:vAlign w:val="center"/>
          </w:tcPr>
          <w:p>
            <w:pPr>
              <w:spacing w:line="68" w:lineRule="atLeast"/>
              <w:jc w:val="center"/>
              <w:rPr>
                <w:rFonts w:ascii="TimesNewRoman" w:hAnsi="TimesNewRoman" w:cs="TimesNewRoman"/>
                <w:sz w:val="20"/>
              </w:rPr>
            </w:pPr>
          </w:p>
        </w:tc>
      </w:tr>
    </w:tbl>
    <w:p>
      <w:pPr>
        <w:spacing w:line="594" w:lineRule="exact"/>
        <w:ind w:firstLine="640" w:firstLineChars="200"/>
        <w:jc w:val="both"/>
        <w:rPr>
          <w:rFonts w:ascii="TimesNewRoman" w:hAnsi="TimesNewRoman" w:eastAsia="方正仿宋_GBK" w:cs="TimesNewRoman"/>
          <w:sz w:val="32"/>
          <w:szCs w:val="32"/>
        </w:rPr>
        <w:sectPr>
          <w:pgSz w:w="16840" w:h="11907" w:orient="landscape"/>
          <w:pgMar w:top="1985" w:right="1446" w:bottom="1644" w:left="1446" w:header="851" w:footer="992" w:gutter="0"/>
          <w:pgNumType w:fmt="numberInDash"/>
          <w:cols w:space="720" w:num="1"/>
          <w:docGrid w:type="linesAndChars" w:linePitch="326" w:charSpace="0"/>
        </w:sectPr>
      </w:pP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2</w:t>
      </w:r>
      <w:r>
        <w:rPr>
          <w:rFonts w:hint="eastAsia" w:ascii="TimesNewRoman" w:hAnsi="TimesNewRoman" w:eastAsia="方正仿宋_GBK" w:cs="TimesNewRoman"/>
          <w:sz w:val="32"/>
          <w:szCs w:val="32"/>
        </w:rPr>
        <w:t>）绩效自评表</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法律援助项目绩效目标自评综述：根据年初设定的绩效目标，项目总体完成情况：民事案件补贴</w:t>
      </w:r>
      <w:r>
        <w:rPr>
          <w:rFonts w:ascii="TimesNewRoman" w:hAnsi="TimesNewRoman" w:eastAsia="方正仿宋_GBK" w:cs="TimesNewRoman"/>
          <w:sz w:val="32"/>
          <w:szCs w:val="32"/>
        </w:rPr>
        <w:t>35</w:t>
      </w:r>
      <w:r>
        <w:rPr>
          <w:rFonts w:hint="eastAsia" w:ascii="TimesNewRoman" w:hAnsi="TimesNewRoman" w:eastAsia="方正仿宋_GBK" w:cs="TimesNewRoman"/>
          <w:sz w:val="32"/>
          <w:szCs w:val="32"/>
        </w:rPr>
        <w:t>件。项目全年预算数为</w:t>
      </w:r>
      <w:r>
        <w:rPr>
          <w:rFonts w:ascii="TimesNewRoman" w:hAnsi="TimesNewRoman" w:eastAsia="方正仿宋_GBK" w:cs="TimesNewRoman"/>
          <w:sz w:val="32"/>
          <w:szCs w:val="32"/>
        </w:rPr>
        <w:t>6</w:t>
      </w:r>
      <w:r>
        <w:rPr>
          <w:rFonts w:hint="eastAsia" w:ascii="TimesNewRoman" w:hAnsi="TimesNewRoman" w:eastAsia="方正仿宋_GBK" w:cs="TimesNewRoman"/>
          <w:sz w:val="32"/>
          <w:szCs w:val="32"/>
        </w:rPr>
        <w:t>万元，执行数为</w:t>
      </w:r>
      <w:r>
        <w:rPr>
          <w:rFonts w:ascii="TimesNewRoman" w:hAnsi="TimesNewRoman" w:eastAsia="方正仿宋_GBK" w:cs="TimesNewRoman"/>
          <w:sz w:val="32"/>
          <w:szCs w:val="32"/>
        </w:rPr>
        <w:t>6</w:t>
      </w:r>
      <w:r>
        <w:rPr>
          <w:rFonts w:hint="eastAsia" w:ascii="TimesNewRoman" w:hAnsi="TimesNewRoman" w:eastAsia="方正仿宋_GBK" w:cs="TimesNewRoman"/>
          <w:sz w:val="32"/>
          <w:szCs w:val="32"/>
        </w:rPr>
        <w:t>万元，完成预算的</w:t>
      </w:r>
      <w:r>
        <w:rPr>
          <w:rFonts w:ascii="TimesNewRoman" w:hAnsi="TimesNewRoman" w:eastAsia="方正仿宋_GBK" w:cs="TimesNewRoman"/>
          <w:sz w:val="32"/>
          <w:szCs w:val="32"/>
        </w:rPr>
        <w:t>100%</w:t>
      </w:r>
      <w:r>
        <w:rPr>
          <w:rFonts w:hint="eastAsia" w:ascii="TimesNewRoman" w:hAnsi="TimesNewRoman" w:eastAsia="方正仿宋_GBK" w:cs="TimesNewRoman"/>
          <w:sz w:val="32"/>
          <w:szCs w:val="32"/>
        </w:rPr>
        <w:t>。主要产出和效果：一是数量指标；二是成本指标；三是质量指标；四是时效指标；五是社会效益；六是可持续影响。发现的问题及原因工作开展力度不够，加大对法律援助的审批。下一步改进措施认真思考，全面改进工作方法，加大工作力度。</w:t>
      </w:r>
    </w:p>
    <w:tbl>
      <w:tblPr>
        <w:tblStyle w:val="5"/>
        <w:tblW w:w="9153" w:type="dxa"/>
        <w:tblInd w:w="93" w:type="dxa"/>
        <w:tblLayout w:type="autofit"/>
        <w:tblCellMar>
          <w:top w:w="0" w:type="dxa"/>
          <w:left w:w="108" w:type="dxa"/>
          <w:bottom w:w="0" w:type="dxa"/>
          <w:right w:w="108" w:type="dxa"/>
        </w:tblCellMar>
      </w:tblPr>
      <w:tblGrid>
        <w:gridCol w:w="977"/>
        <w:gridCol w:w="595"/>
        <w:gridCol w:w="680"/>
        <w:gridCol w:w="596"/>
        <w:gridCol w:w="914"/>
        <w:gridCol w:w="416"/>
        <w:gridCol w:w="499"/>
        <w:gridCol w:w="490"/>
        <w:gridCol w:w="616"/>
        <w:gridCol w:w="751"/>
        <w:gridCol w:w="783"/>
        <w:gridCol w:w="933"/>
        <w:gridCol w:w="903"/>
      </w:tblGrid>
      <w:tr>
        <w:tblPrEx>
          <w:tblCellMar>
            <w:top w:w="0" w:type="dxa"/>
            <w:left w:w="108" w:type="dxa"/>
            <w:bottom w:w="0" w:type="dxa"/>
            <w:right w:w="108" w:type="dxa"/>
          </w:tblCellMar>
        </w:tblPrEx>
        <w:trPr>
          <w:trHeight w:val="537" w:hRule="atLeast"/>
        </w:trPr>
        <w:tc>
          <w:tcPr>
            <w:tcW w:w="9153" w:type="dxa"/>
            <w:gridSpan w:val="13"/>
            <w:shd w:val="clear" w:color="auto" w:fill="FFFFFF"/>
            <w:vAlign w:val="center"/>
          </w:tcPr>
          <w:p>
            <w:pPr>
              <w:jc w:val="center"/>
              <w:rPr>
                <w:rFonts w:ascii="TimesNewRoman" w:hAnsi="TimesNewRoman" w:eastAsia="方正小标宋_GBK" w:cs="TimesNewRoman"/>
                <w:color w:val="000000"/>
                <w:sz w:val="44"/>
                <w:szCs w:val="44"/>
              </w:rPr>
            </w:pPr>
          </w:p>
          <w:p>
            <w:pPr>
              <w:jc w:val="center"/>
              <w:rPr>
                <w:rFonts w:ascii="TimesNewRoman" w:hAnsi="TimesNewRoman" w:eastAsia="方正小标宋_GBK" w:cs="TimesNewRoman"/>
                <w:color w:val="000000"/>
                <w:sz w:val="44"/>
                <w:szCs w:val="44"/>
              </w:rPr>
            </w:pPr>
            <w:r>
              <w:rPr>
                <w:rFonts w:ascii="TimesNewRoman" w:hAnsi="TimesNewRoman" w:eastAsia="方正小标宋_GBK" w:cs="TimesNewRoman"/>
                <w:color w:val="000000"/>
                <w:sz w:val="44"/>
                <w:szCs w:val="44"/>
              </w:rPr>
              <w:t>2021</w:t>
            </w:r>
            <w:r>
              <w:rPr>
                <w:rFonts w:hint="eastAsia" w:ascii="TimesNewRoman" w:hAnsi="TimesNewRoman" w:eastAsia="方正小标宋_GBK" w:cs="TimesNewRoman"/>
                <w:color w:val="000000"/>
                <w:sz w:val="44"/>
                <w:szCs w:val="44"/>
              </w:rPr>
              <w:t>年预算项目绩效目标自评表</w:t>
            </w:r>
          </w:p>
        </w:tc>
      </w:tr>
      <w:tr>
        <w:tblPrEx>
          <w:tblCellMar>
            <w:top w:w="0" w:type="dxa"/>
            <w:left w:w="108" w:type="dxa"/>
            <w:bottom w:w="0" w:type="dxa"/>
            <w:right w:w="108" w:type="dxa"/>
          </w:tblCellMar>
        </w:tblPrEx>
        <w:trPr>
          <w:trHeight w:val="368" w:hRule="atLeast"/>
        </w:trPr>
        <w:tc>
          <w:tcPr>
            <w:tcW w:w="998" w:type="dxa"/>
            <w:tcBorders>
              <w:top w:val="single" w:color="auto" w:sz="4" w:space="0"/>
              <w:left w:val="single" w:color="auto" w:sz="4" w:space="0"/>
              <w:bottom w:val="single" w:color="auto" w:sz="4" w:space="0"/>
              <w:right w:val="single" w:color="auto" w:sz="4" w:space="0"/>
            </w:tcBorders>
            <w:vAlign w:val="center"/>
          </w:tcPr>
          <w:p>
            <w:pPr>
              <w:ind w:firstLine="100" w:firstLineChars="50"/>
              <w:jc w:val="both"/>
              <w:rPr>
                <w:rFonts w:ascii="TimesNewRoman" w:hAnsi="TimesNewRoman" w:cs="TimesNewRoman"/>
                <w:color w:val="000000"/>
                <w:sz w:val="20"/>
                <w:szCs w:val="20"/>
              </w:rPr>
            </w:pPr>
            <w:r>
              <w:rPr>
                <w:rFonts w:hint="eastAsia" w:ascii="TimesNewRoman" w:hAnsi="TimesNewRoman" w:cs="TimesNewRoman"/>
                <w:color w:val="000000"/>
                <w:sz w:val="20"/>
                <w:szCs w:val="20"/>
              </w:rPr>
              <w:t>填报</w:t>
            </w:r>
          </w:p>
          <w:p>
            <w:pPr>
              <w:ind w:firstLine="100" w:firstLineChars="50"/>
              <w:jc w:val="both"/>
              <w:rPr>
                <w:rFonts w:ascii="TimesNewRoman" w:hAnsi="TimesNewRoman" w:cs="TimesNewRoman"/>
                <w:color w:val="000000"/>
                <w:sz w:val="20"/>
                <w:szCs w:val="20"/>
              </w:rPr>
            </w:pPr>
            <w:r>
              <w:rPr>
                <w:rFonts w:hint="eastAsia" w:ascii="TimesNewRoman" w:hAnsi="TimesNewRoman" w:cs="TimesNewRoman"/>
                <w:color w:val="000000"/>
                <w:sz w:val="20"/>
                <w:szCs w:val="20"/>
              </w:rPr>
              <w:t>单位：</w:t>
            </w:r>
          </w:p>
        </w:tc>
        <w:tc>
          <w:tcPr>
            <w:tcW w:w="8154" w:type="dxa"/>
            <w:gridSpan w:val="12"/>
            <w:tcBorders>
              <w:top w:val="single" w:color="auto" w:sz="4" w:space="0"/>
              <w:left w:val="nil"/>
              <w:bottom w:val="single" w:color="auto" w:sz="4" w:space="0"/>
              <w:right w:val="single" w:color="000000"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垫江县司法局</w:t>
            </w:r>
          </w:p>
        </w:tc>
      </w:tr>
      <w:tr>
        <w:tblPrEx>
          <w:tblCellMar>
            <w:top w:w="0" w:type="dxa"/>
            <w:left w:w="108" w:type="dxa"/>
            <w:bottom w:w="0" w:type="dxa"/>
            <w:right w:w="108" w:type="dxa"/>
          </w:tblCellMar>
        </w:tblPrEx>
        <w:trPr>
          <w:trHeight w:val="572" w:hRule="atLeast"/>
        </w:trPr>
        <w:tc>
          <w:tcPr>
            <w:tcW w:w="998" w:type="dxa"/>
            <w:tcBorders>
              <w:top w:val="nil"/>
              <w:left w:val="single" w:color="auto" w:sz="4" w:space="0"/>
              <w:bottom w:val="single" w:color="auto" w:sz="4" w:space="0"/>
              <w:right w:val="single" w:color="auto" w:sz="4" w:space="0"/>
            </w:tcBorders>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项目</w:t>
            </w:r>
          </w:p>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名称</w:t>
            </w:r>
          </w:p>
        </w:tc>
        <w:tc>
          <w:tcPr>
            <w:tcW w:w="4823" w:type="dxa"/>
            <w:gridSpan w:val="8"/>
            <w:tcBorders>
              <w:top w:val="single" w:color="auto" w:sz="4" w:space="0"/>
              <w:left w:val="nil"/>
              <w:bottom w:val="single" w:color="auto" w:sz="4" w:space="0"/>
              <w:right w:val="nil"/>
            </w:tcBorders>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法律援助</w:t>
            </w:r>
          </w:p>
        </w:tc>
        <w:tc>
          <w:tcPr>
            <w:tcW w:w="751" w:type="dxa"/>
            <w:tcBorders>
              <w:top w:val="nil"/>
              <w:left w:val="single" w:color="auto" w:sz="4" w:space="0"/>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自评总分（分</w:t>
            </w:r>
            <w:r>
              <w:rPr>
                <w:rFonts w:ascii="TimesNewRoman" w:hAnsi="TimesNewRoman" w:cs="TimesNewRoman"/>
                <w:color w:val="000000"/>
                <w:sz w:val="20"/>
                <w:szCs w:val="20"/>
              </w:rPr>
              <w:t>)</w:t>
            </w:r>
          </w:p>
        </w:tc>
        <w:tc>
          <w:tcPr>
            <w:tcW w:w="2580" w:type="dxa"/>
            <w:gridSpan w:val="3"/>
            <w:tcBorders>
              <w:top w:val="single" w:color="auto" w:sz="4" w:space="0"/>
              <w:left w:val="nil"/>
              <w:bottom w:val="single" w:color="auto" w:sz="4" w:space="0"/>
              <w:right w:val="single" w:color="000000" w:sz="4" w:space="0"/>
            </w:tcBorders>
            <w:vAlign w:val="center"/>
          </w:tcPr>
          <w:p>
            <w:pPr>
              <w:jc w:val="center"/>
              <w:rPr>
                <w:rFonts w:ascii="TimesNewRoman" w:hAnsi="TimesNewRoman" w:cs="TimesNewRoman"/>
                <w:color w:val="000000"/>
                <w:sz w:val="20"/>
                <w:szCs w:val="20"/>
              </w:rPr>
            </w:pPr>
            <w:r>
              <w:rPr>
                <w:rFonts w:ascii="TimesNewRoman" w:hAnsi="TimesNewRoman" w:cs="TimesNewRoman"/>
                <w:color w:val="000000"/>
                <w:sz w:val="20"/>
                <w:szCs w:val="20"/>
              </w:rPr>
              <w:t>82.2</w:t>
            </w:r>
          </w:p>
        </w:tc>
      </w:tr>
      <w:tr>
        <w:tblPrEx>
          <w:tblCellMar>
            <w:top w:w="0" w:type="dxa"/>
            <w:left w:w="108" w:type="dxa"/>
            <w:bottom w:w="0" w:type="dxa"/>
            <w:right w:w="108" w:type="dxa"/>
          </w:tblCellMar>
        </w:tblPrEx>
        <w:trPr>
          <w:trHeight w:val="596" w:hRule="atLeast"/>
        </w:trPr>
        <w:tc>
          <w:tcPr>
            <w:tcW w:w="998" w:type="dxa"/>
            <w:tcBorders>
              <w:top w:val="nil"/>
              <w:left w:val="single" w:color="auto" w:sz="4" w:space="0"/>
              <w:bottom w:val="single" w:color="auto" w:sz="4" w:space="0"/>
              <w:right w:val="single" w:color="auto" w:sz="4" w:space="0"/>
            </w:tcBorders>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业务主管部门</w:t>
            </w:r>
          </w:p>
        </w:tc>
        <w:tc>
          <w:tcPr>
            <w:tcW w:w="4823" w:type="dxa"/>
            <w:gridSpan w:val="8"/>
            <w:tcBorders>
              <w:top w:val="single" w:color="auto" w:sz="4" w:space="0"/>
              <w:left w:val="nil"/>
              <w:bottom w:val="single" w:color="auto" w:sz="4" w:space="0"/>
              <w:right w:val="nil"/>
            </w:tcBorders>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司法局</w:t>
            </w:r>
          </w:p>
        </w:tc>
        <w:tc>
          <w:tcPr>
            <w:tcW w:w="751" w:type="dxa"/>
            <w:tcBorders>
              <w:top w:val="nil"/>
              <w:left w:val="single" w:color="auto" w:sz="4" w:space="0"/>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联系人及电话</w:t>
            </w:r>
          </w:p>
        </w:tc>
        <w:tc>
          <w:tcPr>
            <w:tcW w:w="2580" w:type="dxa"/>
            <w:gridSpan w:val="3"/>
            <w:tcBorders>
              <w:top w:val="single" w:color="auto" w:sz="4" w:space="0"/>
              <w:left w:val="nil"/>
              <w:bottom w:val="single" w:color="auto" w:sz="4" w:space="0"/>
              <w:right w:val="single" w:color="000000" w:sz="4" w:space="0"/>
            </w:tcBorders>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杨卫东</w:t>
            </w:r>
            <w:r>
              <w:rPr>
                <w:rFonts w:ascii="TimesNewRoman" w:hAnsi="TimesNewRoman" w:cs="TimesNewRoman"/>
                <w:color w:val="000000"/>
                <w:sz w:val="20"/>
                <w:szCs w:val="20"/>
              </w:rPr>
              <w:t>023-74667108</w:t>
            </w:r>
          </w:p>
        </w:tc>
      </w:tr>
      <w:tr>
        <w:tblPrEx>
          <w:tblCellMar>
            <w:top w:w="0" w:type="dxa"/>
            <w:left w:w="108" w:type="dxa"/>
            <w:bottom w:w="0" w:type="dxa"/>
            <w:right w:w="108" w:type="dxa"/>
          </w:tblCellMar>
        </w:tblPrEx>
        <w:trPr>
          <w:trHeight w:val="736" w:hRule="atLeast"/>
        </w:trPr>
        <w:tc>
          <w:tcPr>
            <w:tcW w:w="998" w:type="dxa"/>
            <w:tcBorders>
              <w:top w:val="nil"/>
              <w:left w:val="single" w:color="auto" w:sz="4" w:space="0"/>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　</w:t>
            </w:r>
          </w:p>
        </w:tc>
        <w:tc>
          <w:tcPr>
            <w:tcW w:w="4823" w:type="dxa"/>
            <w:gridSpan w:val="8"/>
            <w:tcBorders>
              <w:top w:val="single" w:color="auto" w:sz="4" w:space="0"/>
              <w:left w:val="nil"/>
              <w:bottom w:val="single" w:color="auto" w:sz="4" w:space="0"/>
              <w:right w:val="single" w:color="000000" w:sz="4" w:space="0"/>
            </w:tcBorders>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全年资金总额</w:t>
            </w:r>
          </w:p>
        </w:tc>
        <w:tc>
          <w:tcPr>
            <w:tcW w:w="3331" w:type="dxa"/>
            <w:gridSpan w:val="4"/>
            <w:tcBorders>
              <w:top w:val="single" w:color="auto" w:sz="4" w:space="0"/>
              <w:left w:val="nil"/>
              <w:bottom w:val="single" w:color="auto" w:sz="4" w:space="0"/>
              <w:right w:val="single" w:color="000000" w:sz="4" w:space="0"/>
            </w:tcBorders>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预算执行情况</w:t>
            </w:r>
          </w:p>
        </w:tc>
      </w:tr>
      <w:tr>
        <w:tblPrEx>
          <w:tblCellMar>
            <w:top w:w="0" w:type="dxa"/>
            <w:left w:w="108" w:type="dxa"/>
            <w:bottom w:w="0" w:type="dxa"/>
            <w:right w:w="108" w:type="dxa"/>
          </w:tblCellMar>
        </w:tblPrEx>
        <w:trPr>
          <w:trHeight w:val="940" w:hRule="atLeast"/>
        </w:trPr>
        <w:tc>
          <w:tcPr>
            <w:tcW w:w="998" w:type="dxa"/>
            <w:vMerge w:val="restart"/>
            <w:tcBorders>
              <w:top w:val="nil"/>
              <w:left w:val="single" w:color="auto" w:sz="4" w:space="0"/>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项目资金（万元）</w:t>
            </w:r>
          </w:p>
        </w:tc>
        <w:tc>
          <w:tcPr>
            <w:tcW w:w="595" w:type="dxa"/>
            <w:vMerge w:val="restart"/>
            <w:tcBorders>
              <w:top w:val="single" w:color="auto" w:sz="4" w:space="0"/>
              <w:left w:val="single" w:color="auto" w:sz="4" w:space="0"/>
              <w:bottom w:val="single" w:color="auto" w:sz="4" w:space="0"/>
              <w:right w:val="single" w:color="auto" w:sz="4" w:space="0"/>
            </w:tcBorders>
            <w:noWrap/>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合计</w:t>
            </w:r>
          </w:p>
        </w:tc>
        <w:tc>
          <w:tcPr>
            <w:tcW w:w="2232" w:type="dxa"/>
            <w:gridSpan w:val="3"/>
            <w:tcBorders>
              <w:top w:val="single" w:color="auto" w:sz="4" w:space="0"/>
              <w:left w:val="nil"/>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上年结转数</w:t>
            </w:r>
          </w:p>
        </w:tc>
        <w:tc>
          <w:tcPr>
            <w:tcW w:w="1391" w:type="dxa"/>
            <w:gridSpan w:val="3"/>
            <w:tcBorders>
              <w:top w:val="single" w:color="auto" w:sz="4" w:space="0"/>
              <w:left w:val="nil"/>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年初预算数</w:t>
            </w:r>
          </w:p>
        </w:tc>
        <w:tc>
          <w:tcPr>
            <w:tcW w:w="606" w:type="dxa"/>
            <w:tcBorders>
              <w:top w:val="single" w:color="auto" w:sz="4" w:space="0"/>
              <w:left w:val="nil"/>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预算追加、追减</w:t>
            </w:r>
            <w:r>
              <w:rPr>
                <w:rFonts w:ascii="TimesNewRoman" w:hAnsi="TimesNewRoman" w:cs="TimesNewRoman"/>
                <w:color w:val="000000"/>
                <w:sz w:val="20"/>
                <w:szCs w:val="20"/>
              </w:rPr>
              <w:t>(</w:t>
            </w:r>
            <w:r>
              <w:rPr>
                <w:rFonts w:hint="eastAsia" w:ascii="TimesNewRoman" w:hAnsi="TimesNewRoman" w:cs="TimesNewRoman"/>
                <w:color w:val="000000"/>
                <w:sz w:val="20"/>
                <w:szCs w:val="20"/>
              </w:rPr>
              <w:t>以</w:t>
            </w:r>
            <w:r>
              <w:rPr>
                <w:rFonts w:ascii="TimesNewRoman" w:hAnsi="TimesNewRoman" w:cs="TimesNewRoman"/>
                <w:color w:val="000000"/>
                <w:sz w:val="20"/>
                <w:szCs w:val="20"/>
              </w:rPr>
              <w:t>“-”</w:t>
            </w:r>
            <w:r>
              <w:rPr>
                <w:rFonts w:hint="eastAsia" w:ascii="TimesNewRoman" w:hAnsi="TimesNewRoman" w:cs="TimesNewRoman"/>
                <w:color w:val="000000"/>
                <w:sz w:val="20"/>
                <w:szCs w:val="20"/>
              </w:rPr>
              <w:t>表示）金额</w:t>
            </w:r>
          </w:p>
        </w:tc>
        <w:tc>
          <w:tcPr>
            <w:tcW w:w="1503" w:type="dxa"/>
            <w:gridSpan w:val="2"/>
            <w:tcBorders>
              <w:top w:val="single" w:color="auto" w:sz="4" w:space="0"/>
              <w:left w:val="nil"/>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全年执行数（决算数）</w:t>
            </w:r>
          </w:p>
        </w:tc>
        <w:tc>
          <w:tcPr>
            <w:tcW w:w="909" w:type="dxa"/>
            <w:tcBorders>
              <w:top w:val="single" w:color="auto" w:sz="4" w:space="0"/>
              <w:left w:val="nil"/>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执行率</w:t>
            </w:r>
            <w:r>
              <w:rPr>
                <w:rFonts w:ascii="TimesNewRoman" w:hAnsi="TimesNewRoman" w:cs="TimesNewRoman"/>
                <w:color w:val="000000"/>
                <w:sz w:val="20"/>
                <w:szCs w:val="20"/>
              </w:rPr>
              <w:br w:type="textWrapping"/>
            </w:r>
            <w:r>
              <w:rPr>
                <w:rFonts w:hint="eastAsia" w:ascii="TimesNewRoman" w:hAnsi="TimesNewRoman" w:cs="TimesNewRoman"/>
                <w:color w:val="000000"/>
                <w:sz w:val="20"/>
                <w:szCs w:val="20"/>
              </w:rPr>
              <w:t>（</w:t>
            </w:r>
            <w:r>
              <w:rPr>
                <w:rFonts w:ascii="TimesNewRoman" w:hAnsi="TimesNewRoman" w:cs="TimesNewRoman"/>
                <w:color w:val="000000"/>
                <w:sz w:val="20"/>
                <w:szCs w:val="20"/>
              </w:rPr>
              <w:t>%)</w:t>
            </w:r>
          </w:p>
        </w:tc>
        <w:tc>
          <w:tcPr>
            <w:tcW w:w="919" w:type="dxa"/>
            <w:tcBorders>
              <w:top w:val="single" w:color="auto" w:sz="4" w:space="0"/>
              <w:left w:val="nil"/>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执行率得分</w:t>
            </w:r>
            <w:r>
              <w:rPr>
                <w:rFonts w:ascii="TimesNewRoman" w:hAnsi="TimesNewRoman" w:cs="TimesNewRoman"/>
                <w:color w:val="000000"/>
                <w:sz w:val="20"/>
                <w:szCs w:val="20"/>
              </w:rPr>
              <w:br w:type="textWrapping"/>
            </w:r>
            <w:r>
              <w:rPr>
                <w:rFonts w:hint="eastAsia" w:ascii="TimesNewRoman" w:hAnsi="TimesNewRoman" w:cs="TimesNewRoman"/>
                <w:color w:val="000000"/>
                <w:sz w:val="20"/>
                <w:szCs w:val="20"/>
              </w:rPr>
              <w:t>（</w:t>
            </w:r>
            <w:r>
              <w:rPr>
                <w:rFonts w:ascii="TimesNewRoman" w:hAnsi="TimesNewRoman" w:cs="TimesNewRoman"/>
                <w:color w:val="000000"/>
                <w:sz w:val="20"/>
                <w:szCs w:val="20"/>
              </w:rPr>
              <w:t>10</w:t>
            </w:r>
            <w:r>
              <w:rPr>
                <w:rFonts w:hint="eastAsia" w:ascii="TimesNewRoman" w:hAnsi="TimesNewRoman" w:cs="TimesNewRoman"/>
                <w:color w:val="000000"/>
                <w:sz w:val="20"/>
                <w:szCs w:val="20"/>
              </w:rPr>
              <w:t>分</w:t>
            </w:r>
            <w:r>
              <w:rPr>
                <w:rFonts w:ascii="TimesNewRoman" w:hAnsi="TimesNewRoman" w:cs="TimesNewRoman"/>
                <w:color w:val="000000"/>
                <w:sz w:val="20"/>
                <w:szCs w:val="20"/>
              </w:rPr>
              <w:t>)</w:t>
            </w:r>
          </w:p>
        </w:tc>
      </w:tr>
      <w:tr>
        <w:tblPrEx>
          <w:tblCellMar>
            <w:top w:w="0" w:type="dxa"/>
            <w:left w:w="108" w:type="dxa"/>
            <w:bottom w:w="0" w:type="dxa"/>
            <w:right w:w="108" w:type="dxa"/>
          </w:tblCellMar>
        </w:tblPrEx>
        <w:trPr>
          <w:trHeight w:val="491" w:hRule="atLeast"/>
        </w:trPr>
        <w:tc>
          <w:tcPr>
            <w:tcW w:w="0" w:type="auto"/>
            <w:vMerge w:val="continue"/>
            <w:tcBorders>
              <w:top w:val="nil"/>
              <w:left w:val="single" w:color="auto" w:sz="4" w:space="0"/>
              <w:bottom w:val="single" w:color="auto" w:sz="4" w:space="0"/>
              <w:right w:val="single" w:color="auto" w:sz="4" w:space="0"/>
            </w:tcBorders>
            <w:vAlign w:val="center"/>
          </w:tcPr>
          <w:p>
            <w:pPr>
              <w:jc w:val="both"/>
              <w:rPr>
                <w:rFonts w:ascii="TimesNewRoman" w:hAnsi="TimesNewRoman" w:cs="TimesNewRoman"/>
                <w:color w:val="00000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cs="TimesNewRoman"/>
                <w:color w:val="000000"/>
                <w:sz w:val="20"/>
                <w:szCs w:val="20"/>
              </w:rPr>
            </w:pPr>
          </w:p>
        </w:tc>
        <w:tc>
          <w:tcPr>
            <w:tcW w:w="684" w:type="dxa"/>
            <w:tcBorders>
              <w:top w:val="single" w:color="auto" w:sz="4" w:space="0"/>
              <w:left w:val="nil"/>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小计</w:t>
            </w:r>
          </w:p>
        </w:tc>
        <w:tc>
          <w:tcPr>
            <w:tcW w:w="606" w:type="dxa"/>
            <w:tcBorders>
              <w:top w:val="single" w:color="auto" w:sz="4" w:space="0"/>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财政资金</w:t>
            </w:r>
          </w:p>
        </w:tc>
        <w:tc>
          <w:tcPr>
            <w:tcW w:w="942" w:type="dxa"/>
            <w:tcBorders>
              <w:top w:val="single" w:color="auto" w:sz="4" w:space="0"/>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其他资金</w:t>
            </w:r>
          </w:p>
        </w:tc>
        <w:tc>
          <w:tcPr>
            <w:tcW w:w="393" w:type="dxa"/>
            <w:tcBorders>
              <w:top w:val="single" w:color="auto" w:sz="4" w:space="0"/>
              <w:left w:val="nil"/>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小计</w:t>
            </w:r>
          </w:p>
        </w:tc>
        <w:tc>
          <w:tcPr>
            <w:tcW w:w="504" w:type="dxa"/>
            <w:tcBorders>
              <w:top w:val="single" w:color="auto" w:sz="4" w:space="0"/>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财政资金</w:t>
            </w:r>
          </w:p>
        </w:tc>
        <w:tc>
          <w:tcPr>
            <w:tcW w:w="494" w:type="dxa"/>
            <w:tcBorders>
              <w:top w:val="single" w:color="auto" w:sz="4" w:space="0"/>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其他资金</w:t>
            </w:r>
          </w:p>
        </w:tc>
        <w:tc>
          <w:tcPr>
            <w:tcW w:w="606" w:type="dxa"/>
            <w:tcBorders>
              <w:top w:val="single" w:color="auto" w:sz="4" w:space="0"/>
              <w:left w:val="nil"/>
              <w:bottom w:val="single" w:color="auto" w:sz="4" w:space="0"/>
              <w:right w:val="nil"/>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小计</w:t>
            </w:r>
          </w:p>
        </w:tc>
        <w:tc>
          <w:tcPr>
            <w:tcW w:w="1503" w:type="dxa"/>
            <w:gridSpan w:val="2"/>
            <w:vMerge w:val="restart"/>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ascii="TimesNewRoman" w:hAnsi="TimesNewRoman" w:cs="TimesNewRoman"/>
                <w:color w:val="000000"/>
                <w:sz w:val="20"/>
                <w:szCs w:val="20"/>
              </w:rPr>
              <w:t>6</w:t>
            </w:r>
          </w:p>
        </w:tc>
        <w:tc>
          <w:tcPr>
            <w:tcW w:w="909"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ascii="TimesNewRoman" w:hAnsi="TimesNewRoman" w:cs="TimesNewRoman"/>
                <w:color w:val="000000"/>
                <w:sz w:val="20"/>
                <w:szCs w:val="20"/>
              </w:rPr>
              <w:t>100.00%</w:t>
            </w:r>
          </w:p>
        </w:tc>
        <w:tc>
          <w:tcPr>
            <w:tcW w:w="919"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ascii="TimesNewRoman" w:hAnsi="TimesNewRoman" w:cs="TimesNewRoman"/>
                <w:color w:val="000000"/>
                <w:sz w:val="20"/>
                <w:szCs w:val="20"/>
              </w:rPr>
              <w:t>10</w:t>
            </w:r>
          </w:p>
        </w:tc>
      </w:tr>
      <w:tr>
        <w:tblPrEx>
          <w:tblCellMar>
            <w:top w:w="0" w:type="dxa"/>
            <w:left w:w="108" w:type="dxa"/>
            <w:bottom w:w="0" w:type="dxa"/>
            <w:right w:w="108" w:type="dxa"/>
          </w:tblCellMar>
        </w:tblPrEx>
        <w:trPr>
          <w:trHeight w:val="430" w:hRule="atLeast"/>
        </w:trPr>
        <w:tc>
          <w:tcPr>
            <w:tcW w:w="0" w:type="auto"/>
            <w:vMerge w:val="continue"/>
            <w:tcBorders>
              <w:top w:val="nil"/>
              <w:left w:val="single" w:color="auto" w:sz="4" w:space="0"/>
              <w:bottom w:val="single" w:color="auto" w:sz="4" w:space="0"/>
              <w:right w:val="single" w:color="auto" w:sz="4" w:space="0"/>
            </w:tcBorders>
            <w:vAlign w:val="center"/>
          </w:tcPr>
          <w:p>
            <w:pPr>
              <w:jc w:val="both"/>
              <w:rPr>
                <w:rFonts w:ascii="TimesNewRoman" w:hAnsi="TimesNewRoman" w:cs="TimesNewRoman"/>
                <w:color w:val="000000"/>
                <w:sz w:val="20"/>
                <w:szCs w:val="20"/>
              </w:rPr>
            </w:pPr>
          </w:p>
        </w:tc>
        <w:tc>
          <w:tcPr>
            <w:tcW w:w="595" w:type="dxa"/>
            <w:tcBorders>
              <w:top w:val="nil"/>
              <w:left w:val="nil"/>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ascii="TimesNewRoman" w:hAnsi="TimesNewRoman" w:cs="TimesNewRoman"/>
                <w:color w:val="000000"/>
                <w:sz w:val="20"/>
                <w:szCs w:val="20"/>
              </w:rPr>
              <w:t>6</w:t>
            </w:r>
          </w:p>
        </w:tc>
        <w:tc>
          <w:tcPr>
            <w:tcW w:w="684" w:type="dxa"/>
            <w:tcBorders>
              <w:top w:val="nil"/>
              <w:left w:val="nil"/>
              <w:bottom w:val="single" w:color="auto" w:sz="4" w:space="0"/>
              <w:right w:val="single" w:color="auto" w:sz="4" w:space="0"/>
            </w:tcBorders>
            <w:vAlign w:val="center"/>
          </w:tcPr>
          <w:p>
            <w:pPr>
              <w:jc w:val="both"/>
              <w:rPr>
                <w:rFonts w:ascii="TimesNewRoman" w:hAnsi="TimesNewRoman" w:cs="TimesNewRoman"/>
                <w:color w:val="000000"/>
                <w:sz w:val="20"/>
                <w:szCs w:val="20"/>
              </w:rPr>
            </w:pPr>
            <w:r>
              <w:rPr>
                <w:rFonts w:ascii="TimesNewRoman" w:hAnsi="TimesNewRoman" w:cs="TimesNewRoman"/>
                <w:color w:val="000000"/>
                <w:sz w:val="20"/>
                <w:szCs w:val="20"/>
              </w:rPr>
              <w:t>0</w:t>
            </w:r>
          </w:p>
        </w:tc>
        <w:tc>
          <w:tcPr>
            <w:tcW w:w="606"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　</w:t>
            </w:r>
          </w:p>
        </w:tc>
        <w:tc>
          <w:tcPr>
            <w:tcW w:w="942"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　</w:t>
            </w:r>
          </w:p>
        </w:tc>
        <w:tc>
          <w:tcPr>
            <w:tcW w:w="393"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ascii="TimesNewRoman" w:hAnsi="TimesNewRoman" w:cs="TimesNewRoman"/>
                <w:color w:val="000000"/>
                <w:sz w:val="20"/>
                <w:szCs w:val="20"/>
              </w:rPr>
              <w:t>6</w:t>
            </w:r>
          </w:p>
        </w:tc>
        <w:tc>
          <w:tcPr>
            <w:tcW w:w="504"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ascii="TimesNewRoman" w:hAnsi="TimesNewRoman" w:cs="TimesNewRoman"/>
                <w:color w:val="000000"/>
                <w:sz w:val="20"/>
                <w:szCs w:val="20"/>
              </w:rPr>
              <w:t>6</w:t>
            </w:r>
          </w:p>
        </w:tc>
        <w:tc>
          <w:tcPr>
            <w:tcW w:w="494"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　</w:t>
            </w:r>
          </w:p>
        </w:tc>
        <w:tc>
          <w:tcPr>
            <w:tcW w:w="606" w:type="dxa"/>
            <w:tcBorders>
              <w:top w:val="nil"/>
              <w:left w:val="nil"/>
              <w:bottom w:val="single" w:color="auto" w:sz="4" w:space="0"/>
              <w:right w:val="nil"/>
            </w:tcBorders>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　</w:t>
            </w:r>
          </w:p>
        </w:tc>
        <w:tc>
          <w:tcPr>
            <w:tcW w:w="0" w:type="auto"/>
            <w:gridSpan w:val="2"/>
            <w:vMerge w:val="continue"/>
            <w:tcBorders>
              <w:top w:val="nil"/>
              <w:left w:val="nil"/>
              <w:bottom w:val="single" w:color="auto" w:sz="4" w:space="0"/>
              <w:right w:val="nil"/>
            </w:tcBorders>
            <w:vAlign w:val="center"/>
          </w:tcPr>
          <w:p>
            <w:pPr>
              <w:jc w:val="both"/>
              <w:rPr>
                <w:rFonts w:ascii="TimesNewRoman" w:hAnsi="TimesNewRoman" w:cs="TimesNewRoman"/>
                <w:color w:val="00000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jc w:val="both"/>
              <w:rPr>
                <w:rFonts w:ascii="TimesNewRoman" w:hAnsi="TimesNewRoman" w:cs="TimesNewRoman"/>
                <w:color w:val="00000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jc w:val="both"/>
              <w:rPr>
                <w:rFonts w:ascii="TimesNewRoman" w:hAnsi="TimesNewRoman" w:cs="TimesNewRoman"/>
                <w:color w:val="000000"/>
                <w:sz w:val="20"/>
                <w:szCs w:val="20"/>
              </w:rPr>
            </w:pPr>
          </w:p>
        </w:tc>
      </w:tr>
      <w:tr>
        <w:tblPrEx>
          <w:tblCellMar>
            <w:top w:w="0" w:type="dxa"/>
            <w:left w:w="108" w:type="dxa"/>
            <w:bottom w:w="0" w:type="dxa"/>
            <w:right w:w="108" w:type="dxa"/>
          </w:tblCellMar>
        </w:tblPrEx>
        <w:trPr>
          <w:trHeight w:val="350" w:hRule="atLeast"/>
        </w:trPr>
        <w:tc>
          <w:tcPr>
            <w:tcW w:w="9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NewRoman" w:hAnsi="TimesNewRoman" w:cs="TimesNewRoman"/>
                <w:color w:val="000000"/>
                <w:sz w:val="20"/>
                <w:szCs w:val="20"/>
              </w:rPr>
            </w:pPr>
          </w:p>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年度</w:t>
            </w:r>
          </w:p>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总体</w:t>
            </w:r>
          </w:p>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目标</w:t>
            </w:r>
          </w:p>
        </w:tc>
        <w:tc>
          <w:tcPr>
            <w:tcW w:w="4823" w:type="dxa"/>
            <w:gridSpan w:val="8"/>
            <w:tcBorders>
              <w:top w:val="single" w:color="auto" w:sz="4" w:space="0"/>
              <w:left w:val="nil"/>
              <w:bottom w:val="single" w:color="auto" w:sz="4" w:space="0"/>
              <w:right w:val="single" w:color="auto" w:sz="4" w:space="0"/>
            </w:tcBorders>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年初设定目标</w:t>
            </w:r>
          </w:p>
        </w:tc>
        <w:tc>
          <w:tcPr>
            <w:tcW w:w="3331" w:type="dxa"/>
            <w:gridSpan w:val="4"/>
            <w:tcBorders>
              <w:top w:val="single" w:color="auto" w:sz="4" w:space="0"/>
              <w:left w:val="nil"/>
              <w:bottom w:val="single" w:color="auto" w:sz="4" w:space="0"/>
              <w:right w:val="single" w:color="auto" w:sz="4" w:space="0"/>
            </w:tcBorders>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全年目标实际完成情况</w:t>
            </w:r>
          </w:p>
        </w:tc>
      </w:tr>
      <w:tr>
        <w:tblPrEx>
          <w:tblCellMar>
            <w:top w:w="0" w:type="dxa"/>
            <w:left w:w="108" w:type="dxa"/>
            <w:bottom w:w="0" w:type="dxa"/>
            <w:right w:w="108" w:type="dxa"/>
          </w:tblCellMar>
        </w:tblPrEx>
        <w:trPr>
          <w:trHeight w:val="18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NewRoman" w:hAnsi="TimesNewRoman" w:cs="TimesNewRoman"/>
                <w:color w:val="000000"/>
                <w:sz w:val="20"/>
                <w:szCs w:val="20"/>
              </w:rPr>
            </w:pPr>
          </w:p>
        </w:tc>
        <w:tc>
          <w:tcPr>
            <w:tcW w:w="4823" w:type="dxa"/>
            <w:gridSpan w:val="8"/>
            <w:tcBorders>
              <w:top w:val="single" w:color="auto" w:sz="4" w:space="0"/>
              <w:left w:val="nil"/>
              <w:bottom w:val="single" w:color="auto" w:sz="4" w:space="0"/>
              <w:right w:val="single" w:color="auto" w:sz="4" w:space="0"/>
            </w:tcBorders>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民事案件</w:t>
            </w:r>
          </w:p>
        </w:tc>
        <w:tc>
          <w:tcPr>
            <w:tcW w:w="3331" w:type="dxa"/>
            <w:gridSpan w:val="4"/>
            <w:tcBorders>
              <w:top w:val="single" w:color="auto" w:sz="4" w:space="0"/>
              <w:left w:val="nil"/>
              <w:bottom w:val="single" w:color="auto" w:sz="4" w:space="0"/>
              <w:right w:val="single" w:color="auto" w:sz="4" w:space="0"/>
            </w:tcBorders>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民事案件</w:t>
            </w:r>
            <w:r>
              <w:rPr>
                <w:rFonts w:ascii="TimesNewRoman" w:hAnsi="TimesNewRoman" w:cs="TimesNewRoman"/>
                <w:color w:val="000000"/>
                <w:sz w:val="20"/>
                <w:szCs w:val="20"/>
              </w:rPr>
              <w:t>35</w:t>
            </w:r>
            <w:r>
              <w:rPr>
                <w:rFonts w:hint="eastAsia" w:ascii="TimesNewRoman" w:hAnsi="TimesNewRoman" w:cs="TimesNewRoman"/>
                <w:color w:val="000000"/>
                <w:sz w:val="20"/>
                <w:szCs w:val="20"/>
              </w:rPr>
              <w:t>件</w:t>
            </w:r>
          </w:p>
        </w:tc>
      </w:tr>
      <w:tr>
        <w:tblPrEx>
          <w:tblCellMar>
            <w:top w:w="0" w:type="dxa"/>
            <w:left w:w="108" w:type="dxa"/>
            <w:bottom w:w="0" w:type="dxa"/>
            <w:right w:w="108" w:type="dxa"/>
          </w:tblCellMar>
        </w:tblPrEx>
        <w:trPr>
          <w:trHeight w:val="756" w:hRule="atLeast"/>
        </w:trPr>
        <w:tc>
          <w:tcPr>
            <w:tcW w:w="998" w:type="dxa"/>
            <w:vMerge w:val="restart"/>
            <w:tcBorders>
              <w:top w:val="single" w:color="auto" w:sz="4" w:space="0"/>
              <w:left w:val="single" w:color="auto" w:sz="4" w:space="0"/>
              <w:bottom w:val="nil"/>
              <w:right w:val="single" w:color="auto" w:sz="4" w:space="0"/>
            </w:tcBorders>
            <w:vAlign w:val="center"/>
          </w:tcPr>
          <w:p>
            <w:pPr>
              <w:jc w:val="both"/>
              <w:rPr>
                <w:rFonts w:ascii="TimesNewRoman" w:hAnsi="TimesNewRoman" w:cs="TimesNewRoman"/>
                <w:sz w:val="20"/>
                <w:szCs w:val="20"/>
              </w:rPr>
            </w:pPr>
            <w:r>
              <w:rPr>
                <w:rFonts w:hint="eastAsia" w:ascii="TimesNewRoman" w:hAnsi="TimesNewRoman" w:cs="TimesNewRoman"/>
                <w:sz w:val="20"/>
                <w:szCs w:val="20"/>
              </w:rPr>
              <w:t>绩效指标</w:t>
            </w:r>
          </w:p>
        </w:tc>
        <w:tc>
          <w:tcPr>
            <w:tcW w:w="595" w:type="dxa"/>
            <w:tcBorders>
              <w:top w:val="single" w:color="auto" w:sz="4" w:space="0"/>
              <w:left w:val="nil"/>
              <w:bottom w:val="single" w:color="auto" w:sz="4" w:space="0"/>
              <w:right w:val="single" w:color="auto" w:sz="4" w:space="0"/>
            </w:tcBorders>
            <w:noWrap/>
            <w:vAlign w:val="center"/>
          </w:tcPr>
          <w:p>
            <w:pPr>
              <w:jc w:val="center"/>
              <w:rPr>
                <w:rFonts w:ascii="TimesNewRoman" w:hAnsi="TimesNewRoman" w:cs="TimesNewRoman"/>
                <w:sz w:val="20"/>
                <w:szCs w:val="20"/>
              </w:rPr>
            </w:pPr>
            <w:r>
              <w:rPr>
                <w:rFonts w:hint="eastAsia" w:ascii="TimesNewRoman" w:hAnsi="TimesNewRoman" w:cs="TimesNewRoman"/>
                <w:sz w:val="20"/>
                <w:szCs w:val="20"/>
              </w:rPr>
              <w:t>一级指标</w:t>
            </w:r>
          </w:p>
        </w:tc>
        <w:tc>
          <w:tcPr>
            <w:tcW w:w="684"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二级指标</w:t>
            </w:r>
          </w:p>
        </w:tc>
        <w:tc>
          <w:tcPr>
            <w:tcW w:w="1548" w:type="dxa"/>
            <w:gridSpan w:val="2"/>
            <w:tcBorders>
              <w:top w:val="single" w:color="auto" w:sz="4" w:space="0"/>
              <w:left w:val="nil"/>
              <w:bottom w:val="single" w:color="auto" w:sz="4" w:space="0"/>
              <w:right w:val="single" w:color="000000" w:sz="4" w:space="0"/>
            </w:tcBorders>
            <w:shd w:val="clear" w:color="auto" w:fill="FFFFFF"/>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三级指标（指标名称）</w:t>
            </w:r>
          </w:p>
        </w:tc>
        <w:tc>
          <w:tcPr>
            <w:tcW w:w="139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年度指标值（计量单位）</w:t>
            </w:r>
          </w:p>
        </w:tc>
        <w:tc>
          <w:tcPr>
            <w:tcW w:w="606"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调整后指标值（未调整不填列）</w:t>
            </w:r>
          </w:p>
        </w:tc>
        <w:tc>
          <w:tcPr>
            <w:tcW w:w="75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实际完成值（计量单位）</w:t>
            </w:r>
          </w:p>
        </w:tc>
        <w:tc>
          <w:tcPr>
            <w:tcW w:w="752"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得分系数（</w:t>
            </w:r>
            <w:r>
              <w:rPr>
                <w:rFonts w:ascii="TimesNewRoman" w:hAnsi="TimesNewRoman" w:cs="TimesNewRoman"/>
                <w:color w:val="000000"/>
                <w:sz w:val="20"/>
                <w:szCs w:val="20"/>
              </w:rPr>
              <w:t>%</w:t>
            </w:r>
            <w:r>
              <w:rPr>
                <w:rFonts w:hint="eastAsia" w:ascii="TimesNewRoman" w:hAnsi="TimesNewRoman" w:cs="TimesNewRoman"/>
                <w:color w:val="000000"/>
                <w:sz w:val="20"/>
                <w:szCs w:val="20"/>
              </w:rPr>
              <w:t>）</w:t>
            </w:r>
          </w:p>
        </w:tc>
        <w:tc>
          <w:tcPr>
            <w:tcW w:w="909"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权重</w:t>
            </w:r>
          </w:p>
        </w:tc>
        <w:tc>
          <w:tcPr>
            <w:tcW w:w="919"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hint="eastAsia" w:ascii="TimesNewRoman" w:hAnsi="TimesNewRoman" w:cs="TimesNewRoman"/>
                <w:color w:val="000000"/>
                <w:sz w:val="20"/>
                <w:szCs w:val="20"/>
              </w:rPr>
              <w:t>得分</w:t>
            </w:r>
          </w:p>
        </w:tc>
      </w:tr>
      <w:tr>
        <w:tblPrEx>
          <w:tblCellMar>
            <w:top w:w="0" w:type="dxa"/>
            <w:left w:w="108" w:type="dxa"/>
            <w:bottom w:w="0" w:type="dxa"/>
            <w:right w:w="108" w:type="dxa"/>
          </w:tblCellMar>
        </w:tblPrEx>
        <w:trPr>
          <w:trHeight w:val="473" w:hRule="atLeast"/>
        </w:trPr>
        <w:tc>
          <w:tcPr>
            <w:tcW w:w="0" w:type="auto"/>
            <w:vMerge w:val="continue"/>
            <w:tcBorders>
              <w:top w:val="nil"/>
              <w:left w:val="single" w:color="auto" w:sz="4" w:space="0"/>
              <w:bottom w:val="nil"/>
              <w:right w:val="single" w:color="auto" w:sz="4" w:space="0"/>
            </w:tcBorders>
            <w:vAlign w:val="center"/>
          </w:tcPr>
          <w:p>
            <w:pPr>
              <w:jc w:val="both"/>
              <w:rPr>
                <w:rFonts w:ascii="TimesNewRoman" w:hAnsi="TimesNewRoman" w:cs="TimesNewRoman"/>
                <w:sz w:val="20"/>
                <w:szCs w:val="20"/>
              </w:rPr>
            </w:pPr>
          </w:p>
        </w:tc>
        <w:tc>
          <w:tcPr>
            <w:tcW w:w="595" w:type="dxa"/>
            <w:vMerge w:val="restart"/>
            <w:tcBorders>
              <w:top w:val="nil"/>
              <w:left w:val="single" w:color="auto" w:sz="4" w:space="0"/>
              <w:bottom w:val="nil"/>
              <w:right w:val="single" w:color="auto"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产出指标</w:t>
            </w:r>
          </w:p>
        </w:tc>
        <w:tc>
          <w:tcPr>
            <w:tcW w:w="684"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数量指标</w:t>
            </w:r>
          </w:p>
        </w:tc>
        <w:tc>
          <w:tcPr>
            <w:tcW w:w="1548" w:type="dxa"/>
            <w:gridSpan w:val="2"/>
            <w:tcBorders>
              <w:top w:val="single" w:color="auto" w:sz="4" w:space="0"/>
              <w:left w:val="nil"/>
              <w:bottom w:val="single" w:color="auto" w:sz="4" w:space="0"/>
              <w:right w:val="single" w:color="000000"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民事案件</w:t>
            </w:r>
          </w:p>
        </w:tc>
        <w:tc>
          <w:tcPr>
            <w:tcW w:w="139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ascii="TimesNewRoman" w:hAnsi="TimesNewRoman" w:cs="TimesNewRoman"/>
                <w:color w:val="000000"/>
                <w:sz w:val="20"/>
                <w:szCs w:val="20"/>
              </w:rPr>
              <w:t>35</w:t>
            </w:r>
            <w:r>
              <w:rPr>
                <w:rFonts w:hint="eastAsia" w:ascii="TimesNewRoman" w:hAnsi="TimesNewRoman" w:cs="TimesNewRoman"/>
                <w:color w:val="000000"/>
                <w:sz w:val="20"/>
                <w:szCs w:val="20"/>
              </w:rPr>
              <w:t>件</w:t>
            </w:r>
          </w:p>
        </w:tc>
        <w:tc>
          <w:tcPr>
            <w:tcW w:w="606" w:type="dxa"/>
            <w:tcBorders>
              <w:top w:val="nil"/>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p>
        </w:tc>
        <w:tc>
          <w:tcPr>
            <w:tcW w:w="751" w:type="dxa"/>
            <w:noWrap/>
            <w:vAlign w:val="center"/>
          </w:tcPr>
          <w:p>
            <w:pPr>
              <w:jc w:val="center"/>
              <w:rPr>
                <w:rFonts w:ascii="TimesNewRoman" w:hAnsi="TimesNewRoman" w:cs="TimesNewRoman"/>
                <w:sz w:val="20"/>
                <w:szCs w:val="20"/>
              </w:rPr>
            </w:pPr>
            <w:r>
              <w:rPr>
                <w:rFonts w:ascii="TimesNewRoman" w:hAnsi="TimesNewRoman" w:cs="TimesNewRoman"/>
                <w:sz w:val="20"/>
                <w:szCs w:val="20"/>
              </w:rPr>
              <w:t>35</w:t>
            </w:r>
            <w:r>
              <w:rPr>
                <w:rFonts w:hint="eastAsia" w:ascii="TimesNewRoman" w:hAnsi="TimesNewRoman" w:cs="TimesNewRoman"/>
                <w:sz w:val="20"/>
                <w:szCs w:val="20"/>
              </w:rPr>
              <w:t>件</w:t>
            </w:r>
          </w:p>
        </w:tc>
        <w:tc>
          <w:tcPr>
            <w:tcW w:w="752" w:type="dxa"/>
            <w:tcBorders>
              <w:top w:val="nil"/>
              <w:left w:val="single" w:color="auto" w:sz="4" w:space="0"/>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100%</w:t>
            </w:r>
          </w:p>
        </w:tc>
        <w:tc>
          <w:tcPr>
            <w:tcW w:w="909" w:type="dxa"/>
            <w:tcBorders>
              <w:top w:val="nil"/>
              <w:left w:val="nil"/>
              <w:bottom w:val="single" w:color="auto" w:sz="4" w:space="0"/>
              <w:right w:val="single" w:color="auto" w:sz="4" w:space="0"/>
            </w:tcBorders>
            <w:vAlign w:val="center"/>
          </w:tcPr>
          <w:p>
            <w:pPr>
              <w:jc w:val="center"/>
              <w:rPr>
                <w:rFonts w:ascii="TimesNewRoman" w:hAnsi="TimesNewRoman" w:cs="TimesNewRoman"/>
                <w:color w:val="000000"/>
                <w:sz w:val="20"/>
                <w:szCs w:val="20"/>
              </w:rPr>
            </w:pPr>
            <w:r>
              <w:rPr>
                <w:rFonts w:ascii="TimesNewRoman" w:hAnsi="TimesNewRoman" w:cs="TimesNewRoman"/>
                <w:color w:val="000000"/>
                <w:sz w:val="20"/>
                <w:szCs w:val="20"/>
              </w:rPr>
              <w:t>15</w:t>
            </w:r>
          </w:p>
        </w:tc>
        <w:tc>
          <w:tcPr>
            <w:tcW w:w="919" w:type="dxa"/>
            <w:tcBorders>
              <w:top w:val="nil"/>
              <w:left w:val="nil"/>
              <w:bottom w:val="single" w:color="auto" w:sz="4" w:space="0"/>
              <w:right w:val="single" w:color="auto" w:sz="4" w:space="0"/>
            </w:tcBorders>
            <w:vAlign w:val="center"/>
          </w:tcPr>
          <w:p>
            <w:pPr>
              <w:jc w:val="center"/>
              <w:rPr>
                <w:rFonts w:ascii="TimesNewRoman" w:hAnsi="TimesNewRoman" w:cs="TimesNewRoman"/>
                <w:color w:val="000000"/>
                <w:sz w:val="20"/>
                <w:szCs w:val="20"/>
              </w:rPr>
            </w:pPr>
            <w:r>
              <w:rPr>
                <w:rFonts w:ascii="TimesNewRoman" w:hAnsi="TimesNewRoman" w:cs="TimesNewRoman"/>
                <w:color w:val="000000"/>
                <w:sz w:val="20"/>
                <w:szCs w:val="20"/>
              </w:rPr>
              <w:t>15</w:t>
            </w:r>
          </w:p>
        </w:tc>
      </w:tr>
      <w:tr>
        <w:tblPrEx>
          <w:tblCellMar>
            <w:top w:w="0" w:type="dxa"/>
            <w:left w:w="108" w:type="dxa"/>
            <w:bottom w:w="0" w:type="dxa"/>
            <w:right w:w="108" w:type="dxa"/>
          </w:tblCellMar>
        </w:tblPrEx>
        <w:trPr>
          <w:trHeight w:val="473" w:hRule="atLeast"/>
        </w:trPr>
        <w:tc>
          <w:tcPr>
            <w:tcW w:w="0" w:type="auto"/>
            <w:vMerge w:val="continue"/>
            <w:tcBorders>
              <w:top w:val="nil"/>
              <w:left w:val="single" w:color="auto" w:sz="4" w:space="0"/>
              <w:bottom w:val="nil"/>
              <w:right w:val="single" w:color="auto" w:sz="4" w:space="0"/>
            </w:tcBorders>
            <w:vAlign w:val="center"/>
          </w:tcPr>
          <w:p>
            <w:pPr>
              <w:jc w:val="both"/>
              <w:rPr>
                <w:rFonts w:ascii="TimesNewRoman" w:hAnsi="TimesNewRoman" w:cs="TimesNewRoman"/>
                <w:sz w:val="20"/>
                <w:szCs w:val="20"/>
              </w:rPr>
            </w:pPr>
          </w:p>
        </w:tc>
        <w:tc>
          <w:tcPr>
            <w:tcW w:w="0" w:type="auto"/>
            <w:vMerge w:val="continue"/>
            <w:tcBorders>
              <w:top w:val="nil"/>
              <w:left w:val="single" w:color="auto" w:sz="4" w:space="0"/>
              <w:bottom w:val="nil"/>
              <w:right w:val="single" w:color="auto" w:sz="4" w:space="0"/>
            </w:tcBorders>
            <w:vAlign w:val="center"/>
          </w:tcPr>
          <w:p>
            <w:pPr>
              <w:jc w:val="both"/>
              <w:rPr>
                <w:rFonts w:ascii="TimesNewRoman" w:hAnsi="TimesNewRoman" w:cs="TimesNewRoman"/>
                <w:sz w:val="20"/>
                <w:szCs w:val="20"/>
              </w:rPr>
            </w:pPr>
          </w:p>
        </w:tc>
        <w:tc>
          <w:tcPr>
            <w:tcW w:w="684"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质量指标</w:t>
            </w:r>
          </w:p>
        </w:tc>
        <w:tc>
          <w:tcPr>
            <w:tcW w:w="1548" w:type="dxa"/>
            <w:gridSpan w:val="2"/>
            <w:tcBorders>
              <w:top w:val="single" w:color="auto" w:sz="4" w:space="0"/>
              <w:left w:val="nil"/>
              <w:bottom w:val="single" w:color="auto" w:sz="4" w:space="0"/>
              <w:right w:val="single" w:color="000000"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对符合援助的受援人，履行职责</w:t>
            </w:r>
          </w:p>
        </w:tc>
        <w:tc>
          <w:tcPr>
            <w:tcW w:w="139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ascii="TimesNewRoman" w:hAnsi="TimesNewRoman" w:cs="TimesNewRoman"/>
                <w:color w:val="000000"/>
                <w:sz w:val="20"/>
                <w:szCs w:val="20"/>
              </w:rPr>
              <w:t>100%</w:t>
            </w:r>
          </w:p>
        </w:tc>
        <w:tc>
          <w:tcPr>
            <w:tcW w:w="606" w:type="dxa"/>
            <w:tcBorders>
              <w:top w:val="nil"/>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p>
        </w:tc>
        <w:tc>
          <w:tcPr>
            <w:tcW w:w="751" w:type="dxa"/>
            <w:tcBorders>
              <w:top w:val="single" w:color="auto" w:sz="4" w:space="0"/>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95%</w:t>
            </w:r>
          </w:p>
        </w:tc>
        <w:tc>
          <w:tcPr>
            <w:tcW w:w="752"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50%</w:t>
            </w:r>
          </w:p>
        </w:tc>
        <w:tc>
          <w:tcPr>
            <w:tcW w:w="909" w:type="dxa"/>
            <w:tcBorders>
              <w:top w:val="nil"/>
              <w:left w:val="nil"/>
              <w:bottom w:val="single" w:color="auto" w:sz="4" w:space="0"/>
              <w:right w:val="single" w:color="auto" w:sz="4" w:space="0"/>
            </w:tcBorders>
            <w:vAlign w:val="center"/>
          </w:tcPr>
          <w:p>
            <w:pPr>
              <w:jc w:val="center"/>
              <w:rPr>
                <w:rFonts w:ascii="TimesNewRoman" w:hAnsi="TimesNewRoman" w:cs="TimesNewRoman"/>
                <w:color w:val="000000"/>
                <w:sz w:val="20"/>
                <w:szCs w:val="20"/>
              </w:rPr>
            </w:pPr>
            <w:r>
              <w:rPr>
                <w:rFonts w:ascii="TimesNewRoman" w:hAnsi="TimesNewRoman" w:cs="TimesNewRoman"/>
                <w:color w:val="000000"/>
                <w:sz w:val="20"/>
                <w:szCs w:val="20"/>
              </w:rPr>
              <w:t>10</w:t>
            </w:r>
          </w:p>
        </w:tc>
        <w:tc>
          <w:tcPr>
            <w:tcW w:w="91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5</w:t>
            </w:r>
          </w:p>
        </w:tc>
      </w:tr>
      <w:tr>
        <w:tblPrEx>
          <w:tblCellMar>
            <w:top w:w="0" w:type="dxa"/>
            <w:left w:w="108" w:type="dxa"/>
            <w:bottom w:w="0" w:type="dxa"/>
            <w:right w:w="108" w:type="dxa"/>
          </w:tblCellMar>
        </w:tblPrEx>
        <w:trPr>
          <w:trHeight w:val="473" w:hRule="atLeast"/>
        </w:trPr>
        <w:tc>
          <w:tcPr>
            <w:tcW w:w="0" w:type="auto"/>
            <w:vMerge w:val="continue"/>
            <w:tcBorders>
              <w:top w:val="nil"/>
              <w:left w:val="single" w:color="auto" w:sz="4" w:space="0"/>
              <w:bottom w:val="nil"/>
              <w:right w:val="single" w:color="auto" w:sz="4" w:space="0"/>
            </w:tcBorders>
            <w:vAlign w:val="center"/>
          </w:tcPr>
          <w:p>
            <w:pPr>
              <w:jc w:val="both"/>
              <w:rPr>
                <w:rFonts w:ascii="TimesNewRoman" w:hAnsi="TimesNewRoman" w:cs="TimesNewRoman"/>
                <w:sz w:val="20"/>
                <w:szCs w:val="20"/>
              </w:rPr>
            </w:pPr>
          </w:p>
        </w:tc>
        <w:tc>
          <w:tcPr>
            <w:tcW w:w="0" w:type="auto"/>
            <w:vMerge w:val="continue"/>
            <w:tcBorders>
              <w:top w:val="nil"/>
              <w:left w:val="single" w:color="auto" w:sz="4" w:space="0"/>
              <w:bottom w:val="nil"/>
              <w:right w:val="single" w:color="auto" w:sz="4" w:space="0"/>
            </w:tcBorders>
            <w:vAlign w:val="center"/>
          </w:tcPr>
          <w:p>
            <w:pPr>
              <w:jc w:val="both"/>
              <w:rPr>
                <w:rFonts w:ascii="TimesNewRoman" w:hAnsi="TimesNewRoman" w:cs="TimesNewRoman"/>
                <w:sz w:val="20"/>
                <w:szCs w:val="20"/>
              </w:rPr>
            </w:pPr>
          </w:p>
        </w:tc>
        <w:tc>
          <w:tcPr>
            <w:tcW w:w="684"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成本指标</w:t>
            </w:r>
          </w:p>
        </w:tc>
        <w:tc>
          <w:tcPr>
            <w:tcW w:w="1548" w:type="dxa"/>
            <w:gridSpan w:val="2"/>
            <w:tcBorders>
              <w:top w:val="single" w:color="auto" w:sz="4" w:space="0"/>
              <w:left w:val="nil"/>
              <w:bottom w:val="single" w:color="auto" w:sz="4" w:space="0"/>
              <w:right w:val="single" w:color="000000"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民事案件补贴标准</w:t>
            </w:r>
          </w:p>
        </w:tc>
        <w:tc>
          <w:tcPr>
            <w:tcW w:w="139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ascii="TimesNewRoman" w:hAnsi="TimesNewRoman" w:cs="TimesNewRoman"/>
                <w:color w:val="000000"/>
                <w:sz w:val="20"/>
                <w:szCs w:val="20"/>
              </w:rPr>
              <w:t>1800</w:t>
            </w:r>
            <w:r>
              <w:rPr>
                <w:rFonts w:hint="eastAsia" w:ascii="TimesNewRoman" w:hAnsi="TimesNewRoman" w:cs="TimesNewRoman"/>
                <w:color w:val="000000"/>
                <w:sz w:val="20"/>
                <w:szCs w:val="20"/>
              </w:rPr>
              <w:t>元</w:t>
            </w:r>
            <w:r>
              <w:rPr>
                <w:rFonts w:ascii="TimesNewRoman" w:hAnsi="TimesNewRoman" w:cs="TimesNewRoman"/>
                <w:color w:val="000000"/>
                <w:sz w:val="20"/>
                <w:szCs w:val="20"/>
              </w:rPr>
              <w:t>/</w:t>
            </w:r>
            <w:r>
              <w:rPr>
                <w:rFonts w:hint="eastAsia" w:ascii="TimesNewRoman" w:hAnsi="TimesNewRoman" w:cs="TimesNewRoman"/>
                <w:color w:val="000000"/>
                <w:sz w:val="20"/>
                <w:szCs w:val="20"/>
              </w:rPr>
              <w:t>件</w:t>
            </w:r>
          </w:p>
        </w:tc>
        <w:tc>
          <w:tcPr>
            <w:tcW w:w="606" w:type="dxa"/>
            <w:tcBorders>
              <w:top w:val="nil"/>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p>
        </w:tc>
        <w:tc>
          <w:tcPr>
            <w:tcW w:w="751" w:type="dxa"/>
            <w:tcBorders>
              <w:top w:val="nil"/>
              <w:left w:val="nil"/>
              <w:bottom w:val="single" w:color="auto" w:sz="4" w:space="0"/>
              <w:right w:val="single" w:color="auto" w:sz="4" w:space="0"/>
            </w:tcBorders>
            <w:shd w:val="clear" w:color="auto" w:fill="FFFFFF"/>
            <w:vAlign w:val="center"/>
          </w:tcPr>
          <w:p>
            <w:pPr>
              <w:jc w:val="center"/>
              <w:rPr>
                <w:rFonts w:ascii="TimesNewRoman" w:hAnsi="TimesNewRoman" w:cs="TimesNewRoman"/>
                <w:sz w:val="20"/>
                <w:szCs w:val="20"/>
              </w:rPr>
            </w:pPr>
            <w:r>
              <w:rPr>
                <w:rFonts w:ascii="TimesNewRoman" w:hAnsi="TimesNewRoman" w:cs="TimesNewRoman"/>
                <w:sz w:val="20"/>
                <w:szCs w:val="20"/>
              </w:rPr>
              <w:t>1800</w:t>
            </w:r>
            <w:r>
              <w:rPr>
                <w:rFonts w:hint="eastAsia" w:ascii="TimesNewRoman" w:hAnsi="TimesNewRoman" w:cs="TimesNewRoman"/>
                <w:sz w:val="20"/>
                <w:szCs w:val="20"/>
              </w:rPr>
              <w:t>元</w:t>
            </w:r>
            <w:r>
              <w:rPr>
                <w:rFonts w:ascii="TimesNewRoman" w:hAnsi="TimesNewRoman" w:cs="TimesNewRoman"/>
                <w:sz w:val="20"/>
                <w:szCs w:val="20"/>
              </w:rPr>
              <w:t>/</w:t>
            </w:r>
            <w:r>
              <w:rPr>
                <w:rFonts w:hint="eastAsia" w:ascii="TimesNewRoman" w:hAnsi="TimesNewRoman" w:cs="TimesNewRoman"/>
                <w:sz w:val="20"/>
                <w:szCs w:val="20"/>
              </w:rPr>
              <w:t>件</w:t>
            </w:r>
          </w:p>
        </w:tc>
        <w:tc>
          <w:tcPr>
            <w:tcW w:w="752"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100%</w:t>
            </w:r>
          </w:p>
        </w:tc>
        <w:tc>
          <w:tcPr>
            <w:tcW w:w="90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12.5</w:t>
            </w:r>
          </w:p>
        </w:tc>
        <w:tc>
          <w:tcPr>
            <w:tcW w:w="91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12.5</w:t>
            </w:r>
          </w:p>
        </w:tc>
      </w:tr>
      <w:tr>
        <w:tblPrEx>
          <w:tblCellMar>
            <w:top w:w="0" w:type="dxa"/>
            <w:left w:w="108" w:type="dxa"/>
            <w:bottom w:w="0" w:type="dxa"/>
            <w:right w:w="108" w:type="dxa"/>
          </w:tblCellMar>
        </w:tblPrEx>
        <w:trPr>
          <w:trHeight w:val="473" w:hRule="atLeast"/>
        </w:trPr>
        <w:tc>
          <w:tcPr>
            <w:tcW w:w="0" w:type="auto"/>
            <w:vMerge w:val="continue"/>
            <w:tcBorders>
              <w:top w:val="nil"/>
              <w:left w:val="single" w:color="auto" w:sz="4" w:space="0"/>
              <w:bottom w:val="nil"/>
              <w:right w:val="single" w:color="auto" w:sz="4" w:space="0"/>
            </w:tcBorders>
            <w:vAlign w:val="center"/>
          </w:tcPr>
          <w:p>
            <w:pPr>
              <w:jc w:val="both"/>
              <w:rPr>
                <w:rFonts w:ascii="TimesNewRoman" w:hAnsi="TimesNewRoman" w:cs="TimesNewRoman"/>
                <w:sz w:val="20"/>
                <w:szCs w:val="20"/>
              </w:rPr>
            </w:pPr>
          </w:p>
        </w:tc>
        <w:tc>
          <w:tcPr>
            <w:tcW w:w="0" w:type="auto"/>
            <w:vMerge w:val="continue"/>
            <w:tcBorders>
              <w:top w:val="nil"/>
              <w:left w:val="single" w:color="auto" w:sz="4" w:space="0"/>
              <w:bottom w:val="nil"/>
              <w:right w:val="single" w:color="auto" w:sz="4" w:space="0"/>
            </w:tcBorders>
            <w:vAlign w:val="center"/>
          </w:tcPr>
          <w:p>
            <w:pPr>
              <w:jc w:val="both"/>
              <w:rPr>
                <w:rFonts w:ascii="TimesNewRoman" w:hAnsi="TimesNewRoman" w:cs="TimesNewRoman"/>
                <w:sz w:val="20"/>
                <w:szCs w:val="20"/>
              </w:rPr>
            </w:pPr>
          </w:p>
        </w:tc>
        <w:tc>
          <w:tcPr>
            <w:tcW w:w="684"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时效指标</w:t>
            </w:r>
          </w:p>
        </w:tc>
        <w:tc>
          <w:tcPr>
            <w:tcW w:w="1548" w:type="dxa"/>
            <w:gridSpan w:val="2"/>
            <w:tcBorders>
              <w:top w:val="single" w:color="auto" w:sz="4" w:space="0"/>
              <w:left w:val="nil"/>
              <w:bottom w:val="single" w:color="auto" w:sz="4" w:space="0"/>
              <w:right w:val="single" w:color="000000"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及时有效提高法律援助服务</w:t>
            </w:r>
          </w:p>
        </w:tc>
        <w:tc>
          <w:tcPr>
            <w:tcW w:w="139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ascii="TimesNewRoman" w:hAnsi="TimesNewRoman" w:cs="TimesNewRoman"/>
                <w:color w:val="000000"/>
                <w:sz w:val="20"/>
                <w:szCs w:val="20"/>
              </w:rPr>
              <w:t>100%</w:t>
            </w:r>
          </w:p>
        </w:tc>
        <w:tc>
          <w:tcPr>
            <w:tcW w:w="606" w:type="dxa"/>
            <w:tcBorders>
              <w:top w:val="nil"/>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p>
        </w:tc>
        <w:tc>
          <w:tcPr>
            <w:tcW w:w="751" w:type="dxa"/>
            <w:tcBorders>
              <w:top w:val="nil"/>
              <w:left w:val="nil"/>
              <w:bottom w:val="single" w:color="auto" w:sz="4" w:space="0"/>
              <w:right w:val="single" w:color="auto" w:sz="4" w:space="0"/>
            </w:tcBorders>
            <w:shd w:val="clear" w:color="auto" w:fill="FFFFFF"/>
            <w:vAlign w:val="center"/>
          </w:tcPr>
          <w:p>
            <w:pPr>
              <w:jc w:val="center"/>
              <w:rPr>
                <w:rFonts w:ascii="TimesNewRoman" w:hAnsi="TimesNewRoman" w:cs="TimesNewRoman"/>
                <w:sz w:val="20"/>
                <w:szCs w:val="20"/>
              </w:rPr>
            </w:pPr>
            <w:r>
              <w:rPr>
                <w:rFonts w:ascii="TimesNewRoman" w:hAnsi="TimesNewRoman" w:cs="TimesNewRoman"/>
                <w:sz w:val="20"/>
                <w:szCs w:val="20"/>
              </w:rPr>
              <w:t>100%</w:t>
            </w:r>
          </w:p>
        </w:tc>
        <w:tc>
          <w:tcPr>
            <w:tcW w:w="752" w:type="dxa"/>
            <w:tcBorders>
              <w:top w:val="nil"/>
              <w:left w:val="nil"/>
              <w:bottom w:val="single" w:color="auto" w:sz="4" w:space="0"/>
              <w:right w:val="single" w:color="auto" w:sz="4" w:space="0"/>
            </w:tcBorders>
            <w:shd w:val="clear" w:color="auto" w:fill="FFFFFF"/>
            <w:vAlign w:val="center"/>
          </w:tcPr>
          <w:p>
            <w:pPr>
              <w:jc w:val="center"/>
              <w:rPr>
                <w:rFonts w:ascii="TimesNewRoman" w:hAnsi="TimesNewRoman" w:cs="TimesNewRoman"/>
                <w:sz w:val="20"/>
                <w:szCs w:val="20"/>
              </w:rPr>
            </w:pPr>
            <w:r>
              <w:rPr>
                <w:rFonts w:ascii="TimesNewRoman" w:hAnsi="TimesNewRoman" w:cs="TimesNewRoman"/>
                <w:sz w:val="20"/>
                <w:szCs w:val="20"/>
              </w:rPr>
              <w:t>100%</w:t>
            </w:r>
          </w:p>
        </w:tc>
        <w:tc>
          <w:tcPr>
            <w:tcW w:w="90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12.5</w:t>
            </w:r>
          </w:p>
        </w:tc>
        <w:tc>
          <w:tcPr>
            <w:tcW w:w="91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12.5</w:t>
            </w:r>
          </w:p>
        </w:tc>
      </w:tr>
      <w:tr>
        <w:tblPrEx>
          <w:tblCellMar>
            <w:top w:w="0" w:type="dxa"/>
            <w:left w:w="108" w:type="dxa"/>
            <w:bottom w:w="0" w:type="dxa"/>
            <w:right w:w="108" w:type="dxa"/>
          </w:tblCellMar>
        </w:tblPrEx>
        <w:trPr>
          <w:trHeight w:val="473" w:hRule="atLeast"/>
        </w:trPr>
        <w:tc>
          <w:tcPr>
            <w:tcW w:w="0" w:type="auto"/>
            <w:vMerge w:val="continue"/>
            <w:tcBorders>
              <w:top w:val="nil"/>
              <w:left w:val="single" w:color="auto" w:sz="4" w:space="0"/>
              <w:bottom w:val="nil"/>
              <w:right w:val="single" w:color="auto" w:sz="4" w:space="0"/>
            </w:tcBorders>
            <w:vAlign w:val="center"/>
          </w:tcPr>
          <w:p>
            <w:pPr>
              <w:jc w:val="both"/>
              <w:rPr>
                <w:rFonts w:ascii="TimesNewRoman" w:hAnsi="TimesNewRoman" w:cs="TimesNewRoman"/>
                <w:sz w:val="20"/>
                <w:szCs w:val="20"/>
              </w:rPr>
            </w:pPr>
          </w:p>
        </w:tc>
        <w:tc>
          <w:tcPr>
            <w:tcW w:w="595" w:type="dxa"/>
            <w:vMerge w:val="restart"/>
            <w:tcBorders>
              <w:top w:val="single" w:color="auto" w:sz="4" w:space="0"/>
              <w:left w:val="single" w:color="auto" w:sz="4" w:space="0"/>
              <w:bottom w:val="single" w:color="auto" w:sz="4" w:space="0"/>
              <w:right w:val="single" w:color="auto"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效益指标</w:t>
            </w:r>
          </w:p>
        </w:tc>
        <w:tc>
          <w:tcPr>
            <w:tcW w:w="684"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经济效益</w:t>
            </w:r>
          </w:p>
        </w:tc>
        <w:tc>
          <w:tcPr>
            <w:tcW w:w="1548" w:type="dxa"/>
            <w:gridSpan w:val="2"/>
            <w:tcBorders>
              <w:top w:val="single" w:color="auto" w:sz="4" w:space="0"/>
              <w:left w:val="nil"/>
              <w:bottom w:val="single" w:color="auto" w:sz="4" w:space="0"/>
              <w:right w:val="single" w:color="000000"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为当事人提供法律服务、减少当事人利益受损</w:t>
            </w:r>
          </w:p>
        </w:tc>
        <w:tc>
          <w:tcPr>
            <w:tcW w:w="139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ascii="TimesNewRoman" w:hAnsi="TimesNewRoman" w:cs="TimesNewRoman"/>
                <w:color w:val="000000"/>
                <w:sz w:val="20"/>
                <w:szCs w:val="20"/>
              </w:rPr>
              <w:t>100%</w:t>
            </w:r>
          </w:p>
        </w:tc>
        <w:tc>
          <w:tcPr>
            <w:tcW w:w="606" w:type="dxa"/>
            <w:tcBorders>
              <w:top w:val="nil"/>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p>
        </w:tc>
        <w:tc>
          <w:tcPr>
            <w:tcW w:w="751"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100%</w:t>
            </w:r>
          </w:p>
        </w:tc>
        <w:tc>
          <w:tcPr>
            <w:tcW w:w="752"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100%</w:t>
            </w:r>
          </w:p>
        </w:tc>
        <w:tc>
          <w:tcPr>
            <w:tcW w:w="90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15</w:t>
            </w:r>
          </w:p>
        </w:tc>
        <w:tc>
          <w:tcPr>
            <w:tcW w:w="91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15</w:t>
            </w:r>
          </w:p>
        </w:tc>
      </w:tr>
      <w:tr>
        <w:tblPrEx>
          <w:tblCellMar>
            <w:top w:w="0" w:type="dxa"/>
            <w:left w:w="108" w:type="dxa"/>
            <w:bottom w:w="0" w:type="dxa"/>
            <w:right w:w="108" w:type="dxa"/>
          </w:tblCellMar>
        </w:tblPrEx>
        <w:trPr>
          <w:trHeight w:val="473" w:hRule="atLeast"/>
        </w:trPr>
        <w:tc>
          <w:tcPr>
            <w:tcW w:w="0" w:type="auto"/>
            <w:vMerge w:val="continue"/>
            <w:tcBorders>
              <w:top w:val="nil"/>
              <w:left w:val="single" w:color="auto" w:sz="4" w:space="0"/>
              <w:bottom w:val="nil"/>
              <w:right w:val="single" w:color="auto" w:sz="4" w:space="0"/>
            </w:tcBorders>
            <w:vAlign w:val="center"/>
          </w:tcPr>
          <w:p>
            <w:pPr>
              <w:jc w:val="both"/>
              <w:rPr>
                <w:rFonts w:ascii="TimesNewRoman" w:hAnsi="TimesNewRoman" w:cs="TimesNewRoman"/>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cs="TimesNewRoman"/>
                <w:sz w:val="20"/>
                <w:szCs w:val="20"/>
              </w:rPr>
            </w:pPr>
          </w:p>
        </w:tc>
        <w:tc>
          <w:tcPr>
            <w:tcW w:w="684"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社会效益</w:t>
            </w:r>
          </w:p>
        </w:tc>
        <w:tc>
          <w:tcPr>
            <w:tcW w:w="1548" w:type="dxa"/>
            <w:gridSpan w:val="2"/>
            <w:tcBorders>
              <w:top w:val="single" w:color="auto" w:sz="4" w:space="0"/>
              <w:left w:val="nil"/>
              <w:bottom w:val="single" w:color="auto" w:sz="4" w:space="0"/>
              <w:right w:val="single" w:color="000000"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接收援助的群体和个人满意度</w:t>
            </w:r>
          </w:p>
        </w:tc>
        <w:tc>
          <w:tcPr>
            <w:tcW w:w="139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ascii="TimesNewRoman" w:hAnsi="TimesNewRoman" w:cs="TimesNewRoman"/>
                <w:color w:val="000000"/>
                <w:sz w:val="20"/>
                <w:szCs w:val="20"/>
              </w:rPr>
              <w:t>100%</w:t>
            </w:r>
          </w:p>
        </w:tc>
        <w:tc>
          <w:tcPr>
            <w:tcW w:w="606" w:type="dxa"/>
            <w:tcBorders>
              <w:top w:val="nil"/>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p>
        </w:tc>
        <w:tc>
          <w:tcPr>
            <w:tcW w:w="751"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95%</w:t>
            </w:r>
          </w:p>
        </w:tc>
        <w:tc>
          <w:tcPr>
            <w:tcW w:w="752"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50%</w:t>
            </w:r>
          </w:p>
        </w:tc>
        <w:tc>
          <w:tcPr>
            <w:tcW w:w="90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15</w:t>
            </w:r>
          </w:p>
        </w:tc>
        <w:tc>
          <w:tcPr>
            <w:tcW w:w="919" w:type="dxa"/>
            <w:tcBorders>
              <w:top w:val="nil"/>
              <w:left w:val="nil"/>
              <w:bottom w:val="single" w:color="auto" w:sz="4" w:space="0"/>
              <w:right w:val="single" w:color="auto" w:sz="4" w:space="0"/>
            </w:tcBorders>
            <w:vAlign w:val="center"/>
          </w:tcPr>
          <w:p>
            <w:pPr>
              <w:jc w:val="center"/>
              <w:rPr>
                <w:rFonts w:ascii="TimesNewRoman" w:hAnsi="TimesNewRoman" w:cs="TimesNewRoman"/>
                <w:color w:val="000000"/>
                <w:sz w:val="20"/>
                <w:szCs w:val="20"/>
              </w:rPr>
            </w:pPr>
            <w:r>
              <w:rPr>
                <w:rFonts w:ascii="TimesNewRoman" w:hAnsi="TimesNewRoman" w:cs="TimesNewRoman"/>
                <w:color w:val="000000"/>
                <w:sz w:val="20"/>
                <w:szCs w:val="20"/>
              </w:rPr>
              <w:t>7.5</w:t>
            </w:r>
          </w:p>
        </w:tc>
      </w:tr>
      <w:tr>
        <w:tblPrEx>
          <w:tblCellMar>
            <w:top w:w="0" w:type="dxa"/>
            <w:left w:w="108" w:type="dxa"/>
            <w:bottom w:w="0" w:type="dxa"/>
            <w:right w:w="108" w:type="dxa"/>
          </w:tblCellMar>
        </w:tblPrEx>
        <w:trPr>
          <w:trHeight w:val="473" w:hRule="atLeast"/>
        </w:trPr>
        <w:tc>
          <w:tcPr>
            <w:tcW w:w="0" w:type="auto"/>
            <w:vMerge w:val="continue"/>
            <w:tcBorders>
              <w:top w:val="nil"/>
              <w:left w:val="single" w:color="auto" w:sz="4" w:space="0"/>
              <w:bottom w:val="nil"/>
              <w:right w:val="single" w:color="auto" w:sz="4" w:space="0"/>
            </w:tcBorders>
            <w:vAlign w:val="center"/>
          </w:tcPr>
          <w:p>
            <w:pPr>
              <w:jc w:val="both"/>
              <w:rPr>
                <w:rFonts w:ascii="TimesNewRoman" w:hAnsi="TimesNewRoman" w:cs="TimesNewRoman"/>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cs="TimesNewRoman"/>
                <w:sz w:val="20"/>
                <w:szCs w:val="20"/>
              </w:rPr>
            </w:pPr>
          </w:p>
        </w:tc>
        <w:tc>
          <w:tcPr>
            <w:tcW w:w="684"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生态效益</w:t>
            </w:r>
          </w:p>
        </w:tc>
        <w:tc>
          <w:tcPr>
            <w:tcW w:w="1548" w:type="dxa"/>
            <w:gridSpan w:val="2"/>
            <w:tcBorders>
              <w:top w:val="single" w:color="auto" w:sz="4" w:space="0"/>
              <w:left w:val="nil"/>
              <w:bottom w:val="single" w:color="auto" w:sz="4" w:space="0"/>
              <w:right w:val="single" w:color="000000"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　</w:t>
            </w:r>
          </w:p>
        </w:tc>
        <w:tc>
          <w:tcPr>
            <w:tcW w:w="139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p>
        </w:tc>
        <w:tc>
          <w:tcPr>
            <w:tcW w:w="606" w:type="dxa"/>
            <w:tcBorders>
              <w:top w:val="nil"/>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p>
        </w:tc>
        <w:tc>
          <w:tcPr>
            <w:tcW w:w="751"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p>
        </w:tc>
        <w:tc>
          <w:tcPr>
            <w:tcW w:w="752"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p>
        </w:tc>
        <w:tc>
          <w:tcPr>
            <w:tcW w:w="90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p>
        </w:tc>
        <w:tc>
          <w:tcPr>
            <w:tcW w:w="91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p>
        </w:tc>
      </w:tr>
      <w:tr>
        <w:tblPrEx>
          <w:tblCellMar>
            <w:top w:w="0" w:type="dxa"/>
            <w:left w:w="108" w:type="dxa"/>
            <w:bottom w:w="0" w:type="dxa"/>
            <w:right w:w="108" w:type="dxa"/>
          </w:tblCellMar>
        </w:tblPrEx>
        <w:trPr>
          <w:trHeight w:val="473" w:hRule="atLeast"/>
        </w:trPr>
        <w:tc>
          <w:tcPr>
            <w:tcW w:w="0" w:type="auto"/>
            <w:vMerge w:val="continue"/>
            <w:tcBorders>
              <w:top w:val="nil"/>
              <w:left w:val="single" w:color="auto" w:sz="4" w:space="0"/>
              <w:bottom w:val="nil"/>
              <w:right w:val="single" w:color="auto" w:sz="4" w:space="0"/>
            </w:tcBorders>
            <w:vAlign w:val="center"/>
          </w:tcPr>
          <w:p>
            <w:pPr>
              <w:jc w:val="both"/>
              <w:rPr>
                <w:rFonts w:ascii="TimesNewRoman" w:hAnsi="TimesNewRoman" w:cs="TimesNewRoman"/>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NewRoman" w:hAnsi="TimesNewRoman" w:cs="TimesNewRoman"/>
                <w:sz w:val="20"/>
                <w:szCs w:val="20"/>
              </w:rPr>
            </w:pPr>
          </w:p>
        </w:tc>
        <w:tc>
          <w:tcPr>
            <w:tcW w:w="684"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可持续影响</w:t>
            </w:r>
          </w:p>
        </w:tc>
        <w:tc>
          <w:tcPr>
            <w:tcW w:w="1548" w:type="dxa"/>
            <w:gridSpan w:val="2"/>
            <w:tcBorders>
              <w:top w:val="single" w:color="auto" w:sz="4" w:space="0"/>
              <w:left w:val="nil"/>
              <w:bottom w:val="single" w:color="auto" w:sz="4" w:space="0"/>
              <w:right w:val="single" w:color="000000"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　</w:t>
            </w:r>
          </w:p>
        </w:tc>
        <w:tc>
          <w:tcPr>
            <w:tcW w:w="139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p>
        </w:tc>
        <w:tc>
          <w:tcPr>
            <w:tcW w:w="606" w:type="dxa"/>
            <w:tcBorders>
              <w:top w:val="nil"/>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p>
        </w:tc>
        <w:tc>
          <w:tcPr>
            <w:tcW w:w="751"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p>
        </w:tc>
        <w:tc>
          <w:tcPr>
            <w:tcW w:w="752"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p>
        </w:tc>
        <w:tc>
          <w:tcPr>
            <w:tcW w:w="90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p>
        </w:tc>
        <w:tc>
          <w:tcPr>
            <w:tcW w:w="91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p>
        </w:tc>
      </w:tr>
      <w:tr>
        <w:tblPrEx>
          <w:tblCellMar>
            <w:top w:w="0" w:type="dxa"/>
            <w:left w:w="108" w:type="dxa"/>
            <w:bottom w:w="0" w:type="dxa"/>
            <w:right w:w="108" w:type="dxa"/>
          </w:tblCellMar>
        </w:tblPrEx>
        <w:trPr>
          <w:trHeight w:val="572" w:hRule="atLeast"/>
        </w:trPr>
        <w:tc>
          <w:tcPr>
            <w:tcW w:w="0" w:type="auto"/>
            <w:vMerge w:val="continue"/>
            <w:tcBorders>
              <w:top w:val="nil"/>
              <w:left w:val="single" w:color="auto" w:sz="4" w:space="0"/>
              <w:bottom w:val="nil"/>
              <w:right w:val="single" w:color="auto" w:sz="4" w:space="0"/>
            </w:tcBorders>
            <w:vAlign w:val="center"/>
          </w:tcPr>
          <w:p>
            <w:pPr>
              <w:jc w:val="both"/>
              <w:rPr>
                <w:rFonts w:ascii="TimesNewRoman" w:hAnsi="TimesNewRoman" w:cs="TimesNewRoman"/>
                <w:sz w:val="20"/>
                <w:szCs w:val="20"/>
              </w:rPr>
            </w:pPr>
          </w:p>
        </w:tc>
        <w:tc>
          <w:tcPr>
            <w:tcW w:w="595" w:type="dxa"/>
            <w:tcBorders>
              <w:top w:val="nil"/>
              <w:left w:val="nil"/>
              <w:bottom w:val="single" w:color="auto" w:sz="4" w:space="0"/>
              <w:right w:val="single" w:color="auto"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满意度指标</w:t>
            </w:r>
          </w:p>
        </w:tc>
        <w:tc>
          <w:tcPr>
            <w:tcW w:w="684" w:type="dxa"/>
            <w:tcBorders>
              <w:top w:val="nil"/>
              <w:left w:val="nil"/>
              <w:bottom w:val="single" w:color="auto" w:sz="4" w:space="0"/>
              <w:right w:val="single" w:color="auto"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满意度指标（</w:t>
            </w:r>
            <w:r>
              <w:rPr>
                <w:rFonts w:ascii="TimesNewRoman" w:hAnsi="TimesNewRoman" w:cs="TimesNewRoman"/>
                <w:color w:val="000000"/>
                <w:sz w:val="20"/>
                <w:szCs w:val="20"/>
              </w:rPr>
              <w:t>10</w:t>
            </w:r>
            <w:r>
              <w:rPr>
                <w:rFonts w:hint="eastAsia" w:ascii="TimesNewRoman" w:hAnsi="TimesNewRoman" w:cs="TimesNewRoman"/>
                <w:color w:val="000000"/>
                <w:sz w:val="20"/>
                <w:szCs w:val="20"/>
              </w:rPr>
              <w:t>分）</w:t>
            </w:r>
          </w:p>
        </w:tc>
        <w:tc>
          <w:tcPr>
            <w:tcW w:w="1548" w:type="dxa"/>
            <w:gridSpan w:val="2"/>
            <w:tcBorders>
              <w:top w:val="single" w:color="auto" w:sz="4" w:space="0"/>
              <w:left w:val="nil"/>
              <w:bottom w:val="single" w:color="auto" w:sz="4" w:space="0"/>
              <w:right w:val="single" w:color="000000" w:sz="4" w:space="0"/>
            </w:tcBorders>
            <w:shd w:val="clear" w:color="auto" w:fill="FFFFFF"/>
            <w:vAlign w:val="center"/>
          </w:tcPr>
          <w:p>
            <w:pPr>
              <w:jc w:val="both"/>
              <w:rPr>
                <w:rFonts w:ascii="TimesNewRoman" w:hAnsi="TimesNewRoman" w:cs="TimesNewRoman"/>
                <w:color w:val="000000"/>
                <w:sz w:val="20"/>
                <w:szCs w:val="20"/>
              </w:rPr>
            </w:pPr>
            <w:r>
              <w:rPr>
                <w:rFonts w:hint="eastAsia" w:ascii="TimesNewRoman" w:hAnsi="TimesNewRoman" w:cs="TimesNewRoman"/>
                <w:color w:val="000000"/>
                <w:sz w:val="20"/>
                <w:szCs w:val="20"/>
              </w:rPr>
              <w:t>服务对象满意度</w:t>
            </w:r>
          </w:p>
        </w:tc>
        <w:tc>
          <w:tcPr>
            <w:tcW w:w="139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r>
              <w:rPr>
                <w:rFonts w:ascii="TimesNewRoman" w:hAnsi="TimesNewRoman" w:cs="TimesNewRoman"/>
                <w:color w:val="000000"/>
                <w:sz w:val="20"/>
                <w:szCs w:val="20"/>
              </w:rPr>
              <w:t>95%</w:t>
            </w:r>
          </w:p>
        </w:tc>
        <w:tc>
          <w:tcPr>
            <w:tcW w:w="606" w:type="dxa"/>
            <w:tcBorders>
              <w:top w:val="nil"/>
              <w:left w:val="nil"/>
              <w:bottom w:val="single" w:color="auto" w:sz="4" w:space="0"/>
              <w:right w:val="single" w:color="auto" w:sz="4" w:space="0"/>
            </w:tcBorders>
            <w:shd w:val="clear" w:color="auto" w:fill="FFFFFF"/>
            <w:vAlign w:val="center"/>
          </w:tcPr>
          <w:p>
            <w:pPr>
              <w:jc w:val="center"/>
              <w:rPr>
                <w:rFonts w:ascii="TimesNewRoman" w:hAnsi="TimesNewRoman" w:cs="TimesNewRoman"/>
                <w:color w:val="000000"/>
                <w:sz w:val="20"/>
                <w:szCs w:val="20"/>
              </w:rPr>
            </w:pPr>
          </w:p>
        </w:tc>
        <w:tc>
          <w:tcPr>
            <w:tcW w:w="751"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90%</w:t>
            </w:r>
          </w:p>
        </w:tc>
        <w:tc>
          <w:tcPr>
            <w:tcW w:w="752"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47%</w:t>
            </w:r>
          </w:p>
        </w:tc>
        <w:tc>
          <w:tcPr>
            <w:tcW w:w="90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10</w:t>
            </w:r>
          </w:p>
        </w:tc>
        <w:tc>
          <w:tcPr>
            <w:tcW w:w="919" w:type="dxa"/>
            <w:tcBorders>
              <w:top w:val="nil"/>
              <w:left w:val="nil"/>
              <w:bottom w:val="single" w:color="auto" w:sz="4" w:space="0"/>
              <w:right w:val="single" w:color="auto" w:sz="4" w:space="0"/>
            </w:tcBorders>
            <w:vAlign w:val="center"/>
          </w:tcPr>
          <w:p>
            <w:pPr>
              <w:jc w:val="center"/>
              <w:rPr>
                <w:rFonts w:ascii="TimesNewRoman" w:hAnsi="TimesNewRoman" w:cs="TimesNewRoman"/>
                <w:sz w:val="20"/>
                <w:szCs w:val="20"/>
              </w:rPr>
            </w:pPr>
            <w:r>
              <w:rPr>
                <w:rFonts w:ascii="TimesNewRoman" w:hAnsi="TimesNewRoman" w:cs="TimesNewRoman"/>
                <w:sz w:val="20"/>
                <w:szCs w:val="20"/>
              </w:rPr>
              <w:t>4.7</w:t>
            </w:r>
          </w:p>
        </w:tc>
      </w:tr>
      <w:tr>
        <w:tblPrEx>
          <w:tblCellMar>
            <w:top w:w="0" w:type="dxa"/>
            <w:left w:w="108" w:type="dxa"/>
            <w:bottom w:w="0" w:type="dxa"/>
            <w:right w:w="108" w:type="dxa"/>
          </w:tblCellMar>
        </w:tblPrEx>
        <w:trPr>
          <w:trHeight w:val="572" w:hRule="atLeast"/>
        </w:trPr>
        <w:tc>
          <w:tcPr>
            <w:tcW w:w="998" w:type="dxa"/>
            <w:vMerge w:val="restart"/>
            <w:tcBorders>
              <w:top w:val="single" w:color="auto" w:sz="4" w:space="0"/>
              <w:left w:val="single" w:color="auto" w:sz="4" w:space="0"/>
              <w:bottom w:val="single" w:color="000000" w:sz="4" w:space="0"/>
              <w:right w:val="single" w:color="auto" w:sz="4" w:space="0"/>
            </w:tcBorders>
            <w:vAlign w:val="center"/>
          </w:tcPr>
          <w:p>
            <w:pPr>
              <w:jc w:val="both"/>
              <w:rPr>
                <w:rFonts w:ascii="TimesNewRoman" w:hAnsi="TimesNewRoman" w:cs="TimesNewRoman"/>
                <w:sz w:val="20"/>
                <w:szCs w:val="20"/>
              </w:rPr>
            </w:pPr>
            <w:r>
              <w:rPr>
                <w:rFonts w:hint="eastAsia" w:ascii="TimesNewRoman" w:hAnsi="TimesNewRoman" w:cs="TimesNewRoman"/>
                <w:sz w:val="20"/>
                <w:szCs w:val="20"/>
              </w:rPr>
              <w:t>绩效目标未全部完成原因分析及整改措施</w:t>
            </w:r>
          </w:p>
        </w:tc>
        <w:tc>
          <w:tcPr>
            <w:tcW w:w="8154" w:type="dxa"/>
            <w:gridSpan w:val="12"/>
            <w:tcBorders>
              <w:top w:val="single" w:color="auto" w:sz="4" w:space="0"/>
              <w:left w:val="nil"/>
              <w:bottom w:val="single" w:color="auto" w:sz="4" w:space="0"/>
              <w:right w:val="single" w:color="000000" w:sz="4" w:space="0"/>
            </w:tcBorders>
            <w:vAlign w:val="center"/>
          </w:tcPr>
          <w:p>
            <w:pPr>
              <w:jc w:val="both"/>
              <w:rPr>
                <w:rFonts w:ascii="TimesNewRoman" w:hAnsi="TimesNewRoman" w:cs="TimesNewRoman"/>
                <w:sz w:val="20"/>
                <w:szCs w:val="20"/>
              </w:rPr>
            </w:pPr>
            <w:r>
              <w:rPr>
                <w:rFonts w:hint="eastAsia" w:ascii="TimesNewRoman" w:hAnsi="TimesNewRoman" w:cs="TimesNewRoman"/>
                <w:sz w:val="20"/>
                <w:szCs w:val="20"/>
              </w:rPr>
              <w:t>一、未全部完成原因分析</w:t>
            </w:r>
            <w:r>
              <w:rPr>
                <w:rFonts w:ascii="TimesNewRoman" w:hAnsi="TimesNewRoman" w:cs="TimesNewRoman"/>
                <w:sz w:val="20"/>
                <w:szCs w:val="20"/>
              </w:rPr>
              <w:t>:</w:t>
            </w:r>
            <w:r>
              <w:rPr>
                <w:rFonts w:hint="eastAsia" w:ascii="TimesNewRoman" w:hAnsi="TimesNewRoman" w:cs="TimesNewRoman"/>
                <w:sz w:val="20"/>
                <w:szCs w:val="20"/>
              </w:rPr>
              <w:t>加大对法律援助服务的力度。</w:t>
            </w:r>
          </w:p>
        </w:tc>
      </w:tr>
      <w:tr>
        <w:tblPrEx>
          <w:tblCellMar>
            <w:top w:w="0" w:type="dxa"/>
            <w:left w:w="108" w:type="dxa"/>
            <w:bottom w:w="0" w:type="dxa"/>
            <w:right w:w="108" w:type="dxa"/>
          </w:tblCellMar>
        </w:tblPrEx>
        <w:trPr>
          <w:trHeight w:val="572"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NewRoman" w:hAnsi="TimesNewRoman" w:cs="TimesNewRoman"/>
                <w:sz w:val="20"/>
                <w:szCs w:val="20"/>
              </w:rPr>
            </w:pPr>
          </w:p>
        </w:tc>
        <w:tc>
          <w:tcPr>
            <w:tcW w:w="8154" w:type="dxa"/>
            <w:gridSpan w:val="12"/>
            <w:tcBorders>
              <w:top w:val="single" w:color="auto" w:sz="4" w:space="0"/>
              <w:left w:val="nil"/>
              <w:bottom w:val="single" w:color="auto" w:sz="4" w:space="0"/>
              <w:right w:val="single" w:color="000000" w:sz="4" w:space="0"/>
            </w:tcBorders>
            <w:vAlign w:val="center"/>
          </w:tcPr>
          <w:p>
            <w:pPr>
              <w:jc w:val="both"/>
              <w:rPr>
                <w:rFonts w:ascii="TimesNewRoman" w:hAnsi="TimesNewRoman" w:cs="TimesNewRoman"/>
                <w:sz w:val="20"/>
                <w:szCs w:val="20"/>
              </w:rPr>
            </w:pPr>
            <w:r>
              <w:rPr>
                <w:rFonts w:hint="eastAsia" w:ascii="TimesNewRoman" w:hAnsi="TimesNewRoman" w:cs="TimesNewRoman"/>
                <w:sz w:val="20"/>
                <w:szCs w:val="20"/>
              </w:rPr>
              <w:t>二、整改措施：全面开展好法律援助工作。</w:t>
            </w:r>
          </w:p>
        </w:tc>
      </w:tr>
    </w:tbl>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2.</w:t>
      </w:r>
      <w:r>
        <w:rPr>
          <w:rFonts w:hint="eastAsia" w:ascii="TimesNewRoman" w:hAnsi="TimesNewRoman" w:eastAsia="方正仿宋_GBK" w:cs="TimesNewRoman"/>
          <w:sz w:val="32"/>
          <w:szCs w:val="32"/>
        </w:rPr>
        <w:t>绩效自评报告或案例</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本单位</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年没有委托第三方开展绩效自评。</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3.</w:t>
      </w:r>
      <w:r>
        <w:rPr>
          <w:rFonts w:hint="eastAsia" w:ascii="TimesNewRoman" w:hAnsi="TimesNewRoman" w:eastAsia="方正仿宋_GBK" w:cs="TimesNewRoman"/>
          <w:sz w:val="32"/>
          <w:szCs w:val="32"/>
        </w:rPr>
        <w:t>关于绩效自评结果的说明</w:t>
      </w:r>
    </w:p>
    <w:p>
      <w:pPr>
        <w:spacing w:line="594" w:lineRule="exact"/>
        <w:ind w:left="641" w:leftChars="267"/>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严格按照财政的规定对本年度绩效评价全面完成。</w:t>
      </w:r>
      <w:r>
        <w:rPr>
          <w:rFonts w:hint="eastAsia" w:ascii="TimesNewRoman" w:hAnsi="TimesNewRoman" w:eastAsia="方正楷体_GBK" w:cs="TimesNewRoman"/>
          <w:sz w:val="32"/>
          <w:szCs w:val="32"/>
        </w:rPr>
        <w:t>（三）重点绩效评价结果</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本单位</w:t>
      </w:r>
      <w:r>
        <w:rPr>
          <w:rFonts w:ascii="TimesNewRoman" w:hAnsi="TimesNewRoman" w:eastAsia="方正仿宋_GBK" w:cs="TimesNewRoman"/>
          <w:sz w:val="32"/>
          <w:szCs w:val="32"/>
        </w:rPr>
        <w:t>2021</w:t>
      </w:r>
      <w:r>
        <w:rPr>
          <w:rFonts w:hint="eastAsia" w:ascii="TimesNewRoman" w:hAnsi="TimesNewRoman" w:eastAsia="方正仿宋_GBK" w:cs="TimesNewRoman"/>
          <w:sz w:val="32"/>
          <w:szCs w:val="32"/>
        </w:rPr>
        <w:t>年没有县财政委托第三方开展重点绩效评价。</w:t>
      </w:r>
    </w:p>
    <w:p>
      <w:pPr>
        <w:spacing w:line="594" w:lineRule="exact"/>
        <w:ind w:firstLine="640" w:firstLineChars="200"/>
        <w:jc w:val="both"/>
        <w:rPr>
          <w:rFonts w:ascii="TimesNewRoman" w:hAnsi="TimesNewRoman" w:eastAsia="方正黑体_GBK" w:cs="TimesNewRoman"/>
          <w:sz w:val="32"/>
          <w:szCs w:val="32"/>
        </w:rPr>
      </w:pPr>
      <w:r>
        <w:rPr>
          <w:rFonts w:ascii="TimesNewRoman" w:hAnsi="TimesNewRoman" w:eastAsia="方正仿宋_GBK" w:cs="TimesNewRoman"/>
          <w:sz w:val="32"/>
          <w:szCs w:val="32"/>
        </w:rPr>
        <w:t> </w:t>
      </w:r>
      <w:r>
        <w:rPr>
          <w:rFonts w:ascii="TimesNewRoman" w:hAnsi="TimesNewRoman" w:eastAsia="方正黑体_GBK" w:cs="TimesNewRoman"/>
          <w:sz w:val="32"/>
          <w:szCs w:val="32"/>
        </w:rPr>
        <w:t xml:space="preserve"> </w:t>
      </w:r>
      <w:r>
        <w:rPr>
          <w:rFonts w:hint="eastAsia" w:ascii="TimesNewRoman" w:hAnsi="TimesNewRoman" w:eastAsia="方正黑体_GBK" w:cs="TimesNewRoman"/>
          <w:sz w:val="32"/>
          <w:szCs w:val="32"/>
        </w:rPr>
        <w:t>六、专业名词解释</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 xml:space="preserve">  </w:t>
      </w:r>
      <w:r>
        <w:rPr>
          <w:rFonts w:hint="eastAsia" w:ascii="TimesNewRoman" w:hAnsi="TimesNewRoman" w:eastAsia="方正仿宋_GBK" w:cs="TimesNewRoman"/>
          <w:sz w:val="32"/>
          <w:szCs w:val="32"/>
        </w:rPr>
        <w:t>以下为常见专业名词解释目录，仅供参考，部门应根据实际情况进行解释和增减。比如可将类级功能科目和经济科目细化解释到项级。若有删减注意调整段落序号。</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 xml:space="preserve"> </w:t>
      </w:r>
      <w:r>
        <w:rPr>
          <w:rFonts w:hint="eastAsia" w:ascii="TimesNewRoman" w:hAnsi="TimesNewRoman" w:eastAsia="方正仿宋_GBK" w:cs="TimesNewRoman"/>
          <w:sz w:val="32"/>
          <w:szCs w:val="32"/>
        </w:rPr>
        <w:t>（一）财政拨款收入：指本年度从本级财政部门取得的财政拨款，包括一般公共预算财政拨款和政府性基金预算财政拨款。</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（二）事业收入：指事业单位开展专业业务活动及其辅助活动取得的现金流入；事业单位收到的财政专户实际核拨的教育收费等资金在此反映。</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（三）经营收入：指事业单位在专业业务活动及其辅助活动之外开展非独立核算经营活动取得的现金流入。</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（四）其他收入：指单位取得的除</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财政拨款收入</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事业收入</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经营收入</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（五）使用非财政拨款结余：指单位在当年的</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财政拨款收入</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事业收入</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经营收入</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其他收入</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等不足以安排当年支出的情况下，使用以前年度积累的非财政拨款结余弥补本年度收支缺口的资金。</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（六）年初结转和结余：指单位上年结转本年使用的基本支出结转、项目支出结转和结余、经营结余。</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（七）结余分配：指单位按照国家有关规定，缴纳所得税、提取专用基金、转入非财政拨款结余等当年结余的分配情况。</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（八）年末结转和结余：指单位结转下年的基本支出结转、项目支出结转和结余、经营结余。</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（九）基本支出：指为保障机构正常运转、完成日常工作任务而发生的人员经费和公用经费。其中：人员经费指政府收支分类经济科目中的</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工资福利支出</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和</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对个人和家庭的补助</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；公用经费指政府收支分类经济科目中除</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工资福利支出</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和</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对个人和家庭的补助</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外的其他支出。</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（十）项目支出：指在基本支出之外为完成特定行政任务和事业发展目标所发生的支出。</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（十一）经营支出：指事业单位在专业业务活动及其辅助活动之外开展非独立核算经营活动发生的支出。</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（十二）</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三公</w:t>
      </w:r>
      <w:r>
        <w:rPr>
          <w:rFonts w:ascii="TimesNewRoman" w:hAnsi="TimesNewRoman" w:eastAsia="方正仿宋_GBK" w:cs="TimesNewRoman"/>
          <w:sz w:val="32"/>
          <w:szCs w:val="32"/>
        </w:rPr>
        <w:t>”</w:t>
      </w:r>
      <w:r>
        <w:rPr>
          <w:rFonts w:hint="eastAsia" w:ascii="TimesNewRoman" w:hAnsi="TimesNewRoman" w:eastAsia="方正仿宋_GBK" w:cs="TimesNewRoman"/>
          <w:sz w:val="32"/>
          <w:szCs w:val="32"/>
        </w:rPr>
        <w:t>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94" w:lineRule="exact"/>
        <w:ind w:firstLine="640" w:firstLineChars="200"/>
        <w:jc w:val="both"/>
        <w:rPr>
          <w:rFonts w:ascii="TimesNewRoman" w:hAnsi="TimesNewRoman" w:eastAsia="方正仿宋_GBK" w:cs="TimesNewRoman"/>
          <w:sz w:val="32"/>
          <w:szCs w:val="32"/>
        </w:rPr>
      </w:pPr>
      <w:r>
        <w:rPr>
          <w:rFonts w:ascii="TimesNewRoman" w:hAnsi="TimesNewRoman" w:eastAsia="方正仿宋_GBK" w:cs="TimesNewRoman"/>
          <w:sz w:val="32"/>
          <w:szCs w:val="32"/>
        </w:rPr>
        <w:t xml:space="preserve"> </w:t>
      </w:r>
      <w:r>
        <w:rPr>
          <w:rFonts w:hint="eastAsia" w:ascii="TimesNewRoman" w:hAnsi="TimesNewRoman" w:eastAsia="方正仿宋_GBK" w:cs="TimesNewRoman"/>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（十四）工资福利支出（支出经济分类科目类级）：反映单位开支的在职职工和编制外长期聘用人员的各类劳动报酬，以及为上述人员缴纳的各项社会保险费等。</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（十五）商品和服务支出（支出经济分类科目类级）：反映单位购买商品和服务的支出（不包括用于购置固定资产的支出、战略性和应急储备支出）。</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（十六）对个人和家庭的补助（支出经济分类科目类级）：反映用于对个人和家庭的补助支出。</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spacing w:line="594" w:lineRule="exact"/>
        <w:ind w:firstLine="640" w:firstLineChars="200"/>
        <w:jc w:val="both"/>
        <w:rPr>
          <w:rFonts w:ascii="TimesNewRoman" w:hAnsi="TimesNewRoman" w:eastAsia="方正黑体_GBK" w:cs="TimesNewRoman"/>
          <w:sz w:val="32"/>
          <w:szCs w:val="32"/>
        </w:rPr>
      </w:pPr>
      <w:r>
        <w:rPr>
          <w:rFonts w:hint="eastAsia" w:ascii="TimesNewRoman" w:hAnsi="TimesNewRoman" w:eastAsia="方正黑体_GBK" w:cs="TimesNewRoman"/>
          <w:sz w:val="32"/>
          <w:szCs w:val="32"/>
        </w:rPr>
        <w:t>七、决算公开联系方式及信息反馈渠道</w:t>
      </w:r>
    </w:p>
    <w:p>
      <w:pPr>
        <w:spacing w:line="594" w:lineRule="exact"/>
        <w:ind w:firstLine="640" w:firstLineChars="200"/>
        <w:jc w:val="both"/>
        <w:rPr>
          <w:rFonts w:ascii="TimesNewRoman" w:hAnsi="TimesNewRoman" w:eastAsia="方正仿宋_GBK" w:cs="TimesNewRoman"/>
          <w:sz w:val="32"/>
          <w:szCs w:val="32"/>
        </w:rPr>
      </w:pPr>
      <w:r>
        <w:rPr>
          <w:rFonts w:hint="eastAsia" w:ascii="TimesNewRoman" w:hAnsi="TimesNewRoman" w:eastAsia="方正仿宋_GBK" w:cs="TimesNewRoman"/>
          <w:sz w:val="32"/>
          <w:szCs w:val="32"/>
        </w:rPr>
        <w:t>本单位决算公开信息反馈和联系方式：</w:t>
      </w:r>
      <w:r>
        <w:rPr>
          <w:rFonts w:ascii="TimesNewRoman" w:hAnsi="TimesNewRoman" w:eastAsia="方正仿宋_GBK" w:cs="TimesNewRoman"/>
          <w:sz w:val="32"/>
          <w:szCs w:val="32"/>
        </w:rPr>
        <w:t>023-74512547</w:t>
      </w:r>
      <w:r>
        <w:rPr>
          <w:rFonts w:hint="eastAsia" w:ascii="TimesNewRoman" w:hAnsi="TimesNewRoman" w:eastAsia="方正仿宋_GBK" w:cs="TimesNewRoman"/>
          <w:sz w:val="32"/>
          <w:szCs w:val="32"/>
        </w:rPr>
        <w:t>。</w:t>
      </w:r>
    </w:p>
    <w:p>
      <w:pPr>
        <w:spacing w:line="594" w:lineRule="exact"/>
        <w:ind w:firstLine="640" w:firstLineChars="200"/>
        <w:jc w:val="both"/>
        <w:rPr>
          <w:rFonts w:ascii="TimesNewRoman" w:hAnsi="TimesNewRoman" w:eastAsia="方正仿宋_GBK" w:cs="TimesNewRoman"/>
          <w:sz w:val="32"/>
          <w:szCs w:val="32"/>
        </w:rPr>
      </w:pPr>
    </w:p>
    <w:p>
      <w:pPr>
        <w:spacing w:line="594" w:lineRule="exact"/>
        <w:ind w:firstLine="640" w:firstLineChars="200"/>
        <w:jc w:val="both"/>
        <w:rPr>
          <w:rFonts w:ascii="TimesNewRoman" w:hAnsi="TimesNewRoman" w:eastAsia="方正仿宋_GBK" w:cs="TimesNewRoman"/>
          <w:sz w:val="32"/>
          <w:szCs w:val="32"/>
        </w:rPr>
      </w:pPr>
    </w:p>
    <w:p>
      <w:pPr>
        <w:spacing w:line="594" w:lineRule="exact"/>
        <w:ind w:firstLine="640" w:firstLineChars="200"/>
        <w:jc w:val="both"/>
        <w:rPr>
          <w:rFonts w:ascii="TimesNewRoman" w:hAnsi="TimesNewRoman" w:eastAsia="方正仿宋_GBK" w:cs="TimesNewRoman"/>
          <w:sz w:val="32"/>
          <w:szCs w:val="32"/>
        </w:rPr>
      </w:pPr>
    </w:p>
    <w:p>
      <w:pPr>
        <w:spacing w:line="594" w:lineRule="exact"/>
        <w:ind w:firstLine="640" w:firstLineChars="200"/>
        <w:jc w:val="both"/>
        <w:rPr>
          <w:rFonts w:ascii="TimesNewRoman" w:hAnsi="TimesNewRoman" w:eastAsia="方正仿宋_GBK" w:cs="TimesNewRoman"/>
          <w:sz w:val="32"/>
          <w:szCs w:val="32"/>
        </w:rPr>
      </w:pPr>
    </w:p>
    <w:p>
      <w:pPr>
        <w:spacing w:line="594" w:lineRule="exact"/>
        <w:ind w:firstLine="640" w:firstLineChars="200"/>
        <w:jc w:val="both"/>
        <w:rPr>
          <w:rFonts w:ascii="TimesNewRoman" w:hAnsi="TimesNewRoman" w:eastAsia="方正仿宋_GBK" w:cs="TimesNewRoman"/>
          <w:sz w:val="32"/>
          <w:szCs w:val="32"/>
        </w:rPr>
      </w:pPr>
    </w:p>
    <w:p>
      <w:pPr>
        <w:spacing w:line="594" w:lineRule="exact"/>
        <w:ind w:firstLine="640" w:firstLineChars="200"/>
        <w:jc w:val="both"/>
        <w:rPr>
          <w:rFonts w:ascii="TimesNewRoman" w:hAnsi="TimesNewRoman" w:eastAsia="方正仿宋_GBK" w:cs="TimesNewRoman"/>
          <w:sz w:val="32"/>
          <w:szCs w:val="32"/>
        </w:rPr>
      </w:pPr>
    </w:p>
    <w:p>
      <w:pPr>
        <w:spacing w:line="594" w:lineRule="exact"/>
        <w:ind w:firstLine="640" w:firstLineChars="200"/>
        <w:jc w:val="both"/>
        <w:rPr>
          <w:rFonts w:ascii="TimesNewRoman" w:hAnsi="TimesNewRoman" w:eastAsia="方正仿宋_GBK" w:cs="TimesNewRoman"/>
          <w:sz w:val="32"/>
          <w:szCs w:val="32"/>
        </w:rPr>
      </w:pPr>
    </w:p>
    <w:p>
      <w:pPr>
        <w:spacing w:line="594" w:lineRule="exact"/>
        <w:ind w:firstLine="640" w:firstLineChars="200"/>
        <w:jc w:val="both"/>
        <w:rPr>
          <w:rFonts w:ascii="TimesNewRoman" w:hAnsi="TimesNewRoman" w:eastAsia="方正仿宋_GBK" w:cs="TimesNewRoman"/>
          <w:sz w:val="32"/>
          <w:szCs w:val="32"/>
        </w:rPr>
      </w:pPr>
    </w:p>
    <w:p>
      <w:pPr>
        <w:spacing w:line="594" w:lineRule="exact"/>
        <w:ind w:firstLine="640" w:firstLineChars="200"/>
        <w:jc w:val="both"/>
        <w:rPr>
          <w:rFonts w:ascii="TimesNewRoman" w:hAnsi="TimesNewRoman" w:eastAsia="方正仿宋_GBK" w:cs="TimesNewRoman"/>
          <w:sz w:val="32"/>
          <w:szCs w:val="32"/>
        </w:rPr>
      </w:pPr>
    </w:p>
    <w:p>
      <w:pPr>
        <w:spacing w:line="594" w:lineRule="exact"/>
        <w:ind w:firstLine="640" w:firstLineChars="200"/>
        <w:jc w:val="both"/>
        <w:rPr>
          <w:rFonts w:ascii="TimesNewRoman" w:hAnsi="TimesNewRoman" w:eastAsia="方正仿宋_GBK" w:cs="TimesNewRoman"/>
          <w:sz w:val="32"/>
          <w:szCs w:val="32"/>
        </w:rPr>
      </w:pPr>
    </w:p>
    <w:p>
      <w:pPr>
        <w:spacing w:line="594" w:lineRule="exact"/>
        <w:ind w:firstLine="640" w:firstLineChars="200"/>
        <w:jc w:val="both"/>
        <w:rPr>
          <w:rFonts w:ascii="TimesNewRoman" w:hAnsi="TimesNewRoman" w:eastAsia="方正仿宋_GBK" w:cs="TimesNewRoman"/>
          <w:sz w:val="32"/>
          <w:szCs w:val="32"/>
        </w:rPr>
      </w:pPr>
    </w:p>
    <w:p>
      <w:pPr>
        <w:spacing w:line="594" w:lineRule="exact"/>
        <w:ind w:firstLine="640" w:firstLineChars="200"/>
        <w:jc w:val="both"/>
        <w:rPr>
          <w:rFonts w:ascii="TimesNewRoman" w:hAnsi="TimesNewRoman" w:eastAsia="方正仿宋_GBK" w:cs="TimesNewRoman"/>
          <w:sz w:val="32"/>
          <w:szCs w:val="32"/>
        </w:rPr>
      </w:pPr>
    </w:p>
    <w:p>
      <w:pPr>
        <w:spacing w:line="594" w:lineRule="exact"/>
        <w:ind w:firstLine="640" w:firstLineChars="200"/>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tbl>
      <w:tblPr>
        <w:tblStyle w:val="5"/>
        <w:tblW w:w="9612" w:type="dxa"/>
        <w:tblInd w:w="-607" w:type="dxa"/>
        <w:tblLayout w:type="autofit"/>
        <w:tblCellMar>
          <w:top w:w="0" w:type="dxa"/>
          <w:left w:w="108" w:type="dxa"/>
          <w:bottom w:w="0" w:type="dxa"/>
          <w:right w:w="108" w:type="dxa"/>
        </w:tblCellMar>
      </w:tblPr>
      <w:tblGrid>
        <w:gridCol w:w="3861"/>
        <w:gridCol w:w="1065"/>
        <w:gridCol w:w="3621"/>
        <w:gridCol w:w="1065"/>
      </w:tblGrid>
      <w:tr>
        <w:tblPrEx>
          <w:tblCellMar>
            <w:top w:w="0" w:type="dxa"/>
            <w:left w:w="108" w:type="dxa"/>
            <w:bottom w:w="0" w:type="dxa"/>
            <w:right w:w="108" w:type="dxa"/>
          </w:tblCellMar>
        </w:tblPrEx>
        <w:trPr>
          <w:trHeight w:val="577" w:hRule="atLeast"/>
        </w:trPr>
        <w:tc>
          <w:tcPr>
            <w:tcW w:w="9612" w:type="dxa"/>
            <w:gridSpan w:val="4"/>
            <w:tcBorders>
              <w:top w:val="nil"/>
              <w:left w:val="nil"/>
              <w:bottom w:val="nil"/>
              <w:right w:val="nil"/>
            </w:tcBorders>
            <w:noWrap/>
            <w:vAlign w:val="center"/>
          </w:tcPr>
          <w:p>
            <w:pPr>
              <w:jc w:val="center"/>
              <w:rPr>
                <w:rFonts w:ascii="TimesNewRoman" w:hAnsi="TimesNewRoman" w:eastAsia="方正小标宋_GBK" w:cs="TimesNewRoman"/>
                <w:color w:val="000000"/>
                <w:sz w:val="40"/>
                <w:szCs w:val="40"/>
              </w:rPr>
            </w:pPr>
            <w:r>
              <w:rPr>
                <w:rFonts w:hint="eastAsia" w:ascii="TimesNewRoman" w:hAnsi="TimesNewRoman" w:eastAsia="方正小标宋_GBK" w:cs="TimesNewRoman"/>
                <w:color w:val="000000"/>
                <w:sz w:val="40"/>
                <w:szCs w:val="40"/>
              </w:rPr>
              <w:t>收入支出决算总表</w:t>
            </w:r>
          </w:p>
        </w:tc>
      </w:tr>
      <w:tr>
        <w:tblPrEx>
          <w:tblCellMar>
            <w:top w:w="0" w:type="dxa"/>
            <w:left w:w="108" w:type="dxa"/>
            <w:bottom w:w="0" w:type="dxa"/>
            <w:right w:w="108" w:type="dxa"/>
          </w:tblCellMar>
        </w:tblPrEx>
        <w:trPr>
          <w:trHeight w:val="312" w:hRule="atLeast"/>
        </w:trPr>
        <w:tc>
          <w:tcPr>
            <w:tcW w:w="9612" w:type="dxa"/>
            <w:gridSpan w:val="4"/>
            <w:tcBorders>
              <w:top w:val="nil"/>
              <w:left w:val="nil"/>
              <w:bottom w:val="nil"/>
              <w:right w:val="nil"/>
            </w:tcBorders>
            <w:noWrap/>
            <w:vAlign w:val="center"/>
          </w:tcPr>
          <w:p>
            <w:pPr>
              <w:jc w:val="right"/>
              <w:rPr>
                <w:rFonts w:ascii="TimesNewRoman" w:hAnsi="TimesNewRoman" w:cs="TimesNewRoman"/>
                <w:color w:val="000000"/>
              </w:rPr>
            </w:pPr>
            <w:r>
              <w:rPr>
                <w:rFonts w:hint="eastAsia" w:ascii="TimesNewRoman" w:hAnsi="TimesNewRoman" w:cs="TimesNewRoman"/>
                <w:color w:val="000000"/>
              </w:rPr>
              <w:t>公开</w:t>
            </w:r>
            <w:r>
              <w:rPr>
                <w:rFonts w:ascii="TimesNewRoman" w:hAnsi="TimesNewRoman" w:cs="TimesNewRoman"/>
                <w:color w:val="000000"/>
              </w:rPr>
              <w:t>01</w:t>
            </w:r>
            <w:r>
              <w:rPr>
                <w:rFonts w:hint="eastAsia" w:ascii="TimesNewRoman" w:hAnsi="TimesNewRoman" w:cs="TimesNewRoman"/>
                <w:color w:val="000000"/>
              </w:rPr>
              <w:t>表</w:t>
            </w:r>
          </w:p>
        </w:tc>
      </w:tr>
      <w:tr>
        <w:tblPrEx>
          <w:tblCellMar>
            <w:top w:w="0" w:type="dxa"/>
            <w:left w:w="108" w:type="dxa"/>
            <w:bottom w:w="0" w:type="dxa"/>
            <w:right w:w="108" w:type="dxa"/>
          </w:tblCellMar>
        </w:tblPrEx>
        <w:trPr>
          <w:trHeight w:val="312" w:hRule="atLeast"/>
        </w:trPr>
        <w:tc>
          <w:tcPr>
            <w:tcW w:w="9612" w:type="dxa"/>
            <w:gridSpan w:val="4"/>
            <w:tcBorders>
              <w:top w:val="nil"/>
              <w:left w:val="nil"/>
              <w:bottom w:val="single" w:color="000000" w:sz="4" w:space="0"/>
              <w:right w:val="nil"/>
            </w:tcBorders>
            <w:noWrap/>
            <w:vAlign w:val="center"/>
          </w:tcPr>
          <w:p>
            <w:pPr>
              <w:jc w:val="both"/>
              <w:rPr>
                <w:rFonts w:ascii="TimesNewRoman" w:hAnsi="TimesNewRoman" w:cs="TimesNewRoman"/>
                <w:color w:val="000000"/>
              </w:rPr>
            </w:pPr>
            <w:r>
              <w:rPr>
                <w:rFonts w:hint="eastAsia" w:ascii="TimesNewRoman" w:hAnsi="TimesNewRoman" w:cs="TimesNewRoman"/>
                <w:color w:val="000000"/>
              </w:rPr>
              <w:t>公开部门：重庆市垫江县司法局（本级）</w:t>
            </w:r>
            <w:r>
              <w:rPr>
                <w:rFonts w:ascii="TimesNewRoman" w:hAnsi="TimesNewRoman" w:cs="TimesNewRoman"/>
                <w:color w:val="000000"/>
              </w:rPr>
              <w:t xml:space="preserve">                   2021</w:t>
            </w:r>
            <w:r>
              <w:rPr>
                <w:rFonts w:hint="eastAsia" w:ascii="TimesNewRoman" w:hAnsi="TimesNewRoman" w:cs="TimesNewRoman"/>
                <w:color w:val="000000"/>
              </w:rPr>
              <w:t>年度</w:t>
            </w:r>
            <w:r>
              <w:rPr>
                <w:rFonts w:ascii="TimesNewRoman" w:hAnsi="TimesNewRoman" w:cs="TimesNewRoman"/>
                <w:color w:val="000000"/>
              </w:rPr>
              <w:t xml:space="preserve">                            </w:t>
            </w:r>
            <w:r>
              <w:rPr>
                <w:rFonts w:hint="eastAsia" w:ascii="TimesNewRoman" w:hAnsi="TimesNewRoman" w:cs="TimesNewRoman"/>
                <w:color w:val="000000"/>
              </w:rPr>
              <w:t>单位：万元</w:t>
            </w:r>
          </w:p>
        </w:tc>
      </w:tr>
      <w:tr>
        <w:trPr>
          <w:trHeight w:val="312" w:hRule="atLeast"/>
        </w:trPr>
        <w:tc>
          <w:tcPr>
            <w:tcW w:w="492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收入</w:t>
            </w:r>
          </w:p>
        </w:tc>
        <w:tc>
          <w:tcPr>
            <w:tcW w:w="4686" w:type="dxa"/>
            <w:gridSpan w:val="2"/>
            <w:tcBorders>
              <w:top w:val="single" w:color="000000" w:sz="4" w:space="0"/>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支出</w:t>
            </w:r>
          </w:p>
        </w:tc>
      </w:tr>
      <w:tr>
        <w:tblPrEx>
          <w:tblCellMar>
            <w:top w:w="0" w:type="dxa"/>
            <w:left w:w="108" w:type="dxa"/>
            <w:bottom w:w="0" w:type="dxa"/>
            <w:right w:w="108" w:type="dxa"/>
          </w:tblCellMar>
        </w:tblPrEx>
        <w:trPr>
          <w:trHeight w:val="312" w:hRule="atLeast"/>
        </w:trPr>
        <w:tc>
          <w:tcPr>
            <w:tcW w:w="386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w:t>
            </w:r>
          </w:p>
        </w:tc>
        <w:tc>
          <w:tcPr>
            <w:tcW w:w="1065" w:type="dxa"/>
            <w:tcBorders>
              <w:top w:val="single" w:color="000000" w:sz="4" w:space="0"/>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决算数</w:t>
            </w:r>
          </w:p>
        </w:tc>
        <w:tc>
          <w:tcPr>
            <w:tcW w:w="3621" w:type="dxa"/>
            <w:tcBorders>
              <w:top w:val="single" w:color="000000" w:sz="4" w:space="0"/>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功能分类科目</w:t>
            </w:r>
          </w:p>
        </w:tc>
        <w:tc>
          <w:tcPr>
            <w:tcW w:w="1065" w:type="dxa"/>
            <w:tcBorders>
              <w:top w:val="nil"/>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决算数</w:t>
            </w:r>
          </w:p>
        </w:tc>
      </w:tr>
      <w:tr>
        <w:tblPrEx>
          <w:tblCellMar>
            <w:top w:w="0" w:type="dxa"/>
            <w:left w:w="108" w:type="dxa"/>
            <w:bottom w:w="0" w:type="dxa"/>
            <w:right w:w="108" w:type="dxa"/>
          </w:tblCellMar>
        </w:tblPrEx>
        <w:trPr>
          <w:trHeight w:val="312" w:hRule="atLeast"/>
        </w:trPr>
        <w:tc>
          <w:tcPr>
            <w:tcW w:w="3861" w:type="dxa"/>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一、一般公共预算财政拨款收入</w:t>
            </w:r>
          </w:p>
        </w:tc>
        <w:tc>
          <w:tcPr>
            <w:tcW w:w="1065"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1,975.37</w:t>
            </w:r>
          </w:p>
        </w:tc>
        <w:tc>
          <w:tcPr>
            <w:tcW w:w="3621"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一、一般公共服务支出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0.82</w:t>
            </w:r>
          </w:p>
        </w:tc>
      </w:tr>
      <w:tr>
        <w:tblPrEx>
          <w:tblCellMar>
            <w:top w:w="0" w:type="dxa"/>
            <w:left w:w="108" w:type="dxa"/>
            <w:bottom w:w="0" w:type="dxa"/>
            <w:right w:w="108" w:type="dxa"/>
          </w:tblCellMar>
        </w:tblPrEx>
        <w:trPr>
          <w:trHeight w:val="312" w:hRule="atLeast"/>
        </w:trPr>
        <w:tc>
          <w:tcPr>
            <w:tcW w:w="3861" w:type="dxa"/>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二、政府性基金预算财政拨款收入</w:t>
            </w:r>
          </w:p>
        </w:tc>
        <w:tc>
          <w:tcPr>
            <w:tcW w:w="1065"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3621"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二、外交支出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三、国有资本经营预算财政拨款收入</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三、国防支出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四、上级补助收入</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四、公共安全支出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1,645.97</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五、事业收入</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五、教育支出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3.04</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六、经营收入</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六、科学技术支出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七、附属单位上缴收入</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七、文化旅游体育与传媒支出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八、其他收入</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0.36</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八、社会保障和就业支出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242.60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九、卫生健康支出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50.31</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十、节能环保支出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十一、城乡社区支出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十二、农林水支出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十三、交通运输支出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十四、资源勘探信息等支出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十五、商业服务业等支出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十六、金融支出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十七、援助其他地区支出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十八、自然资源海洋气象等支出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十九、住房保障支出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56.32</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二十、粮油物资储备支出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二十一、国有资本经营预算支出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二十二、灾害防治及应急管理支出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1.00</w:t>
            </w:r>
          </w:p>
        </w:tc>
      </w:tr>
      <w:tr>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二十三、其他支出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二十四、债务还本支出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二十五、债务付息支出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二十六、抗疫特别国债安排的支出</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本年收入合计</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1,975.73</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本年支出合计</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2,000.05</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使用非财政拨款结余</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结余分配</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年初结转和结余</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24.77</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年末结转和结余</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0.44</w:t>
            </w:r>
          </w:p>
        </w:tc>
      </w:tr>
      <w:tr>
        <w:tblPrEx>
          <w:tblCellMar>
            <w:top w:w="0" w:type="dxa"/>
            <w:left w:w="108" w:type="dxa"/>
            <w:bottom w:w="0" w:type="dxa"/>
            <w:right w:w="108" w:type="dxa"/>
          </w:tblCellMar>
        </w:tblPrEx>
        <w:trPr>
          <w:trHeight w:val="312" w:hRule="atLeast"/>
        </w:trPr>
        <w:tc>
          <w:tcPr>
            <w:tcW w:w="3861"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总计</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2,000.49</w:t>
            </w:r>
          </w:p>
        </w:tc>
        <w:tc>
          <w:tcPr>
            <w:tcW w:w="3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总计</w:t>
            </w:r>
          </w:p>
        </w:tc>
        <w:tc>
          <w:tcPr>
            <w:tcW w:w="106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2,000.49</w:t>
            </w:r>
          </w:p>
        </w:tc>
      </w:tr>
      <w:tr>
        <w:trPr>
          <w:trHeight w:val="312" w:hRule="atLeast"/>
        </w:trPr>
        <w:tc>
          <w:tcPr>
            <w:tcW w:w="9612" w:type="dxa"/>
            <w:gridSpan w:val="4"/>
            <w:tcBorders>
              <w:top w:val="nil"/>
              <w:left w:val="nil"/>
              <w:bottom w:val="nil"/>
              <w:right w:val="nil"/>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备注：本表反映部门本年度的总收支和年末结转结余等情况。</w:t>
            </w:r>
            <w:r>
              <w:rPr>
                <w:rFonts w:ascii="TimesNewRoman" w:hAnsi="TimesNewRoman" w:cs="TimesNewRoman"/>
                <w:sz w:val="20"/>
                <w:szCs w:val="20"/>
              </w:rPr>
              <w:t xml:space="preserve"> </w:t>
            </w:r>
          </w:p>
        </w:tc>
      </w:tr>
    </w:tbl>
    <w:p>
      <w:pPr>
        <w:spacing w:line="594" w:lineRule="exact"/>
        <w:jc w:val="both"/>
        <w:rPr>
          <w:rFonts w:ascii="TimesNewRoman" w:hAnsi="TimesNewRoman" w:eastAsia="方正仿宋_GBK" w:cs="TimesNewRoman"/>
          <w:sz w:val="32"/>
          <w:szCs w:val="32"/>
        </w:rPr>
        <w:sectPr>
          <w:pgSz w:w="11907" w:h="16840"/>
          <w:pgMar w:top="1446" w:right="1644" w:bottom="1446" w:left="1985" w:header="851" w:footer="992" w:gutter="0"/>
          <w:pgNumType w:fmt="numberInDash"/>
          <w:cols w:space="720" w:num="1"/>
          <w:docGrid w:type="lines" w:linePitch="326" w:charSpace="0"/>
        </w:sectPr>
      </w:pPr>
    </w:p>
    <w:tbl>
      <w:tblPr>
        <w:tblStyle w:val="5"/>
        <w:tblW w:w="14081" w:type="dxa"/>
        <w:tblInd w:w="93" w:type="dxa"/>
        <w:tblLayout w:type="autofit"/>
        <w:tblCellMar>
          <w:top w:w="0" w:type="dxa"/>
          <w:left w:w="108" w:type="dxa"/>
          <w:bottom w:w="0" w:type="dxa"/>
          <w:right w:w="108" w:type="dxa"/>
        </w:tblCellMar>
      </w:tblPr>
      <w:tblGrid>
        <w:gridCol w:w="1155"/>
        <w:gridCol w:w="3354"/>
        <w:gridCol w:w="1363"/>
        <w:gridCol w:w="1363"/>
        <w:gridCol w:w="850"/>
        <w:gridCol w:w="681"/>
        <w:gridCol w:w="1534"/>
        <w:gridCol w:w="1259"/>
        <w:gridCol w:w="1259"/>
        <w:gridCol w:w="1263"/>
      </w:tblGrid>
      <w:tr>
        <w:tblPrEx>
          <w:tblCellMar>
            <w:top w:w="0" w:type="dxa"/>
            <w:left w:w="108" w:type="dxa"/>
            <w:bottom w:w="0" w:type="dxa"/>
            <w:right w:w="108" w:type="dxa"/>
          </w:tblCellMar>
        </w:tblPrEx>
        <w:trPr>
          <w:trHeight w:val="545" w:hRule="atLeast"/>
        </w:trPr>
        <w:tc>
          <w:tcPr>
            <w:tcW w:w="14081" w:type="dxa"/>
            <w:gridSpan w:val="10"/>
            <w:tcBorders>
              <w:top w:val="nil"/>
              <w:left w:val="nil"/>
              <w:bottom w:val="nil"/>
              <w:right w:val="nil"/>
            </w:tcBorders>
            <w:noWrap/>
            <w:vAlign w:val="center"/>
          </w:tcPr>
          <w:p>
            <w:pPr>
              <w:jc w:val="center"/>
              <w:rPr>
                <w:rFonts w:ascii="TimesNewRoman" w:hAnsi="TimesNewRoman" w:eastAsia="方正小标宋_GBK" w:cs="TimesNewRoman"/>
                <w:color w:val="000000"/>
                <w:sz w:val="40"/>
                <w:szCs w:val="40"/>
              </w:rPr>
            </w:pPr>
            <w:r>
              <w:rPr>
                <w:rFonts w:hint="eastAsia" w:ascii="TimesNewRoman" w:hAnsi="TimesNewRoman" w:eastAsia="方正小标宋_GBK" w:cs="TimesNewRoman"/>
                <w:color w:val="000000"/>
                <w:sz w:val="40"/>
                <w:szCs w:val="40"/>
              </w:rPr>
              <w:t>收入决算表</w:t>
            </w:r>
          </w:p>
        </w:tc>
      </w:tr>
      <w:tr>
        <w:tblPrEx>
          <w:tblCellMar>
            <w:top w:w="0" w:type="dxa"/>
            <w:left w:w="108" w:type="dxa"/>
            <w:bottom w:w="0" w:type="dxa"/>
            <w:right w:w="108" w:type="dxa"/>
          </w:tblCellMar>
        </w:tblPrEx>
        <w:trPr>
          <w:trHeight w:val="295" w:hRule="atLeast"/>
        </w:trPr>
        <w:tc>
          <w:tcPr>
            <w:tcW w:w="14081" w:type="dxa"/>
            <w:gridSpan w:val="10"/>
            <w:tcBorders>
              <w:top w:val="nil"/>
              <w:left w:val="nil"/>
              <w:bottom w:val="nil"/>
              <w:right w:val="nil"/>
            </w:tcBorders>
            <w:noWrap/>
            <w:vAlign w:val="center"/>
          </w:tcPr>
          <w:p>
            <w:pPr>
              <w:jc w:val="right"/>
              <w:rPr>
                <w:rFonts w:ascii="TimesNewRoman" w:hAnsi="TimesNewRoman" w:cs="TimesNewRoman"/>
                <w:color w:val="000000"/>
              </w:rPr>
            </w:pPr>
            <w:r>
              <w:rPr>
                <w:rFonts w:hint="eastAsia" w:ascii="TimesNewRoman" w:hAnsi="TimesNewRoman" w:cs="TimesNewRoman"/>
                <w:color w:val="000000"/>
              </w:rPr>
              <w:t>公开</w:t>
            </w:r>
            <w:r>
              <w:rPr>
                <w:rFonts w:ascii="TimesNewRoman" w:hAnsi="TimesNewRoman" w:cs="TimesNewRoman"/>
                <w:color w:val="000000"/>
              </w:rPr>
              <w:t>02</w:t>
            </w:r>
            <w:r>
              <w:rPr>
                <w:rFonts w:hint="eastAsia" w:ascii="TimesNewRoman" w:hAnsi="TimesNewRoman" w:cs="TimesNewRoman"/>
                <w:color w:val="000000"/>
              </w:rPr>
              <w:t>表</w:t>
            </w:r>
          </w:p>
        </w:tc>
      </w:tr>
      <w:tr>
        <w:tblPrEx>
          <w:tblCellMar>
            <w:top w:w="0" w:type="dxa"/>
            <w:left w:w="108" w:type="dxa"/>
            <w:bottom w:w="0" w:type="dxa"/>
            <w:right w:w="108" w:type="dxa"/>
          </w:tblCellMar>
        </w:tblPrEx>
        <w:trPr>
          <w:trHeight w:val="295" w:hRule="atLeast"/>
        </w:trPr>
        <w:tc>
          <w:tcPr>
            <w:tcW w:w="14081" w:type="dxa"/>
            <w:gridSpan w:val="10"/>
            <w:tcBorders>
              <w:top w:val="nil"/>
              <w:left w:val="nil"/>
              <w:bottom w:val="single" w:color="000000" w:sz="4" w:space="0"/>
              <w:right w:val="nil"/>
            </w:tcBorders>
            <w:noWrap/>
            <w:vAlign w:val="center"/>
          </w:tcPr>
          <w:p>
            <w:pPr>
              <w:jc w:val="both"/>
              <w:rPr>
                <w:rFonts w:ascii="TimesNewRoman" w:hAnsi="TimesNewRoman" w:cs="TimesNewRoman"/>
                <w:color w:val="000000"/>
              </w:rPr>
            </w:pPr>
            <w:r>
              <w:rPr>
                <w:rFonts w:hint="eastAsia" w:ascii="TimesNewRoman" w:hAnsi="TimesNewRoman" w:cs="TimesNewRoman"/>
                <w:color w:val="000000"/>
              </w:rPr>
              <w:t>公开部门：重庆市垫江县司法局（本级）</w:t>
            </w:r>
            <w:r>
              <w:rPr>
                <w:rFonts w:ascii="TimesNewRoman" w:hAnsi="TimesNewRoman" w:cs="TimesNewRoman"/>
                <w:color w:val="000000"/>
              </w:rPr>
              <w:t xml:space="preserve">                                                          2021</w:t>
            </w:r>
            <w:r>
              <w:rPr>
                <w:rFonts w:hint="eastAsia" w:ascii="TimesNewRoman" w:hAnsi="TimesNewRoman" w:cs="TimesNewRoman"/>
                <w:color w:val="000000"/>
              </w:rPr>
              <w:t>年度</w:t>
            </w:r>
            <w:r>
              <w:rPr>
                <w:rFonts w:ascii="TimesNewRoman" w:hAnsi="TimesNewRoman" w:cs="TimesNewRoman"/>
                <w:color w:val="000000"/>
              </w:rPr>
              <w:t xml:space="preserve">                                                               </w:t>
            </w:r>
            <w:r>
              <w:rPr>
                <w:rFonts w:hint="eastAsia" w:ascii="TimesNewRoman" w:hAnsi="TimesNewRoman" w:cs="TimesNewRoman"/>
                <w:color w:val="000000"/>
              </w:rPr>
              <w:t>单位：万元</w:t>
            </w:r>
          </w:p>
        </w:tc>
      </w:tr>
      <w:tr>
        <w:tblPrEx>
          <w:tblCellMar>
            <w:top w:w="0" w:type="dxa"/>
            <w:left w:w="108" w:type="dxa"/>
            <w:bottom w:w="0" w:type="dxa"/>
            <w:right w:w="108" w:type="dxa"/>
          </w:tblCellMar>
        </w:tblPrEx>
        <w:trPr>
          <w:trHeight w:val="295" w:hRule="atLeast"/>
        </w:trPr>
        <w:tc>
          <w:tcPr>
            <w:tcW w:w="450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w:t>
            </w:r>
          </w:p>
        </w:tc>
        <w:tc>
          <w:tcPr>
            <w:tcW w:w="1363"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本年收入合计</w:t>
            </w:r>
          </w:p>
        </w:tc>
        <w:tc>
          <w:tcPr>
            <w:tcW w:w="1363"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财政拨款收入</w:t>
            </w:r>
          </w:p>
        </w:tc>
        <w:tc>
          <w:tcPr>
            <w:tcW w:w="850"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上级补助收入</w:t>
            </w:r>
          </w:p>
        </w:tc>
        <w:tc>
          <w:tcPr>
            <w:tcW w:w="2215" w:type="dxa"/>
            <w:gridSpan w:val="2"/>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事业收入</w:t>
            </w:r>
          </w:p>
        </w:tc>
        <w:tc>
          <w:tcPr>
            <w:tcW w:w="1259"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经营收入</w:t>
            </w:r>
          </w:p>
        </w:tc>
        <w:tc>
          <w:tcPr>
            <w:tcW w:w="1259"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附属单位上缴收入</w:t>
            </w:r>
          </w:p>
        </w:tc>
        <w:tc>
          <w:tcPr>
            <w:tcW w:w="1263"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其他收入</w:t>
            </w:r>
          </w:p>
        </w:tc>
      </w:tr>
      <w:tr>
        <w:tblPrEx>
          <w:tblCellMar>
            <w:top w:w="0" w:type="dxa"/>
            <w:left w:w="108" w:type="dxa"/>
            <w:bottom w:w="0" w:type="dxa"/>
            <w:right w:w="108" w:type="dxa"/>
          </w:tblCellMar>
        </w:tblPrEx>
        <w:trPr>
          <w:trHeight w:val="295" w:hRule="atLeast"/>
        </w:trPr>
        <w:tc>
          <w:tcPr>
            <w:tcW w:w="1155" w:type="dxa"/>
            <w:vMerge w:val="restart"/>
            <w:tcBorders>
              <w:top w:val="nil"/>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功能分类科目编码</w:t>
            </w:r>
          </w:p>
        </w:tc>
        <w:tc>
          <w:tcPr>
            <w:tcW w:w="3354" w:type="dxa"/>
            <w:vMerge w:val="restart"/>
            <w:tcBorders>
              <w:top w:val="nil"/>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项目（按</w:t>
            </w:r>
            <w:r>
              <w:rPr>
                <w:rFonts w:ascii="TimesNewRoman" w:hAnsi="TimesNewRoman" w:cs="TimesNewRoman"/>
                <w:b/>
                <w:bCs/>
                <w:sz w:val="20"/>
                <w:szCs w:val="20"/>
              </w:rPr>
              <w:t>“</w:t>
            </w:r>
            <w:r>
              <w:rPr>
                <w:rFonts w:hint="eastAsia" w:ascii="TimesNewRoman" w:hAnsi="TimesNewRoman" w:cs="TimesNewRoman"/>
                <w:b/>
                <w:bCs/>
                <w:sz w:val="20"/>
                <w:szCs w:val="20"/>
              </w:rPr>
              <w:t>项</w:t>
            </w:r>
            <w:r>
              <w:rPr>
                <w:rFonts w:ascii="TimesNewRoman" w:hAnsi="TimesNewRoman" w:cs="TimesNewRoman"/>
                <w:b/>
                <w:bCs/>
                <w:sz w:val="20"/>
                <w:szCs w:val="20"/>
              </w:rPr>
              <w:t>”</w:t>
            </w:r>
            <w:r>
              <w:rPr>
                <w:rFonts w:hint="eastAsia" w:ascii="TimesNewRoman" w:hAnsi="TimesNewRoman" w:cs="TimesNewRoman"/>
                <w:b/>
                <w:bCs/>
                <w:sz w:val="20"/>
                <w:szCs w:val="20"/>
              </w:rPr>
              <w:t>级功能分类科目）</w:t>
            </w:r>
          </w:p>
        </w:tc>
        <w:tc>
          <w:tcPr>
            <w:tcW w:w="1363" w:type="dxa"/>
            <w:vMerge w:val="continue"/>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1363" w:type="dxa"/>
            <w:vMerge w:val="continue"/>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850" w:type="dxa"/>
            <w:vMerge w:val="continue"/>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2215" w:type="dxa"/>
            <w:gridSpan w:val="2"/>
            <w:vMerge w:val="continue"/>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125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5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63"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295" w:hRule="atLeast"/>
        </w:trPr>
        <w:tc>
          <w:tcPr>
            <w:tcW w:w="1155" w:type="dxa"/>
            <w:vMerge w:val="continue"/>
            <w:tcBorders>
              <w:top w:val="nil"/>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3354" w:type="dxa"/>
            <w:vMerge w:val="continue"/>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1363" w:type="dxa"/>
            <w:vMerge w:val="continue"/>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1363" w:type="dxa"/>
            <w:vMerge w:val="continue"/>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850" w:type="dxa"/>
            <w:vMerge w:val="continue"/>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681"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小计</w:t>
            </w:r>
          </w:p>
        </w:tc>
        <w:tc>
          <w:tcPr>
            <w:tcW w:w="1534"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其中：教育收费</w:t>
            </w:r>
          </w:p>
        </w:tc>
        <w:tc>
          <w:tcPr>
            <w:tcW w:w="125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5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63"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295" w:hRule="atLeast"/>
        </w:trPr>
        <w:tc>
          <w:tcPr>
            <w:tcW w:w="1155" w:type="dxa"/>
            <w:vMerge w:val="continue"/>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3354"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363"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363"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85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681"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34"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5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5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63"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295" w:hRule="atLeast"/>
        </w:trPr>
        <w:tc>
          <w:tcPr>
            <w:tcW w:w="4508" w:type="dxa"/>
            <w:gridSpan w:val="2"/>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合计</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1,975.73</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1,975.37</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0.36</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201</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一般公共服务支出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0.82</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0.82</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20132</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组织事务</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0.82</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0.82</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2013202</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一般行政管理事务</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0.82</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0.82</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204</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公共安全支出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1,621.64</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1,621.28</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0.36</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20406</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司法</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1,621.64</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1,621.28</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0.36</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2040601</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行政运行</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1,185.64</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1,185.28</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0.36</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2040602</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一般行政管理事务</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408.00</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408.00</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2040607</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公共法律服务</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6.00</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6.00</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2040699</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其他司法支出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22.00</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22.00</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205</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教育支出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3.04</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3.04</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20508</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进修及培训</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3.04</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3.04</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2050803</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培训支出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3.04</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3.04</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208</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社会保障和就业支出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242.59</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242.59</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20805</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行政事业单位养老支出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223.28</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223.28</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2080505</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机关事业单位基本养老保险缴费支出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63.17</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63.17</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2080506</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机关事业单位职业年金缴费支出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109.51</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109.51</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2080599</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其他行政事业单位养老支出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50.60</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50.60</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5" w:hRule="atLeast"/>
        </w:trPr>
        <w:tc>
          <w:tcPr>
            <w:tcW w:w="1155" w:type="dxa"/>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20808</w:t>
            </w:r>
          </w:p>
        </w:tc>
        <w:tc>
          <w:tcPr>
            <w:tcW w:w="335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抚恤</w:t>
            </w:r>
          </w:p>
        </w:tc>
        <w:tc>
          <w:tcPr>
            <w:tcW w:w="1363"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19.31</w:t>
            </w:r>
          </w:p>
        </w:tc>
        <w:tc>
          <w:tcPr>
            <w:tcW w:w="1363"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19.31</w:t>
            </w:r>
          </w:p>
        </w:tc>
        <w:tc>
          <w:tcPr>
            <w:tcW w:w="850"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2080801</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死亡抚恤</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19.31</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19.31</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210</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卫生健康支出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50.31</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50.31</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21011</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行政事业单位医疗</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50.31</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50.31</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2101101</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行政单位医疗</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50.31</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50.31</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221</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住房保障支出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56.32</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56.32</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22102</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住房改革支出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56.32</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56.32</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2210201</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住房公积金</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56.32</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56.32</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224</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灾害防治及应急管理支出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1.00</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1.00</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22401</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应急管理事务</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1.00</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1.00</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5" w:hRule="atLeast"/>
        </w:trPr>
        <w:tc>
          <w:tcPr>
            <w:tcW w:w="115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2240199</w:t>
            </w:r>
          </w:p>
        </w:tc>
        <w:tc>
          <w:tcPr>
            <w:tcW w:w="33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其他应急管理支出</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1.00</w:t>
            </w:r>
          </w:p>
        </w:tc>
        <w:tc>
          <w:tcPr>
            <w:tcW w:w="13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1.00</w:t>
            </w:r>
          </w:p>
        </w:tc>
        <w:tc>
          <w:tcPr>
            <w:tcW w:w="8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8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5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6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5" w:hRule="atLeast"/>
        </w:trPr>
        <w:tc>
          <w:tcPr>
            <w:tcW w:w="14081" w:type="dxa"/>
            <w:gridSpan w:val="10"/>
            <w:tcBorders>
              <w:top w:val="nil"/>
              <w:left w:val="nil"/>
              <w:bottom w:val="nil"/>
              <w:right w:val="nil"/>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备注：本表反映部门本年度取得的各项收入情况。</w:t>
            </w:r>
          </w:p>
        </w:tc>
      </w:tr>
    </w:tbl>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tbl>
      <w:tblPr>
        <w:tblStyle w:val="5"/>
        <w:tblW w:w="14313" w:type="dxa"/>
        <w:tblInd w:w="93" w:type="dxa"/>
        <w:tblLayout w:type="autofit"/>
        <w:tblCellMar>
          <w:top w:w="0" w:type="dxa"/>
          <w:left w:w="108" w:type="dxa"/>
          <w:bottom w:w="0" w:type="dxa"/>
          <w:right w:w="108" w:type="dxa"/>
        </w:tblCellMar>
      </w:tblPr>
      <w:tblGrid>
        <w:gridCol w:w="305"/>
        <w:gridCol w:w="305"/>
        <w:gridCol w:w="306"/>
        <w:gridCol w:w="4621"/>
        <w:gridCol w:w="1589"/>
        <w:gridCol w:w="1589"/>
        <w:gridCol w:w="1414"/>
        <w:gridCol w:w="1239"/>
        <w:gridCol w:w="1239"/>
        <w:gridCol w:w="1826"/>
      </w:tblGrid>
      <w:tr>
        <w:tblPrEx>
          <w:tblCellMar>
            <w:top w:w="0" w:type="dxa"/>
            <w:left w:w="108" w:type="dxa"/>
            <w:bottom w:w="0" w:type="dxa"/>
            <w:right w:w="108" w:type="dxa"/>
          </w:tblCellMar>
        </w:tblPrEx>
        <w:trPr>
          <w:trHeight w:val="551" w:hRule="atLeast"/>
        </w:trPr>
        <w:tc>
          <w:tcPr>
            <w:tcW w:w="14312" w:type="dxa"/>
            <w:gridSpan w:val="10"/>
            <w:tcBorders>
              <w:top w:val="nil"/>
              <w:left w:val="nil"/>
              <w:bottom w:val="nil"/>
              <w:right w:val="nil"/>
            </w:tcBorders>
            <w:noWrap/>
            <w:vAlign w:val="center"/>
          </w:tcPr>
          <w:p>
            <w:pPr>
              <w:jc w:val="center"/>
              <w:rPr>
                <w:rFonts w:ascii="TimesNewRoman" w:hAnsi="TimesNewRoman" w:eastAsia="方正小标宋_GBK" w:cs="TimesNewRoman"/>
                <w:color w:val="000000"/>
                <w:sz w:val="40"/>
                <w:szCs w:val="40"/>
              </w:rPr>
            </w:pPr>
            <w:r>
              <w:rPr>
                <w:rFonts w:hint="eastAsia" w:ascii="TimesNewRoman" w:hAnsi="TimesNewRoman" w:eastAsia="方正小标宋_GBK" w:cs="TimesNewRoman"/>
                <w:color w:val="000000"/>
                <w:sz w:val="40"/>
                <w:szCs w:val="40"/>
              </w:rPr>
              <w:t>支出决算表</w:t>
            </w:r>
          </w:p>
        </w:tc>
      </w:tr>
      <w:tr>
        <w:tblPrEx>
          <w:tblCellMar>
            <w:top w:w="0" w:type="dxa"/>
            <w:left w:w="108" w:type="dxa"/>
            <w:bottom w:w="0" w:type="dxa"/>
            <w:right w:w="108" w:type="dxa"/>
          </w:tblCellMar>
        </w:tblPrEx>
        <w:trPr>
          <w:trHeight w:val="298" w:hRule="atLeast"/>
        </w:trPr>
        <w:tc>
          <w:tcPr>
            <w:tcW w:w="265" w:type="dxa"/>
            <w:tcBorders>
              <w:top w:val="nil"/>
              <w:left w:val="nil"/>
              <w:bottom w:val="nil"/>
              <w:right w:val="nil"/>
            </w:tcBorders>
            <w:noWrap/>
            <w:vAlign w:val="center"/>
          </w:tcPr>
          <w:p>
            <w:pPr>
              <w:jc w:val="both"/>
              <w:rPr>
                <w:rFonts w:ascii="TimesNewRoman" w:hAnsi="TimesNewRoman" w:cs="TimesNewRoman"/>
                <w:sz w:val="18"/>
                <w:szCs w:val="18"/>
              </w:rPr>
            </w:pPr>
          </w:p>
        </w:tc>
        <w:tc>
          <w:tcPr>
            <w:tcW w:w="265" w:type="dxa"/>
            <w:tcBorders>
              <w:top w:val="nil"/>
              <w:left w:val="nil"/>
              <w:bottom w:val="nil"/>
              <w:right w:val="nil"/>
            </w:tcBorders>
            <w:noWrap/>
            <w:vAlign w:val="center"/>
          </w:tcPr>
          <w:p>
            <w:pPr>
              <w:jc w:val="both"/>
              <w:rPr>
                <w:rFonts w:ascii="TimesNewRoman" w:hAnsi="TimesNewRoman" w:cs="TimesNewRoman"/>
                <w:sz w:val="18"/>
                <w:szCs w:val="18"/>
              </w:rPr>
            </w:pPr>
          </w:p>
        </w:tc>
        <w:tc>
          <w:tcPr>
            <w:tcW w:w="266" w:type="dxa"/>
            <w:tcBorders>
              <w:top w:val="nil"/>
              <w:left w:val="nil"/>
              <w:bottom w:val="nil"/>
              <w:right w:val="nil"/>
            </w:tcBorders>
            <w:noWrap/>
            <w:vAlign w:val="center"/>
          </w:tcPr>
          <w:p>
            <w:pPr>
              <w:jc w:val="both"/>
              <w:rPr>
                <w:rFonts w:ascii="TimesNewRoman" w:hAnsi="TimesNewRoman" w:cs="TimesNewRoman"/>
                <w:sz w:val="18"/>
                <w:szCs w:val="18"/>
              </w:rPr>
            </w:pPr>
          </w:p>
        </w:tc>
        <w:tc>
          <w:tcPr>
            <w:tcW w:w="4621" w:type="dxa"/>
            <w:tcBorders>
              <w:top w:val="nil"/>
              <w:left w:val="nil"/>
              <w:bottom w:val="nil"/>
              <w:right w:val="nil"/>
            </w:tcBorders>
            <w:noWrap/>
            <w:vAlign w:val="center"/>
          </w:tcPr>
          <w:p>
            <w:pPr>
              <w:jc w:val="both"/>
              <w:rPr>
                <w:rFonts w:ascii="TimesNewRoman" w:hAnsi="TimesNewRoman" w:cs="TimesNewRoman"/>
                <w:sz w:val="18"/>
                <w:szCs w:val="18"/>
              </w:rPr>
            </w:pPr>
          </w:p>
        </w:tc>
        <w:tc>
          <w:tcPr>
            <w:tcW w:w="1589" w:type="dxa"/>
            <w:tcBorders>
              <w:top w:val="nil"/>
              <w:left w:val="nil"/>
              <w:bottom w:val="nil"/>
              <w:right w:val="nil"/>
            </w:tcBorders>
            <w:noWrap/>
            <w:vAlign w:val="center"/>
          </w:tcPr>
          <w:p>
            <w:pPr>
              <w:jc w:val="both"/>
              <w:rPr>
                <w:rFonts w:ascii="TimesNewRoman" w:hAnsi="TimesNewRoman" w:cs="TimesNewRoman"/>
                <w:sz w:val="18"/>
                <w:szCs w:val="18"/>
              </w:rPr>
            </w:pPr>
          </w:p>
        </w:tc>
        <w:tc>
          <w:tcPr>
            <w:tcW w:w="1589" w:type="dxa"/>
            <w:tcBorders>
              <w:top w:val="nil"/>
              <w:left w:val="nil"/>
              <w:bottom w:val="nil"/>
              <w:right w:val="nil"/>
            </w:tcBorders>
            <w:noWrap/>
            <w:vAlign w:val="center"/>
          </w:tcPr>
          <w:p>
            <w:pPr>
              <w:jc w:val="both"/>
              <w:rPr>
                <w:rFonts w:ascii="TimesNewRoman" w:hAnsi="TimesNewRoman" w:cs="TimesNewRoman"/>
                <w:sz w:val="18"/>
                <w:szCs w:val="18"/>
              </w:rPr>
            </w:pPr>
          </w:p>
        </w:tc>
        <w:tc>
          <w:tcPr>
            <w:tcW w:w="1414" w:type="dxa"/>
            <w:tcBorders>
              <w:top w:val="nil"/>
              <w:left w:val="nil"/>
              <w:bottom w:val="nil"/>
              <w:right w:val="nil"/>
            </w:tcBorders>
            <w:noWrap/>
            <w:vAlign w:val="center"/>
          </w:tcPr>
          <w:p>
            <w:pPr>
              <w:jc w:val="both"/>
              <w:rPr>
                <w:rFonts w:ascii="TimesNewRoman" w:hAnsi="TimesNewRoman" w:cs="TimesNewRoman"/>
                <w:sz w:val="18"/>
                <w:szCs w:val="18"/>
              </w:rPr>
            </w:pPr>
          </w:p>
        </w:tc>
        <w:tc>
          <w:tcPr>
            <w:tcW w:w="1239" w:type="dxa"/>
            <w:tcBorders>
              <w:top w:val="nil"/>
              <w:left w:val="nil"/>
              <w:bottom w:val="nil"/>
              <w:right w:val="nil"/>
            </w:tcBorders>
            <w:noWrap/>
            <w:vAlign w:val="center"/>
          </w:tcPr>
          <w:p>
            <w:pPr>
              <w:jc w:val="both"/>
              <w:rPr>
                <w:rFonts w:ascii="TimesNewRoman" w:hAnsi="TimesNewRoman" w:cs="TimesNewRoman"/>
                <w:sz w:val="18"/>
                <w:szCs w:val="18"/>
              </w:rPr>
            </w:pPr>
          </w:p>
        </w:tc>
        <w:tc>
          <w:tcPr>
            <w:tcW w:w="1239" w:type="dxa"/>
            <w:tcBorders>
              <w:top w:val="nil"/>
              <w:left w:val="nil"/>
              <w:bottom w:val="nil"/>
              <w:right w:val="nil"/>
            </w:tcBorders>
            <w:noWrap/>
            <w:vAlign w:val="center"/>
          </w:tcPr>
          <w:p>
            <w:pPr>
              <w:jc w:val="both"/>
              <w:rPr>
                <w:rFonts w:ascii="TimesNewRoman" w:hAnsi="TimesNewRoman" w:cs="TimesNewRoman"/>
                <w:sz w:val="18"/>
                <w:szCs w:val="18"/>
              </w:rPr>
            </w:pPr>
          </w:p>
        </w:tc>
        <w:tc>
          <w:tcPr>
            <w:tcW w:w="1826" w:type="dxa"/>
            <w:tcBorders>
              <w:top w:val="nil"/>
              <w:left w:val="nil"/>
              <w:bottom w:val="nil"/>
              <w:right w:val="nil"/>
            </w:tcBorders>
            <w:noWrap/>
            <w:vAlign w:val="center"/>
          </w:tcPr>
          <w:p>
            <w:pPr>
              <w:jc w:val="both"/>
              <w:rPr>
                <w:rFonts w:ascii="TimesNewRoman" w:hAnsi="TimesNewRoman" w:cs="TimesNewRoman"/>
                <w:color w:val="000000"/>
              </w:rPr>
            </w:pPr>
            <w:r>
              <w:rPr>
                <w:rFonts w:hint="eastAsia" w:ascii="TimesNewRoman" w:hAnsi="TimesNewRoman" w:cs="TimesNewRoman"/>
                <w:color w:val="000000"/>
              </w:rPr>
              <w:t>公开</w:t>
            </w:r>
            <w:r>
              <w:rPr>
                <w:rFonts w:ascii="TimesNewRoman" w:hAnsi="TimesNewRoman" w:cs="TimesNewRoman"/>
                <w:color w:val="000000"/>
              </w:rPr>
              <w:t>03</w:t>
            </w:r>
            <w:r>
              <w:rPr>
                <w:rFonts w:hint="eastAsia" w:ascii="TimesNewRoman" w:hAnsi="TimesNewRoman" w:cs="TimesNewRoman"/>
                <w:color w:val="000000"/>
              </w:rPr>
              <w:t>表</w:t>
            </w:r>
          </w:p>
        </w:tc>
      </w:tr>
      <w:tr>
        <w:tblPrEx>
          <w:tblCellMar>
            <w:top w:w="0" w:type="dxa"/>
            <w:left w:w="108" w:type="dxa"/>
            <w:bottom w:w="0" w:type="dxa"/>
            <w:right w:w="108" w:type="dxa"/>
          </w:tblCellMar>
        </w:tblPrEx>
        <w:trPr>
          <w:trHeight w:val="298" w:hRule="atLeast"/>
        </w:trPr>
        <w:tc>
          <w:tcPr>
            <w:tcW w:w="14312" w:type="dxa"/>
            <w:gridSpan w:val="10"/>
            <w:tcBorders>
              <w:top w:val="nil"/>
              <w:left w:val="nil"/>
              <w:bottom w:val="single" w:color="000000" w:sz="4" w:space="0"/>
              <w:right w:val="nil"/>
            </w:tcBorders>
            <w:noWrap/>
            <w:vAlign w:val="center"/>
          </w:tcPr>
          <w:p>
            <w:pPr>
              <w:jc w:val="both"/>
              <w:rPr>
                <w:rFonts w:ascii="TimesNewRoman" w:hAnsi="TimesNewRoman" w:cs="TimesNewRoman"/>
                <w:color w:val="000000"/>
              </w:rPr>
            </w:pPr>
            <w:r>
              <w:rPr>
                <w:rFonts w:hint="eastAsia" w:ascii="TimesNewRoman" w:hAnsi="TimesNewRoman" w:cs="TimesNewRoman"/>
                <w:color w:val="000000"/>
              </w:rPr>
              <w:t>公开部门：重庆市垫江县司法局（本级）</w:t>
            </w:r>
            <w:r>
              <w:rPr>
                <w:rFonts w:ascii="TimesNewRoman" w:hAnsi="TimesNewRoman" w:cs="TimesNewRoman"/>
                <w:color w:val="000000"/>
              </w:rPr>
              <w:t xml:space="preserve">                                                           2021</w:t>
            </w:r>
            <w:r>
              <w:rPr>
                <w:rFonts w:hint="eastAsia" w:ascii="TimesNewRoman" w:hAnsi="TimesNewRoman" w:cs="TimesNewRoman"/>
                <w:color w:val="000000"/>
              </w:rPr>
              <w:t>年度</w:t>
            </w:r>
            <w:r>
              <w:rPr>
                <w:rFonts w:ascii="TimesNewRoman" w:hAnsi="TimesNewRoman" w:cs="TimesNewRoman"/>
                <w:color w:val="000000"/>
              </w:rPr>
              <w:t xml:space="preserve">                                                             </w:t>
            </w:r>
            <w:r>
              <w:rPr>
                <w:rFonts w:hint="eastAsia" w:ascii="TimesNewRoman" w:hAnsi="TimesNewRoman" w:cs="TimesNewRoman"/>
                <w:color w:val="000000"/>
              </w:rPr>
              <w:t>单位：万元</w:t>
            </w:r>
          </w:p>
        </w:tc>
      </w:tr>
      <w:tr>
        <w:tblPrEx>
          <w:tblCellMar>
            <w:top w:w="0" w:type="dxa"/>
            <w:left w:w="108" w:type="dxa"/>
            <w:bottom w:w="0" w:type="dxa"/>
            <w:right w:w="108" w:type="dxa"/>
          </w:tblCellMar>
        </w:tblPrEx>
        <w:trPr>
          <w:trHeight w:val="298" w:hRule="atLeast"/>
        </w:trPr>
        <w:tc>
          <w:tcPr>
            <w:tcW w:w="541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w:t>
            </w:r>
          </w:p>
        </w:tc>
        <w:tc>
          <w:tcPr>
            <w:tcW w:w="1589"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本年支出合计</w:t>
            </w:r>
          </w:p>
        </w:tc>
        <w:tc>
          <w:tcPr>
            <w:tcW w:w="1589"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基本支出</w:t>
            </w:r>
          </w:p>
        </w:tc>
        <w:tc>
          <w:tcPr>
            <w:tcW w:w="1414"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项目支出</w:t>
            </w:r>
          </w:p>
        </w:tc>
        <w:tc>
          <w:tcPr>
            <w:tcW w:w="1239"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上缴上级支出</w:t>
            </w:r>
          </w:p>
        </w:tc>
        <w:tc>
          <w:tcPr>
            <w:tcW w:w="1239"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经营支出</w:t>
            </w:r>
          </w:p>
        </w:tc>
        <w:tc>
          <w:tcPr>
            <w:tcW w:w="1826"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对附属单位补助支出</w:t>
            </w:r>
          </w:p>
        </w:tc>
      </w:tr>
      <w:tr>
        <w:tblPrEx>
          <w:tblCellMar>
            <w:top w:w="0" w:type="dxa"/>
            <w:left w:w="108" w:type="dxa"/>
            <w:bottom w:w="0" w:type="dxa"/>
            <w:right w:w="108" w:type="dxa"/>
          </w:tblCellMar>
        </w:tblPrEx>
        <w:trPr>
          <w:trHeight w:val="298" w:hRule="atLeast"/>
        </w:trPr>
        <w:tc>
          <w:tcPr>
            <w:tcW w:w="795" w:type="dxa"/>
            <w:gridSpan w:val="3"/>
            <w:vMerge w:val="restart"/>
            <w:tcBorders>
              <w:top w:val="nil"/>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功能分类科目编码</w:t>
            </w:r>
          </w:p>
        </w:tc>
        <w:tc>
          <w:tcPr>
            <w:tcW w:w="4621" w:type="dxa"/>
            <w:vMerge w:val="restart"/>
            <w:tcBorders>
              <w:top w:val="nil"/>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项目（按</w:t>
            </w:r>
            <w:r>
              <w:rPr>
                <w:rFonts w:ascii="TimesNewRoman" w:hAnsi="TimesNewRoman" w:cs="TimesNewRoman"/>
                <w:b/>
                <w:bCs/>
                <w:sz w:val="20"/>
                <w:szCs w:val="20"/>
              </w:rPr>
              <w:t>“</w:t>
            </w:r>
            <w:r>
              <w:rPr>
                <w:rFonts w:hint="eastAsia" w:ascii="TimesNewRoman" w:hAnsi="TimesNewRoman" w:cs="TimesNewRoman"/>
                <w:b/>
                <w:bCs/>
                <w:sz w:val="20"/>
                <w:szCs w:val="20"/>
              </w:rPr>
              <w:t>项</w:t>
            </w:r>
            <w:r>
              <w:rPr>
                <w:rFonts w:ascii="TimesNewRoman" w:hAnsi="TimesNewRoman" w:cs="TimesNewRoman"/>
                <w:b/>
                <w:bCs/>
                <w:sz w:val="20"/>
                <w:szCs w:val="20"/>
              </w:rPr>
              <w:t>”</w:t>
            </w:r>
            <w:r>
              <w:rPr>
                <w:rFonts w:hint="eastAsia" w:ascii="TimesNewRoman" w:hAnsi="TimesNewRoman" w:cs="TimesNewRoman"/>
                <w:b/>
                <w:bCs/>
                <w:sz w:val="20"/>
                <w:szCs w:val="20"/>
              </w:rPr>
              <w:t>级功能分类科目）</w:t>
            </w:r>
          </w:p>
        </w:tc>
        <w:tc>
          <w:tcPr>
            <w:tcW w:w="158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8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414"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3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3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82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298" w:hRule="atLeast"/>
        </w:trPr>
        <w:tc>
          <w:tcPr>
            <w:tcW w:w="795" w:type="dxa"/>
            <w:gridSpan w:val="3"/>
            <w:vMerge w:val="continue"/>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4621"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8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8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414"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3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3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82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298" w:hRule="atLeast"/>
        </w:trPr>
        <w:tc>
          <w:tcPr>
            <w:tcW w:w="795" w:type="dxa"/>
            <w:gridSpan w:val="3"/>
            <w:vMerge w:val="continue"/>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4621"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8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8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414"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3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239"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82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298" w:hRule="atLeast"/>
        </w:trPr>
        <w:tc>
          <w:tcPr>
            <w:tcW w:w="5417" w:type="dxa"/>
            <w:gridSpan w:val="4"/>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合计</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2,000.05</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1,567.74</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432.31</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201</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一般公共服务支出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0.82</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0.82</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20132</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组织事务</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0.82</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0.82</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2013202</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一般行政管理事务</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0.82</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0.82</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204</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公共安全支出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1,645.97</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1,215.48</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430.49</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20406</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司法</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1,645.97</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1,215.48</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430.49</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2040601</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行政运行</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1,185.64</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1,185.64</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2040602</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一般行政管理事务</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413.49</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413.49</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2040607</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公共法律服务</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6.00</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2040699</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其他司法支出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40.84</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29.84</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205</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教育支出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3.04</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3.04</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20508</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进修及培训</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3.04</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3.04</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2050803</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培训支出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3.04</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3.04</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208</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社会保障和就业支出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242.59</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242.59</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20805</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行政事业单位养老支出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223.28</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223.28</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2080505</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机关事业单位基本养老保险缴费支出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63.17</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63.17</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2080506</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机关事业单位职业年金缴费支出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109.51</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109.51</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2080599</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其他行政事业单位养老支出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50.60</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50.60</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20808</w:t>
            </w:r>
          </w:p>
        </w:tc>
        <w:tc>
          <w:tcPr>
            <w:tcW w:w="4621"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抚恤</w:t>
            </w:r>
          </w:p>
        </w:tc>
        <w:tc>
          <w:tcPr>
            <w:tcW w:w="158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19.31</w:t>
            </w:r>
          </w:p>
        </w:tc>
        <w:tc>
          <w:tcPr>
            <w:tcW w:w="158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19.31</w:t>
            </w:r>
          </w:p>
        </w:tc>
        <w:tc>
          <w:tcPr>
            <w:tcW w:w="141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2080801</w:t>
            </w:r>
          </w:p>
        </w:tc>
        <w:tc>
          <w:tcPr>
            <w:tcW w:w="4621"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死亡抚恤</w:t>
            </w:r>
          </w:p>
        </w:tc>
        <w:tc>
          <w:tcPr>
            <w:tcW w:w="158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19.31</w:t>
            </w:r>
          </w:p>
        </w:tc>
        <w:tc>
          <w:tcPr>
            <w:tcW w:w="158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19.31</w:t>
            </w:r>
          </w:p>
        </w:tc>
        <w:tc>
          <w:tcPr>
            <w:tcW w:w="141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210</w:t>
            </w:r>
          </w:p>
        </w:tc>
        <w:tc>
          <w:tcPr>
            <w:tcW w:w="4621"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卫生健康支出</w:t>
            </w:r>
          </w:p>
        </w:tc>
        <w:tc>
          <w:tcPr>
            <w:tcW w:w="158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50.31</w:t>
            </w:r>
          </w:p>
        </w:tc>
        <w:tc>
          <w:tcPr>
            <w:tcW w:w="158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50.31</w:t>
            </w:r>
          </w:p>
        </w:tc>
        <w:tc>
          <w:tcPr>
            <w:tcW w:w="141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21011</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行政事业单位医疗</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50.31</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50.31</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2101101</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行政单位医疗</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50.31</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50.31</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221</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住房保障支出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56.32</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56.32</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22102</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住房改革支出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56.32</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56.32</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2210201</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住房公积金</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56.32</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56.32</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224</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灾害防治及应急管理支出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1.00</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22401</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应急管理事务</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1.00</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8" w:hRule="atLeast"/>
        </w:trPr>
        <w:tc>
          <w:tcPr>
            <w:tcW w:w="795" w:type="dxa"/>
            <w:gridSpan w:val="3"/>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2240199</w:t>
            </w:r>
          </w:p>
        </w:tc>
        <w:tc>
          <w:tcPr>
            <w:tcW w:w="462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其他应急管理支出</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1.00</w:t>
            </w:r>
          </w:p>
        </w:tc>
        <w:tc>
          <w:tcPr>
            <w:tcW w:w="158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4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23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82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8" w:hRule="atLeast"/>
        </w:trPr>
        <w:tc>
          <w:tcPr>
            <w:tcW w:w="14312" w:type="dxa"/>
            <w:gridSpan w:val="10"/>
            <w:tcBorders>
              <w:top w:val="nil"/>
              <w:left w:val="nil"/>
              <w:bottom w:val="nil"/>
              <w:right w:val="nil"/>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备注：本表反映部门本年度各项支出情况。</w:t>
            </w:r>
          </w:p>
        </w:tc>
      </w:tr>
    </w:tbl>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tbl>
      <w:tblPr>
        <w:tblStyle w:val="5"/>
        <w:tblW w:w="14071" w:type="dxa"/>
        <w:tblInd w:w="93" w:type="dxa"/>
        <w:tblLayout w:type="autofit"/>
        <w:tblCellMar>
          <w:top w:w="0" w:type="dxa"/>
          <w:left w:w="108" w:type="dxa"/>
          <w:bottom w:w="0" w:type="dxa"/>
          <w:right w:w="108" w:type="dxa"/>
        </w:tblCellMar>
      </w:tblPr>
      <w:tblGrid>
        <w:gridCol w:w="3675"/>
        <w:gridCol w:w="1610"/>
        <w:gridCol w:w="3979"/>
        <w:gridCol w:w="1024"/>
        <w:gridCol w:w="1535"/>
        <w:gridCol w:w="1157"/>
        <w:gridCol w:w="1091"/>
      </w:tblGrid>
      <w:tr>
        <w:tblPrEx>
          <w:tblCellMar>
            <w:top w:w="0" w:type="dxa"/>
            <w:left w:w="108" w:type="dxa"/>
            <w:bottom w:w="0" w:type="dxa"/>
            <w:right w:w="108" w:type="dxa"/>
          </w:tblCellMar>
        </w:tblPrEx>
        <w:trPr>
          <w:trHeight w:val="558" w:hRule="atLeast"/>
        </w:trPr>
        <w:tc>
          <w:tcPr>
            <w:tcW w:w="14070" w:type="dxa"/>
            <w:gridSpan w:val="7"/>
            <w:tcBorders>
              <w:top w:val="nil"/>
              <w:left w:val="nil"/>
              <w:bottom w:val="nil"/>
            </w:tcBorders>
            <w:noWrap/>
            <w:vAlign w:val="center"/>
          </w:tcPr>
          <w:p>
            <w:pPr>
              <w:jc w:val="center"/>
              <w:rPr>
                <w:rFonts w:ascii="TimesNewRoman" w:hAnsi="TimesNewRoman" w:eastAsia="方正小标宋_GBK" w:cs="TimesNewRoman"/>
                <w:color w:val="000000"/>
                <w:sz w:val="40"/>
                <w:szCs w:val="40"/>
              </w:rPr>
            </w:pPr>
            <w:r>
              <w:rPr>
                <w:rFonts w:hint="eastAsia" w:ascii="TimesNewRoman" w:hAnsi="TimesNewRoman" w:eastAsia="方正小标宋_GBK" w:cs="TimesNewRoman"/>
                <w:color w:val="000000"/>
                <w:sz w:val="40"/>
                <w:szCs w:val="40"/>
              </w:rPr>
              <w:t>财政拨款收入支出决算总表</w:t>
            </w:r>
          </w:p>
        </w:tc>
      </w:tr>
      <w:tr>
        <w:tblPrEx>
          <w:tblCellMar>
            <w:top w:w="0" w:type="dxa"/>
            <w:left w:w="108" w:type="dxa"/>
            <w:bottom w:w="0" w:type="dxa"/>
            <w:right w:w="108" w:type="dxa"/>
          </w:tblCellMar>
        </w:tblPrEx>
        <w:trPr>
          <w:trHeight w:val="302" w:hRule="atLeast"/>
        </w:trPr>
        <w:tc>
          <w:tcPr>
            <w:tcW w:w="14070" w:type="dxa"/>
            <w:gridSpan w:val="7"/>
            <w:tcBorders>
              <w:top w:val="nil"/>
              <w:left w:val="nil"/>
              <w:bottom w:val="nil"/>
            </w:tcBorders>
            <w:noWrap/>
            <w:vAlign w:val="center"/>
          </w:tcPr>
          <w:p>
            <w:pPr>
              <w:jc w:val="right"/>
              <w:rPr>
                <w:rFonts w:ascii="TimesNewRoman" w:hAnsi="TimesNewRoman" w:cs="TimesNewRoman"/>
                <w:color w:val="000000"/>
              </w:rPr>
            </w:pPr>
            <w:r>
              <w:rPr>
                <w:rFonts w:hint="eastAsia" w:ascii="TimesNewRoman" w:hAnsi="TimesNewRoman" w:cs="TimesNewRoman"/>
                <w:color w:val="000000"/>
              </w:rPr>
              <w:t>公开</w:t>
            </w:r>
            <w:r>
              <w:rPr>
                <w:rFonts w:ascii="TimesNewRoman" w:hAnsi="TimesNewRoman" w:cs="TimesNewRoman"/>
                <w:color w:val="000000"/>
              </w:rPr>
              <w:t>04</w:t>
            </w:r>
            <w:r>
              <w:rPr>
                <w:rFonts w:hint="eastAsia" w:ascii="TimesNewRoman" w:hAnsi="TimesNewRoman" w:cs="TimesNewRoman"/>
                <w:color w:val="000000"/>
              </w:rPr>
              <w:t>表</w:t>
            </w:r>
          </w:p>
        </w:tc>
      </w:tr>
      <w:tr>
        <w:tblPrEx>
          <w:tblCellMar>
            <w:top w:w="0" w:type="dxa"/>
            <w:left w:w="108" w:type="dxa"/>
            <w:bottom w:w="0" w:type="dxa"/>
            <w:right w:w="108" w:type="dxa"/>
          </w:tblCellMar>
        </w:tblPrEx>
        <w:trPr>
          <w:trHeight w:val="302" w:hRule="atLeast"/>
        </w:trPr>
        <w:tc>
          <w:tcPr>
            <w:tcW w:w="14070" w:type="dxa"/>
            <w:gridSpan w:val="7"/>
            <w:tcBorders>
              <w:top w:val="nil"/>
              <w:left w:val="nil"/>
              <w:bottom w:val="single" w:color="000000" w:sz="4" w:space="0"/>
            </w:tcBorders>
            <w:noWrap/>
            <w:vAlign w:val="center"/>
          </w:tcPr>
          <w:p>
            <w:pPr>
              <w:jc w:val="both"/>
              <w:rPr>
                <w:rFonts w:ascii="TimesNewRoman" w:hAnsi="TimesNewRoman" w:cs="TimesNewRoman"/>
                <w:color w:val="000000"/>
              </w:rPr>
            </w:pPr>
            <w:r>
              <w:rPr>
                <w:rFonts w:hint="eastAsia" w:ascii="TimesNewRoman" w:hAnsi="TimesNewRoman" w:cs="TimesNewRoman"/>
                <w:color w:val="000000"/>
              </w:rPr>
              <w:t>公开部门：重庆市垫江县司法局（本级）</w:t>
            </w:r>
            <w:r>
              <w:rPr>
                <w:rFonts w:ascii="TimesNewRoman" w:hAnsi="TimesNewRoman" w:cs="TimesNewRoman"/>
                <w:color w:val="000000"/>
              </w:rPr>
              <w:t xml:space="preserve">                                                       2021</w:t>
            </w:r>
            <w:r>
              <w:rPr>
                <w:rFonts w:hint="eastAsia" w:ascii="TimesNewRoman" w:hAnsi="TimesNewRoman" w:cs="TimesNewRoman"/>
                <w:color w:val="000000"/>
              </w:rPr>
              <w:t>年度</w:t>
            </w:r>
            <w:r>
              <w:rPr>
                <w:rFonts w:ascii="TimesNewRoman" w:hAnsi="TimesNewRoman" w:cs="TimesNewRoman"/>
                <w:color w:val="000000"/>
              </w:rPr>
              <w:t xml:space="preserve">                                                                  </w:t>
            </w:r>
            <w:r>
              <w:rPr>
                <w:rFonts w:hint="eastAsia" w:ascii="TimesNewRoman" w:hAnsi="TimesNewRoman" w:cs="TimesNewRoman"/>
                <w:color w:val="000000"/>
              </w:rPr>
              <w:t>单位：万元</w:t>
            </w:r>
          </w:p>
        </w:tc>
      </w:tr>
      <w:tr>
        <w:tblPrEx>
          <w:tblCellMar>
            <w:top w:w="0" w:type="dxa"/>
            <w:left w:w="108" w:type="dxa"/>
            <w:bottom w:w="0" w:type="dxa"/>
            <w:right w:w="108" w:type="dxa"/>
          </w:tblCellMar>
        </w:tblPrEx>
        <w:trPr>
          <w:trHeight w:val="302" w:hRule="atLeast"/>
        </w:trPr>
        <w:tc>
          <w:tcPr>
            <w:tcW w:w="52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收</w:t>
            </w:r>
            <w:r>
              <w:rPr>
                <w:rFonts w:ascii="TimesNewRoman" w:hAnsi="TimesNewRoman" w:cs="TimesNewRoman"/>
                <w:b/>
                <w:bCs/>
                <w:sz w:val="20"/>
                <w:szCs w:val="20"/>
              </w:rPr>
              <w:t xml:space="preserve">     </w:t>
            </w:r>
            <w:r>
              <w:rPr>
                <w:rFonts w:hint="eastAsia" w:ascii="TimesNewRoman" w:hAnsi="TimesNewRoman" w:cs="TimesNewRoman"/>
                <w:b/>
                <w:bCs/>
                <w:sz w:val="20"/>
                <w:szCs w:val="20"/>
              </w:rPr>
              <w:t>入</w:t>
            </w:r>
          </w:p>
        </w:tc>
        <w:tc>
          <w:tcPr>
            <w:tcW w:w="8786" w:type="dxa"/>
            <w:gridSpan w:val="5"/>
            <w:tcBorders>
              <w:top w:val="single" w:color="000000" w:sz="4" w:space="0"/>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支</w:t>
            </w:r>
            <w:r>
              <w:rPr>
                <w:rFonts w:ascii="TimesNewRoman" w:hAnsi="TimesNewRoman" w:cs="TimesNewRoman"/>
                <w:b/>
                <w:bCs/>
                <w:sz w:val="20"/>
                <w:szCs w:val="20"/>
              </w:rPr>
              <w:t xml:space="preserve">     </w:t>
            </w:r>
            <w:r>
              <w:rPr>
                <w:rFonts w:hint="eastAsia" w:ascii="TimesNewRoman" w:hAnsi="TimesNewRoman" w:cs="TimesNewRoman"/>
                <w:b/>
                <w:bCs/>
                <w:sz w:val="20"/>
                <w:szCs w:val="20"/>
              </w:rPr>
              <w:t>出</w:t>
            </w:r>
          </w:p>
        </w:tc>
      </w:tr>
      <w:tr>
        <w:tblPrEx>
          <w:tblCellMar>
            <w:top w:w="0" w:type="dxa"/>
            <w:left w:w="108" w:type="dxa"/>
            <w:bottom w:w="0" w:type="dxa"/>
            <w:right w:w="108" w:type="dxa"/>
          </w:tblCellMar>
        </w:tblPrEx>
        <w:trPr>
          <w:trHeight w:val="286" w:hRule="atLeast"/>
        </w:trPr>
        <w:tc>
          <w:tcPr>
            <w:tcW w:w="36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w:t>
            </w:r>
            <w:r>
              <w:rPr>
                <w:rFonts w:ascii="TimesNewRoman" w:hAnsi="TimesNewRoman" w:cs="TimesNewRoman"/>
                <w:b/>
                <w:bCs/>
                <w:sz w:val="20"/>
                <w:szCs w:val="20"/>
              </w:rPr>
              <w:t xml:space="preserve">    </w:t>
            </w:r>
            <w:r>
              <w:rPr>
                <w:rFonts w:hint="eastAsia" w:ascii="TimesNewRoman" w:hAnsi="TimesNewRoman" w:cs="TimesNewRoman"/>
                <w:b/>
                <w:bCs/>
                <w:sz w:val="20"/>
                <w:szCs w:val="20"/>
              </w:rPr>
              <w:t>目</w:t>
            </w:r>
          </w:p>
        </w:tc>
        <w:tc>
          <w:tcPr>
            <w:tcW w:w="1610"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决算数</w:t>
            </w:r>
          </w:p>
        </w:tc>
        <w:tc>
          <w:tcPr>
            <w:tcW w:w="3979"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功能分类科目</w:t>
            </w:r>
          </w:p>
        </w:tc>
        <w:tc>
          <w:tcPr>
            <w:tcW w:w="4807" w:type="dxa"/>
            <w:gridSpan w:val="4"/>
            <w:tcBorders>
              <w:top w:val="nil"/>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决算数</w:t>
            </w:r>
          </w:p>
        </w:tc>
      </w:tr>
      <w:tr>
        <w:tblPrEx>
          <w:tblCellMar>
            <w:top w:w="0" w:type="dxa"/>
            <w:left w:w="108" w:type="dxa"/>
            <w:bottom w:w="0" w:type="dxa"/>
            <w:right w:w="108" w:type="dxa"/>
          </w:tblCellMar>
        </w:tblPrEx>
        <w:trPr>
          <w:trHeight w:val="603" w:hRule="atLeast"/>
        </w:trPr>
        <w:tc>
          <w:tcPr>
            <w:tcW w:w="3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1610" w:type="dxa"/>
            <w:vMerge w:val="continue"/>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3979" w:type="dxa"/>
            <w:vMerge w:val="continue"/>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1024" w:type="dxa"/>
            <w:tcBorders>
              <w:top w:val="nil"/>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小计</w:t>
            </w:r>
          </w:p>
        </w:tc>
        <w:tc>
          <w:tcPr>
            <w:tcW w:w="1535" w:type="dxa"/>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一般公共预算财政拨款</w:t>
            </w:r>
          </w:p>
        </w:tc>
        <w:tc>
          <w:tcPr>
            <w:tcW w:w="1157" w:type="dxa"/>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政府性基金预算财政拨款</w:t>
            </w:r>
          </w:p>
        </w:tc>
        <w:tc>
          <w:tcPr>
            <w:tcW w:w="1091" w:type="dxa"/>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国有资本经营预算财政拨款</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一、一般公共预算财政拨款</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1,975.37</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一、一般公共服务支出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0.82</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0.82</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二、政府性基金预算财政拨款</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二、外交支出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三、国有资本经营预算财政拨款</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三、国防支出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四、公共安全支出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1,645.61</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1,645.61</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五、教育支出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3.04</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3.04</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六、科学技术支出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七、文化旅游体育与传媒支出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八、社会保障和就业支出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242.60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242.60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九、卫生健康支出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50.31</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50.31</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十、节能环保支出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十一、城乡社区支出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十二、农林水支出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十三、交通运输支出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十四、资源勘探工业信息等支出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十五、商业服务业等支出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十六、金融支出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十七、援助其他地区支出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十八、自然资源海洋气象等支出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十九、住房保障支出</w:t>
            </w:r>
          </w:p>
        </w:tc>
        <w:tc>
          <w:tcPr>
            <w:tcW w:w="102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56.32</w:t>
            </w:r>
          </w:p>
        </w:tc>
        <w:tc>
          <w:tcPr>
            <w:tcW w:w="1535"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56.32</w:t>
            </w:r>
          </w:p>
        </w:tc>
        <w:tc>
          <w:tcPr>
            <w:tcW w:w="1157"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二十、粮油物资储备支出</w:t>
            </w:r>
          </w:p>
        </w:tc>
        <w:tc>
          <w:tcPr>
            <w:tcW w:w="102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二十一、国有资本经营预算支出</w:t>
            </w:r>
          </w:p>
        </w:tc>
        <w:tc>
          <w:tcPr>
            <w:tcW w:w="102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二十二、灾害防治及应急管理支出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二十三、其他支出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二十四、债务还本支出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本年收入合计</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1,975.37</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二十五、债务付息支出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年初财政拨款结转和结余</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24.77</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二十六、抗疫特别国债安排的支出</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一、一般公共预算财政拨款</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24.77</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本年支出合计</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1,999.69</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1,999.69</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二、政府性基金预算财政拨款</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年末财政拨款结转和结余</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0.44</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0.44</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三、国有资本经营预算财政拨款</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r>
      <w:tr>
        <w:tblPrEx>
          <w:tblCellMar>
            <w:top w:w="0" w:type="dxa"/>
            <w:left w:w="108" w:type="dxa"/>
            <w:bottom w:w="0" w:type="dxa"/>
            <w:right w:w="108" w:type="dxa"/>
          </w:tblCellMar>
        </w:tblPrEx>
        <w:trPr>
          <w:trHeight w:val="302" w:hRule="atLeast"/>
        </w:trPr>
        <w:tc>
          <w:tcPr>
            <w:tcW w:w="3675"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总计</w:t>
            </w:r>
          </w:p>
        </w:tc>
        <w:tc>
          <w:tcPr>
            <w:tcW w:w="16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2,000.13</w:t>
            </w:r>
          </w:p>
        </w:tc>
        <w:tc>
          <w:tcPr>
            <w:tcW w:w="3979"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总计</w:t>
            </w:r>
          </w:p>
        </w:tc>
        <w:tc>
          <w:tcPr>
            <w:tcW w:w="102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2,000.13</w:t>
            </w:r>
          </w:p>
        </w:tc>
        <w:tc>
          <w:tcPr>
            <w:tcW w:w="153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2,000.13</w:t>
            </w:r>
          </w:p>
        </w:tc>
        <w:tc>
          <w:tcPr>
            <w:tcW w:w="115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091"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2" w:hRule="atLeast"/>
        </w:trPr>
        <w:tc>
          <w:tcPr>
            <w:tcW w:w="12979" w:type="dxa"/>
            <w:gridSpan w:val="6"/>
            <w:tcBorders>
              <w:top w:val="nil"/>
              <w:left w:val="nil"/>
              <w:bottom w:val="nil"/>
              <w:right w:val="nil"/>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备注：本表反映部门本年度一般公共预算财政拨款、政府性基金预算财政拨款及国有资本经营预算财政拨款的总收支和年末结转结余情况。</w:t>
            </w:r>
          </w:p>
        </w:tc>
        <w:tc>
          <w:tcPr>
            <w:tcW w:w="1091" w:type="dxa"/>
            <w:tcBorders>
              <w:top w:val="nil"/>
              <w:left w:val="nil"/>
              <w:bottom w:val="nil"/>
              <w:right w:val="nil"/>
            </w:tcBorders>
            <w:noWrap/>
            <w:vAlign w:val="center"/>
          </w:tcPr>
          <w:p>
            <w:pPr>
              <w:jc w:val="both"/>
              <w:rPr>
                <w:rFonts w:ascii="TimesNewRoman" w:hAnsi="TimesNewRoman" w:cs="TimesNewRoman"/>
                <w:sz w:val="20"/>
                <w:szCs w:val="20"/>
              </w:rPr>
            </w:pPr>
          </w:p>
        </w:tc>
      </w:tr>
    </w:tbl>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sectPr>
          <w:pgSz w:w="16840" w:h="11907" w:orient="landscape"/>
          <w:pgMar w:top="1985" w:right="1446" w:bottom="1644" w:left="1446" w:header="851" w:footer="992" w:gutter="0"/>
          <w:pgNumType w:fmt="numberInDash"/>
          <w:cols w:space="720" w:num="1"/>
          <w:docGrid w:type="linesAndChars" w:linePitch="326" w:charSpace="0"/>
        </w:sectPr>
      </w:pPr>
    </w:p>
    <w:tbl>
      <w:tblPr>
        <w:tblStyle w:val="5"/>
        <w:tblW w:w="8915" w:type="dxa"/>
        <w:tblInd w:w="93" w:type="dxa"/>
        <w:tblLayout w:type="autofit"/>
        <w:tblCellMar>
          <w:top w:w="0" w:type="dxa"/>
          <w:left w:w="108" w:type="dxa"/>
          <w:bottom w:w="0" w:type="dxa"/>
          <w:right w:w="108" w:type="dxa"/>
        </w:tblCellMar>
      </w:tblPr>
      <w:tblGrid>
        <w:gridCol w:w="916"/>
        <w:gridCol w:w="2967"/>
        <w:gridCol w:w="1710"/>
        <w:gridCol w:w="1710"/>
        <w:gridCol w:w="1710"/>
      </w:tblGrid>
      <w:tr>
        <w:tblPrEx>
          <w:tblCellMar>
            <w:top w:w="0" w:type="dxa"/>
            <w:left w:w="108" w:type="dxa"/>
            <w:bottom w:w="0" w:type="dxa"/>
            <w:right w:w="108" w:type="dxa"/>
          </w:tblCellMar>
        </w:tblPrEx>
        <w:trPr>
          <w:trHeight w:val="548" w:hRule="atLeast"/>
        </w:trPr>
        <w:tc>
          <w:tcPr>
            <w:tcW w:w="8915" w:type="dxa"/>
            <w:gridSpan w:val="5"/>
            <w:tcBorders>
              <w:top w:val="nil"/>
              <w:left w:val="nil"/>
              <w:bottom w:val="nil"/>
              <w:right w:val="nil"/>
            </w:tcBorders>
            <w:noWrap/>
            <w:vAlign w:val="center"/>
          </w:tcPr>
          <w:p>
            <w:pPr>
              <w:jc w:val="center"/>
              <w:rPr>
                <w:rFonts w:ascii="TimesNewRoman" w:hAnsi="TimesNewRoman" w:eastAsia="方正小标宋_GBK" w:cs="TimesNewRoman"/>
                <w:color w:val="000000"/>
                <w:sz w:val="40"/>
                <w:szCs w:val="40"/>
              </w:rPr>
            </w:pPr>
            <w:r>
              <w:rPr>
                <w:rFonts w:hint="eastAsia" w:ascii="TimesNewRoman" w:hAnsi="TimesNewRoman" w:eastAsia="方正小标宋_GBK" w:cs="TimesNewRoman"/>
                <w:color w:val="000000"/>
                <w:sz w:val="40"/>
                <w:szCs w:val="40"/>
              </w:rPr>
              <w:t>一般公共预算财政拨款支出决算表</w:t>
            </w:r>
          </w:p>
        </w:tc>
      </w:tr>
      <w:tr>
        <w:tblPrEx>
          <w:tblCellMar>
            <w:top w:w="0" w:type="dxa"/>
            <w:left w:w="108" w:type="dxa"/>
            <w:bottom w:w="0" w:type="dxa"/>
            <w:right w:w="108" w:type="dxa"/>
          </w:tblCellMar>
        </w:tblPrEx>
        <w:trPr>
          <w:trHeight w:val="296" w:hRule="atLeast"/>
        </w:trPr>
        <w:tc>
          <w:tcPr>
            <w:tcW w:w="8915" w:type="dxa"/>
            <w:gridSpan w:val="5"/>
            <w:tcBorders>
              <w:top w:val="nil"/>
              <w:left w:val="nil"/>
              <w:bottom w:val="nil"/>
              <w:right w:val="nil"/>
            </w:tcBorders>
            <w:noWrap/>
            <w:vAlign w:val="center"/>
          </w:tcPr>
          <w:p>
            <w:pPr>
              <w:jc w:val="right"/>
              <w:rPr>
                <w:rFonts w:ascii="TimesNewRoman" w:hAnsi="TimesNewRoman" w:cs="TimesNewRoman"/>
                <w:color w:val="000000"/>
              </w:rPr>
            </w:pPr>
            <w:r>
              <w:rPr>
                <w:rFonts w:hint="eastAsia" w:ascii="TimesNewRoman" w:hAnsi="TimesNewRoman" w:cs="TimesNewRoman"/>
                <w:color w:val="000000"/>
              </w:rPr>
              <w:t>公开</w:t>
            </w:r>
            <w:r>
              <w:rPr>
                <w:rFonts w:ascii="TimesNewRoman" w:hAnsi="TimesNewRoman" w:cs="TimesNewRoman"/>
                <w:color w:val="000000"/>
              </w:rPr>
              <w:t>05</w:t>
            </w:r>
            <w:r>
              <w:rPr>
                <w:rFonts w:hint="eastAsia" w:ascii="TimesNewRoman" w:hAnsi="TimesNewRoman" w:cs="TimesNewRoman"/>
                <w:color w:val="000000"/>
              </w:rPr>
              <w:t>表</w:t>
            </w:r>
          </w:p>
        </w:tc>
      </w:tr>
      <w:tr>
        <w:tblPrEx>
          <w:tblCellMar>
            <w:top w:w="0" w:type="dxa"/>
            <w:left w:w="108" w:type="dxa"/>
            <w:bottom w:w="0" w:type="dxa"/>
            <w:right w:w="108" w:type="dxa"/>
          </w:tblCellMar>
        </w:tblPrEx>
        <w:trPr>
          <w:trHeight w:val="296" w:hRule="atLeast"/>
        </w:trPr>
        <w:tc>
          <w:tcPr>
            <w:tcW w:w="8915" w:type="dxa"/>
            <w:gridSpan w:val="5"/>
            <w:tcBorders>
              <w:top w:val="nil"/>
              <w:left w:val="nil"/>
              <w:bottom w:val="single" w:color="000000" w:sz="4" w:space="0"/>
              <w:right w:val="nil"/>
            </w:tcBorders>
            <w:noWrap/>
            <w:vAlign w:val="center"/>
          </w:tcPr>
          <w:p>
            <w:pPr>
              <w:jc w:val="both"/>
              <w:rPr>
                <w:rFonts w:ascii="TimesNewRoman" w:hAnsi="TimesNewRoman" w:cs="TimesNewRoman"/>
                <w:color w:val="000000"/>
              </w:rPr>
            </w:pPr>
            <w:r>
              <w:rPr>
                <w:rFonts w:hint="eastAsia" w:ascii="TimesNewRoman" w:hAnsi="TimesNewRoman" w:cs="TimesNewRoman"/>
                <w:color w:val="000000"/>
              </w:rPr>
              <w:t>公开部门：重庆市垫江县司法局（本级）</w:t>
            </w:r>
            <w:r>
              <w:rPr>
                <w:rFonts w:ascii="TimesNewRoman" w:hAnsi="TimesNewRoman" w:cs="TimesNewRoman"/>
                <w:color w:val="000000"/>
              </w:rPr>
              <w:t xml:space="preserve">              2021</w:t>
            </w:r>
            <w:r>
              <w:rPr>
                <w:rFonts w:hint="eastAsia" w:ascii="TimesNewRoman" w:hAnsi="TimesNewRoman" w:cs="TimesNewRoman"/>
                <w:color w:val="000000"/>
              </w:rPr>
              <w:t>年度</w:t>
            </w:r>
            <w:r>
              <w:rPr>
                <w:rFonts w:ascii="TimesNewRoman" w:hAnsi="TimesNewRoman" w:cs="TimesNewRoman"/>
                <w:color w:val="000000"/>
              </w:rPr>
              <w:t xml:space="preserve">                       </w:t>
            </w:r>
            <w:r>
              <w:rPr>
                <w:rFonts w:hint="eastAsia" w:ascii="TimesNewRoman" w:hAnsi="TimesNewRoman" w:cs="TimesNewRoman"/>
                <w:color w:val="000000"/>
              </w:rPr>
              <w:t>单位：万元</w:t>
            </w:r>
          </w:p>
        </w:tc>
      </w:tr>
      <w:tr>
        <w:tblPrEx>
          <w:tblCellMar>
            <w:top w:w="0" w:type="dxa"/>
            <w:left w:w="108" w:type="dxa"/>
            <w:bottom w:w="0" w:type="dxa"/>
            <w:right w:w="108" w:type="dxa"/>
          </w:tblCellMar>
        </w:tblPrEx>
        <w:trPr>
          <w:trHeight w:val="296" w:hRule="atLeast"/>
        </w:trPr>
        <w:tc>
          <w:tcPr>
            <w:tcW w:w="37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w:t>
            </w:r>
          </w:p>
        </w:tc>
        <w:tc>
          <w:tcPr>
            <w:tcW w:w="5131" w:type="dxa"/>
            <w:gridSpan w:val="3"/>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本年支出</w:t>
            </w:r>
          </w:p>
        </w:tc>
      </w:tr>
      <w:tr>
        <w:tblPrEx>
          <w:tblCellMar>
            <w:top w:w="0" w:type="dxa"/>
            <w:left w:w="108" w:type="dxa"/>
            <w:bottom w:w="0" w:type="dxa"/>
            <w:right w:w="108" w:type="dxa"/>
          </w:tblCellMar>
        </w:tblPrEx>
        <w:trPr>
          <w:trHeight w:val="296" w:hRule="atLeast"/>
        </w:trPr>
        <w:tc>
          <w:tcPr>
            <w:tcW w:w="817" w:type="dxa"/>
            <w:vMerge w:val="restart"/>
            <w:tcBorders>
              <w:top w:val="nil"/>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功能分类科目编码</w:t>
            </w:r>
          </w:p>
        </w:tc>
        <w:tc>
          <w:tcPr>
            <w:tcW w:w="2967"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项目（按</w:t>
            </w:r>
            <w:r>
              <w:rPr>
                <w:rFonts w:ascii="TimesNewRoman" w:hAnsi="TimesNewRoman" w:cs="TimesNewRoman"/>
                <w:b/>
                <w:bCs/>
                <w:sz w:val="20"/>
                <w:szCs w:val="20"/>
              </w:rPr>
              <w:t>“</w:t>
            </w:r>
            <w:r>
              <w:rPr>
                <w:rFonts w:hint="eastAsia" w:ascii="TimesNewRoman" w:hAnsi="TimesNewRoman" w:cs="TimesNewRoman"/>
                <w:b/>
                <w:bCs/>
                <w:sz w:val="20"/>
                <w:szCs w:val="20"/>
              </w:rPr>
              <w:t>项</w:t>
            </w:r>
            <w:r>
              <w:rPr>
                <w:rFonts w:ascii="TimesNewRoman" w:hAnsi="TimesNewRoman" w:cs="TimesNewRoman"/>
                <w:b/>
                <w:bCs/>
                <w:sz w:val="20"/>
                <w:szCs w:val="20"/>
              </w:rPr>
              <w:t>”</w:t>
            </w:r>
            <w:r>
              <w:rPr>
                <w:rFonts w:hint="eastAsia" w:ascii="TimesNewRoman" w:hAnsi="TimesNewRoman" w:cs="TimesNewRoman"/>
                <w:b/>
                <w:bCs/>
                <w:sz w:val="20"/>
                <w:szCs w:val="20"/>
              </w:rPr>
              <w:t>级功能分类科目）</w:t>
            </w:r>
          </w:p>
        </w:tc>
        <w:tc>
          <w:tcPr>
            <w:tcW w:w="1710"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合计</w:t>
            </w:r>
          </w:p>
        </w:tc>
        <w:tc>
          <w:tcPr>
            <w:tcW w:w="1710"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基本支出</w:t>
            </w:r>
          </w:p>
        </w:tc>
        <w:tc>
          <w:tcPr>
            <w:tcW w:w="1710"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项目支出</w:t>
            </w:r>
          </w:p>
        </w:tc>
      </w:tr>
      <w:tr>
        <w:tblPrEx>
          <w:tblCellMar>
            <w:top w:w="0" w:type="dxa"/>
            <w:left w:w="108" w:type="dxa"/>
            <w:bottom w:w="0" w:type="dxa"/>
            <w:right w:w="108" w:type="dxa"/>
          </w:tblCellMar>
        </w:tblPrEx>
        <w:trPr>
          <w:trHeight w:val="607" w:hRule="atLeast"/>
        </w:trPr>
        <w:tc>
          <w:tcPr>
            <w:tcW w:w="817" w:type="dxa"/>
            <w:vMerge w:val="continue"/>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2967"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71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71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71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296" w:hRule="atLeast"/>
        </w:trPr>
        <w:tc>
          <w:tcPr>
            <w:tcW w:w="817" w:type="dxa"/>
            <w:vMerge w:val="continue"/>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2967"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71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71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71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296" w:hRule="atLeast"/>
        </w:trPr>
        <w:tc>
          <w:tcPr>
            <w:tcW w:w="3784" w:type="dxa"/>
            <w:gridSpan w:val="2"/>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合计</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1,999.69</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1,567.38</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432.31</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201</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一般公共服务支出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0.82</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0.82</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20132</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组织事务</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0.82</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0.82</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2013202</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一般行政管理事务</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0.82</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0.82</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204</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公共安全支出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1,645.61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1,215.12</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430.49</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20406</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司法</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1,645.61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1,215.12</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430.49</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2040601</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行政运行</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1,185.28</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1,185.28</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2040602</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一般行政管理事务</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413.49</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413.49</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2040607</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公共法律服务</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6.00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2040699</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其他司法支出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40.84</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29.84</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205</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教育支出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3.04</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3.04</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20508</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进修及培训</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3.04</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3.04</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2050803</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培训支出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3.04</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3.04</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208</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社会保障和就业支出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242.59</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242.59</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20805</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行政事业单位养老支出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223.28</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223.28</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2080505</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机关事业单位基本养老保险缴费支出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63.17</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63.17</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2080506</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机关事业单位职业年金缴费支出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109.51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109.51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2080599</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其他行政事业单位养老支出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50.60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50.60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20808</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抚恤</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19.31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19.31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2080801</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死亡抚恤</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19.31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19.31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210</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卫生健康支出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50.31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50.31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21011</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行政事业单位医疗</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50.31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50.31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2101101</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行政单位医疗</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50.31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50.31</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221</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住房保障支出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56.32</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56.32</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22102</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住房改革支出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56.32</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56.32</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2210201</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住房公积金</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56.32</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56.32</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224</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灾害防治及应急管理支出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1.00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22401</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应急管理事务</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1.00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0.00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ascii="TimesNewRoman" w:hAnsi="TimesNewRoman" w:cs="TimesNewRoman"/>
                <w:b/>
                <w:bCs/>
                <w:sz w:val="20"/>
                <w:szCs w:val="20"/>
              </w:rPr>
              <w:t>1.00</w:t>
            </w:r>
          </w:p>
        </w:tc>
      </w:tr>
      <w:tr>
        <w:tblPrEx>
          <w:tblCellMar>
            <w:top w:w="0" w:type="dxa"/>
            <w:left w:w="108" w:type="dxa"/>
            <w:bottom w:w="0" w:type="dxa"/>
            <w:right w:w="108" w:type="dxa"/>
          </w:tblCellMar>
        </w:tblPrEx>
        <w:trPr>
          <w:trHeight w:val="296" w:hRule="atLeast"/>
        </w:trPr>
        <w:tc>
          <w:tcPr>
            <w:tcW w:w="81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2240199</w:t>
            </w:r>
          </w:p>
        </w:tc>
        <w:tc>
          <w:tcPr>
            <w:tcW w:w="296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其他应急管理支出</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171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1.00</w:t>
            </w:r>
          </w:p>
        </w:tc>
      </w:tr>
      <w:tr>
        <w:tblPrEx>
          <w:tblCellMar>
            <w:top w:w="0" w:type="dxa"/>
            <w:left w:w="108" w:type="dxa"/>
            <w:bottom w:w="0" w:type="dxa"/>
            <w:right w:w="108" w:type="dxa"/>
          </w:tblCellMar>
        </w:tblPrEx>
        <w:trPr>
          <w:trHeight w:val="296" w:hRule="atLeast"/>
        </w:trPr>
        <w:tc>
          <w:tcPr>
            <w:tcW w:w="8915" w:type="dxa"/>
            <w:gridSpan w:val="5"/>
            <w:tcBorders>
              <w:top w:val="nil"/>
              <w:left w:val="nil"/>
              <w:bottom w:val="nil"/>
              <w:right w:val="nil"/>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备注：本表反映部门本年度一般公共预算财政拨款支出情况。</w:t>
            </w:r>
          </w:p>
        </w:tc>
      </w:tr>
    </w:tbl>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sectPr>
          <w:pgSz w:w="11907" w:h="16840"/>
          <w:pgMar w:top="1446" w:right="1644" w:bottom="1446" w:left="1985" w:header="851" w:footer="992" w:gutter="0"/>
          <w:pgNumType w:fmt="numberInDash"/>
          <w:cols w:space="720" w:num="1"/>
          <w:docGrid w:type="lines" w:linePitch="326" w:charSpace="0"/>
        </w:sectPr>
      </w:pPr>
    </w:p>
    <w:tbl>
      <w:tblPr>
        <w:tblStyle w:val="5"/>
        <w:tblW w:w="14311" w:type="dxa"/>
        <w:tblInd w:w="93" w:type="dxa"/>
        <w:tblLayout w:type="autofit"/>
        <w:tblCellMar>
          <w:top w:w="0" w:type="dxa"/>
          <w:left w:w="108" w:type="dxa"/>
          <w:bottom w:w="0" w:type="dxa"/>
          <w:right w:w="108" w:type="dxa"/>
        </w:tblCellMar>
      </w:tblPr>
      <w:tblGrid>
        <w:gridCol w:w="716"/>
        <w:gridCol w:w="2877"/>
        <w:gridCol w:w="1330"/>
        <w:gridCol w:w="716"/>
        <w:gridCol w:w="2154"/>
        <w:gridCol w:w="1300"/>
        <w:gridCol w:w="716"/>
        <w:gridCol w:w="3142"/>
        <w:gridCol w:w="1580"/>
      </w:tblGrid>
      <w:tr>
        <w:tblPrEx>
          <w:tblCellMar>
            <w:top w:w="0" w:type="dxa"/>
            <w:left w:w="108" w:type="dxa"/>
            <w:bottom w:w="0" w:type="dxa"/>
            <w:right w:w="108" w:type="dxa"/>
          </w:tblCellMar>
        </w:tblPrEx>
        <w:trPr>
          <w:trHeight w:val="557" w:hRule="atLeast"/>
        </w:trPr>
        <w:tc>
          <w:tcPr>
            <w:tcW w:w="14311" w:type="dxa"/>
            <w:gridSpan w:val="9"/>
            <w:tcBorders>
              <w:top w:val="nil"/>
              <w:left w:val="nil"/>
              <w:bottom w:val="nil"/>
            </w:tcBorders>
            <w:noWrap/>
            <w:vAlign w:val="center"/>
          </w:tcPr>
          <w:p>
            <w:pPr>
              <w:jc w:val="center"/>
              <w:rPr>
                <w:rFonts w:ascii="TimesNewRoman" w:hAnsi="TimesNewRoman" w:eastAsia="方正小标宋_GBK" w:cs="TimesNewRoman"/>
                <w:color w:val="000000"/>
                <w:sz w:val="40"/>
                <w:szCs w:val="40"/>
              </w:rPr>
            </w:pPr>
            <w:r>
              <w:rPr>
                <w:rFonts w:hint="eastAsia" w:ascii="TimesNewRoman" w:hAnsi="TimesNewRoman" w:eastAsia="方正小标宋_GBK" w:cs="TimesNewRoman"/>
                <w:color w:val="000000"/>
                <w:sz w:val="40"/>
                <w:szCs w:val="40"/>
              </w:rPr>
              <w:t>一般公共预算财政拨款基本支出决算表</w:t>
            </w:r>
          </w:p>
        </w:tc>
      </w:tr>
      <w:tr>
        <w:tblPrEx>
          <w:tblCellMar>
            <w:top w:w="0" w:type="dxa"/>
            <w:left w:w="108" w:type="dxa"/>
            <w:bottom w:w="0" w:type="dxa"/>
            <w:right w:w="108" w:type="dxa"/>
          </w:tblCellMar>
        </w:tblPrEx>
        <w:trPr>
          <w:trHeight w:val="407" w:hRule="atLeast"/>
        </w:trPr>
        <w:tc>
          <w:tcPr>
            <w:tcW w:w="14311" w:type="dxa"/>
            <w:gridSpan w:val="9"/>
            <w:tcBorders>
              <w:top w:val="nil"/>
              <w:left w:val="nil"/>
              <w:bottom w:val="nil"/>
            </w:tcBorders>
            <w:noWrap/>
            <w:vAlign w:val="center"/>
          </w:tcPr>
          <w:p>
            <w:pPr>
              <w:jc w:val="right"/>
              <w:rPr>
                <w:rFonts w:ascii="TimesNewRoman" w:hAnsi="TimesNewRoman" w:cs="TimesNewRoman"/>
                <w:color w:val="000000"/>
              </w:rPr>
            </w:pPr>
            <w:r>
              <w:rPr>
                <w:rFonts w:hint="eastAsia" w:ascii="TimesNewRoman" w:hAnsi="TimesNewRoman" w:cs="TimesNewRoman"/>
                <w:color w:val="000000"/>
              </w:rPr>
              <w:t>公开</w:t>
            </w:r>
            <w:r>
              <w:rPr>
                <w:rFonts w:ascii="TimesNewRoman" w:hAnsi="TimesNewRoman" w:cs="TimesNewRoman"/>
                <w:color w:val="000000"/>
              </w:rPr>
              <w:t>06</w:t>
            </w:r>
            <w:r>
              <w:rPr>
                <w:rFonts w:hint="eastAsia" w:ascii="TimesNewRoman" w:hAnsi="TimesNewRoman" w:cs="TimesNewRoman"/>
                <w:color w:val="000000"/>
              </w:rPr>
              <w:t>表</w:t>
            </w:r>
          </w:p>
        </w:tc>
      </w:tr>
      <w:tr>
        <w:tblPrEx>
          <w:tblCellMar>
            <w:top w:w="0" w:type="dxa"/>
            <w:left w:w="108" w:type="dxa"/>
            <w:bottom w:w="0" w:type="dxa"/>
            <w:right w:w="108" w:type="dxa"/>
          </w:tblCellMar>
        </w:tblPrEx>
        <w:trPr>
          <w:trHeight w:val="301" w:hRule="atLeast"/>
        </w:trPr>
        <w:tc>
          <w:tcPr>
            <w:tcW w:w="14311" w:type="dxa"/>
            <w:gridSpan w:val="9"/>
            <w:tcBorders>
              <w:top w:val="nil"/>
              <w:left w:val="nil"/>
              <w:bottom w:val="single" w:color="000000" w:sz="4" w:space="0"/>
            </w:tcBorders>
            <w:noWrap/>
            <w:vAlign w:val="center"/>
          </w:tcPr>
          <w:p>
            <w:pPr>
              <w:jc w:val="both"/>
              <w:rPr>
                <w:rFonts w:ascii="TimesNewRoman" w:hAnsi="TimesNewRoman" w:cs="TimesNewRoman"/>
                <w:color w:val="000000"/>
              </w:rPr>
            </w:pPr>
            <w:r>
              <w:rPr>
                <w:rFonts w:hint="eastAsia" w:ascii="TimesNewRoman" w:hAnsi="TimesNewRoman" w:cs="TimesNewRoman"/>
                <w:color w:val="000000"/>
              </w:rPr>
              <w:t>公开部门：重庆市垫江县司法局（本级）</w:t>
            </w:r>
            <w:r>
              <w:rPr>
                <w:rFonts w:ascii="TimesNewRoman" w:hAnsi="TimesNewRoman" w:cs="TimesNewRoman"/>
                <w:color w:val="000000"/>
              </w:rPr>
              <w:t xml:space="preserve">                                                             2021</w:t>
            </w:r>
            <w:r>
              <w:rPr>
                <w:rFonts w:hint="eastAsia" w:ascii="TimesNewRoman" w:hAnsi="TimesNewRoman" w:cs="TimesNewRoman"/>
                <w:color w:val="000000"/>
              </w:rPr>
              <w:t>年度</w:t>
            </w:r>
            <w:r>
              <w:rPr>
                <w:rFonts w:ascii="TimesNewRoman" w:hAnsi="TimesNewRoman" w:cs="TimesNewRoman"/>
                <w:color w:val="000000"/>
              </w:rPr>
              <w:t xml:space="preserve">                                                                    </w:t>
            </w:r>
            <w:r>
              <w:rPr>
                <w:rFonts w:hint="eastAsia" w:ascii="TimesNewRoman" w:hAnsi="TimesNewRoman" w:cs="TimesNewRoman"/>
                <w:color w:val="000000"/>
              </w:rPr>
              <w:t>单位：万元</w:t>
            </w:r>
          </w:p>
        </w:tc>
      </w:tr>
      <w:tr>
        <w:tblPrEx>
          <w:tblCellMar>
            <w:top w:w="0" w:type="dxa"/>
            <w:left w:w="108" w:type="dxa"/>
            <w:bottom w:w="0" w:type="dxa"/>
            <w:right w:w="108" w:type="dxa"/>
          </w:tblCellMar>
        </w:tblPrEx>
        <w:trPr>
          <w:trHeight w:val="301" w:hRule="atLeast"/>
        </w:trPr>
        <w:tc>
          <w:tcPr>
            <w:tcW w:w="48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人员经费</w:t>
            </w:r>
          </w:p>
        </w:tc>
        <w:tc>
          <w:tcPr>
            <w:tcW w:w="9461" w:type="dxa"/>
            <w:gridSpan w:val="6"/>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公用经费</w:t>
            </w:r>
          </w:p>
        </w:tc>
      </w:tr>
      <w:tr>
        <w:tblPrEx>
          <w:tblCellMar>
            <w:top w:w="0" w:type="dxa"/>
            <w:left w:w="108" w:type="dxa"/>
            <w:bottom w:w="0" w:type="dxa"/>
            <w:right w:w="108" w:type="dxa"/>
          </w:tblCellMar>
        </w:tblPrEx>
        <w:trPr>
          <w:trHeight w:val="301" w:hRule="atLeast"/>
        </w:trPr>
        <w:tc>
          <w:tcPr>
            <w:tcW w:w="642" w:type="dxa"/>
            <w:vMerge w:val="restart"/>
            <w:tcBorders>
              <w:top w:val="nil"/>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经济分类科目编码</w:t>
            </w:r>
          </w:p>
        </w:tc>
        <w:tc>
          <w:tcPr>
            <w:tcW w:w="2877"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经济分类科目（按</w:t>
            </w:r>
            <w:r>
              <w:rPr>
                <w:rFonts w:ascii="TimesNewRoman" w:hAnsi="TimesNewRoman" w:cs="TimesNewRoman"/>
                <w:b/>
                <w:bCs/>
                <w:sz w:val="20"/>
                <w:szCs w:val="20"/>
              </w:rPr>
              <w:t>“</w:t>
            </w:r>
            <w:r>
              <w:rPr>
                <w:rFonts w:hint="eastAsia" w:ascii="TimesNewRoman" w:hAnsi="TimesNewRoman" w:cs="TimesNewRoman"/>
                <w:b/>
                <w:bCs/>
                <w:sz w:val="20"/>
                <w:szCs w:val="20"/>
              </w:rPr>
              <w:t>款</w:t>
            </w:r>
            <w:r>
              <w:rPr>
                <w:rFonts w:ascii="TimesNewRoman" w:hAnsi="TimesNewRoman" w:cs="TimesNewRoman"/>
                <w:b/>
                <w:bCs/>
                <w:sz w:val="20"/>
                <w:szCs w:val="20"/>
              </w:rPr>
              <w:t>”</w:t>
            </w:r>
            <w:r>
              <w:rPr>
                <w:rFonts w:hint="eastAsia" w:ascii="TimesNewRoman" w:hAnsi="TimesNewRoman" w:cs="TimesNewRoman"/>
                <w:b/>
                <w:bCs/>
                <w:sz w:val="20"/>
                <w:szCs w:val="20"/>
              </w:rPr>
              <w:t>级功能分类科目）</w:t>
            </w:r>
          </w:p>
        </w:tc>
        <w:tc>
          <w:tcPr>
            <w:tcW w:w="1330"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金额</w:t>
            </w:r>
          </w:p>
        </w:tc>
        <w:tc>
          <w:tcPr>
            <w:tcW w:w="642"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经济分类科目编码</w:t>
            </w:r>
          </w:p>
        </w:tc>
        <w:tc>
          <w:tcPr>
            <w:tcW w:w="2154"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经济分类科目（按</w:t>
            </w:r>
            <w:r>
              <w:rPr>
                <w:rFonts w:ascii="TimesNewRoman" w:hAnsi="TimesNewRoman" w:cs="TimesNewRoman"/>
                <w:b/>
                <w:bCs/>
                <w:sz w:val="20"/>
                <w:szCs w:val="20"/>
              </w:rPr>
              <w:t>“</w:t>
            </w:r>
            <w:r>
              <w:rPr>
                <w:rFonts w:hint="eastAsia" w:ascii="TimesNewRoman" w:hAnsi="TimesNewRoman" w:cs="TimesNewRoman"/>
                <w:b/>
                <w:bCs/>
                <w:sz w:val="20"/>
                <w:szCs w:val="20"/>
              </w:rPr>
              <w:t>款</w:t>
            </w:r>
            <w:r>
              <w:rPr>
                <w:rFonts w:ascii="TimesNewRoman" w:hAnsi="TimesNewRoman" w:cs="TimesNewRoman"/>
                <w:b/>
                <w:bCs/>
                <w:sz w:val="20"/>
                <w:szCs w:val="20"/>
              </w:rPr>
              <w:t>”</w:t>
            </w:r>
            <w:r>
              <w:rPr>
                <w:rFonts w:hint="eastAsia" w:ascii="TimesNewRoman" w:hAnsi="TimesNewRoman" w:cs="TimesNewRoman"/>
                <w:b/>
                <w:bCs/>
                <w:sz w:val="20"/>
                <w:szCs w:val="20"/>
              </w:rPr>
              <w:t>级功能分类科目）</w:t>
            </w:r>
          </w:p>
        </w:tc>
        <w:tc>
          <w:tcPr>
            <w:tcW w:w="1300"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金额</w:t>
            </w:r>
          </w:p>
        </w:tc>
        <w:tc>
          <w:tcPr>
            <w:tcW w:w="642"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经济分类科目编码</w:t>
            </w:r>
          </w:p>
        </w:tc>
        <w:tc>
          <w:tcPr>
            <w:tcW w:w="3142"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经济分类科目（按</w:t>
            </w:r>
            <w:r>
              <w:rPr>
                <w:rFonts w:ascii="TimesNewRoman" w:hAnsi="TimesNewRoman" w:cs="TimesNewRoman"/>
                <w:b/>
                <w:bCs/>
                <w:sz w:val="20"/>
                <w:szCs w:val="20"/>
              </w:rPr>
              <w:t>“</w:t>
            </w:r>
            <w:r>
              <w:rPr>
                <w:rFonts w:hint="eastAsia" w:ascii="TimesNewRoman" w:hAnsi="TimesNewRoman" w:cs="TimesNewRoman"/>
                <w:b/>
                <w:bCs/>
                <w:sz w:val="20"/>
                <w:szCs w:val="20"/>
              </w:rPr>
              <w:t>款</w:t>
            </w:r>
            <w:r>
              <w:rPr>
                <w:rFonts w:ascii="TimesNewRoman" w:hAnsi="TimesNewRoman" w:cs="TimesNewRoman"/>
                <w:b/>
                <w:bCs/>
                <w:sz w:val="20"/>
                <w:szCs w:val="20"/>
              </w:rPr>
              <w:t>”</w:t>
            </w:r>
            <w:r>
              <w:rPr>
                <w:rFonts w:hint="eastAsia" w:ascii="TimesNewRoman" w:hAnsi="TimesNewRoman" w:cs="TimesNewRoman"/>
                <w:b/>
                <w:bCs/>
                <w:sz w:val="20"/>
                <w:szCs w:val="20"/>
              </w:rPr>
              <w:t>级功能分类科目）</w:t>
            </w:r>
          </w:p>
        </w:tc>
        <w:tc>
          <w:tcPr>
            <w:tcW w:w="1580"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金额</w:t>
            </w:r>
          </w:p>
        </w:tc>
      </w:tr>
      <w:tr>
        <w:tblPrEx>
          <w:tblCellMar>
            <w:top w:w="0" w:type="dxa"/>
            <w:left w:w="108" w:type="dxa"/>
            <w:bottom w:w="0" w:type="dxa"/>
            <w:right w:w="108" w:type="dxa"/>
          </w:tblCellMar>
        </w:tblPrEx>
        <w:trPr>
          <w:trHeight w:val="602" w:hRule="atLeast"/>
        </w:trPr>
        <w:tc>
          <w:tcPr>
            <w:tcW w:w="642" w:type="dxa"/>
            <w:vMerge w:val="continue"/>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2877" w:type="dxa"/>
            <w:vMerge w:val="continue"/>
            <w:tcBorders>
              <w:top w:val="single" w:color="000000" w:sz="4" w:space="0"/>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330" w:type="dxa"/>
            <w:vMerge w:val="continue"/>
            <w:tcBorders>
              <w:top w:val="single" w:color="000000" w:sz="4" w:space="0"/>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642" w:type="dxa"/>
            <w:vMerge w:val="continue"/>
            <w:tcBorders>
              <w:top w:val="single" w:color="000000" w:sz="4" w:space="0"/>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2154" w:type="dxa"/>
            <w:vMerge w:val="continue"/>
            <w:tcBorders>
              <w:top w:val="single" w:color="000000" w:sz="4" w:space="0"/>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300" w:type="dxa"/>
            <w:vMerge w:val="continue"/>
            <w:tcBorders>
              <w:top w:val="single" w:color="000000" w:sz="4" w:space="0"/>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642" w:type="dxa"/>
            <w:vMerge w:val="continue"/>
            <w:tcBorders>
              <w:top w:val="single" w:color="000000" w:sz="4" w:space="0"/>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3142" w:type="dxa"/>
            <w:vMerge w:val="continue"/>
            <w:tcBorders>
              <w:top w:val="single" w:color="000000" w:sz="4" w:space="0"/>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8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工资福利支出</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1,182.68</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商品和服务支出</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309.15</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资本性支出</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30101</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基本工资</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206.59</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30201</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办公费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21.38</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31001</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房屋建筑物购建</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30102</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津贴补贴</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245.16</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30202</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印刷费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31002</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办公设备购置</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30103</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奖金</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134.94</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30203</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咨询费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31003</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专用设备购置</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30106</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伙食补助费</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74.05</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30204</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手续费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31005</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基础设施建设</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30107</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绩效工资</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30205</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水费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2.03</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31006</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大型修缮</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30108</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机关事业单位基本养老保险费</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63.17</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30206</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电费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0.10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31007</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信息网络及软件购置更新</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30109</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职业年金缴费</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109.51</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30207</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邮电费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21.99</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31008</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物资储备</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30110</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职工基本医疗保险缴费</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64.22</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30208</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取暖费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31009</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土地补偿</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30111</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公务员医疗补助缴费</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30209</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物业管理费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31010</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安置补助</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30112</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其他社会保障缴费</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24.26</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30211</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差旅费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4.36</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31011</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地上附着物和青苗补偿</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30113</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住房公积金</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94.53</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30212</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因公出国（境）费用</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31012</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拆迁补偿</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30114</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医疗费</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26.48</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30213</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维修（护）费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13.37</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31013</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公务用车购置</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30199</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其他工资福利支出</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139.77</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30214</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租赁费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31019</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其他交通工具购置</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对个人和家庭的补助</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75.56</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30215</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会议费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31021</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文物和陈列品购置</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30301</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离休费</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30216</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培训费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3.04</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31022</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无形资产购置</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30302</w:t>
            </w:r>
          </w:p>
        </w:tc>
        <w:tc>
          <w:tcPr>
            <w:tcW w:w="2877"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退休费</w:t>
            </w:r>
          </w:p>
        </w:tc>
        <w:tc>
          <w:tcPr>
            <w:tcW w:w="1330"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30217</w:t>
            </w:r>
          </w:p>
        </w:tc>
        <w:tc>
          <w:tcPr>
            <w:tcW w:w="215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公务接待费</w:t>
            </w:r>
          </w:p>
        </w:tc>
        <w:tc>
          <w:tcPr>
            <w:tcW w:w="1300"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1.28</w:t>
            </w:r>
          </w:p>
        </w:tc>
        <w:tc>
          <w:tcPr>
            <w:tcW w:w="642"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31099</w:t>
            </w:r>
          </w:p>
        </w:tc>
        <w:tc>
          <w:tcPr>
            <w:tcW w:w="3142"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其他资本性支出</w:t>
            </w:r>
          </w:p>
        </w:tc>
        <w:tc>
          <w:tcPr>
            <w:tcW w:w="1580"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31" w:hRule="atLeast"/>
        </w:trPr>
        <w:tc>
          <w:tcPr>
            <w:tcW w:w="642" w:type="dxa"/>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30303</w:t>
            </w:r>
          </w:p>
        </w:tc>
        <w:tc>
          <w:tcPr>
            <w:tcW w:w="2877"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退职（役）费</w:t>
            </w:r>
          </w:p>
        </w:tc>
        <w:tc>
          <w:tcPr>
            <w:tcW w:w="1330"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30218</w:t>
            </w:r>
          </w:p>
        </w:tc>
        <w:tc>
          <w:tcPr>
            <w:tcW w:w="215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专用材料费</w:t>
            </w:r>
          </w:p>
        </w:tc>
        <w:tc>
          <w:tcPr>
            <w:tcW w:w="1300"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1.12</w:t>
            </w:r>
          </w:p>
        </w:tc>
        <w:tc>
          <w:tcPr>
            <w:tcW w:w="642"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312</w:t>
            </w:r>
          </w:p>
        </w:tc>
        <w:tc>
          <w:tcPr>
            <w:tcW w:w="3142"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对企业补助</w:t>
            </w:r>
          </w:p>
        </w:tc>
        <w:tc>
          <w:tcPr>
            <w:tcW w:w="1580"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30304</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抚恤金</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19.83</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30224</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被装购置费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31201</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资本金注入</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30305</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生活补助</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46.53</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30225</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专用燃料费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31203</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政府投资基金股权投资</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30306</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救济费</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30226</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劳务费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119.48</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31204</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费用补贴</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30307</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医疗费补助</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9.20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30227</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委托业务费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17.73</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31205</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利息补贴</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30308</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助学金</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30228</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工会经费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34.05</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31299</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其他对企业补助</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30309</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奖励金</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30229</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福利费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3.76</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399</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其他支出</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30310</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个人农业生产补贴</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30231</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公务用车运行维护费</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10.87</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39906</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赠与</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30311</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代缴社会保险费</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30239</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其他交通费用</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37.31</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39907</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国家赔偿费用支出</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30399</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其他个人和家庭的补助支出</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30240</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税金及附加费用</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39908</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对民间非营利组织和群众性自治组织补贴</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30299</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其他商品和服务支出</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17.27</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39999</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其他支出</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307</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债务利息及费用支出</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30701</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国内债务付息</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30702</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国外债务付息</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30703</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国内债务发行费用</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r>
      <w:tr>
        <w:tblPrEx>
          <w:tblCellMar>
            <w:top w:w="0" w:type="dxa"/>
            <w:left w:w="108" w:type="dxa"/>
            <w:bottom w:w="0" w:type="dxa"/>
            <w:right w:w="108" w:type="dxa"/>
          </w:tblCellMar>
        </w:tblPrEx>
        <w:trPr>
          <w:trHeight w:val="301" w:hRule="atLeast"/>
        </w:trPr>
        <w:tc>
          <w:tcPr>
            <w:tcW w:w="642"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2877"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30704</w:t>
            </w:r>
          </w:p>
        </w:tc>
        <w:tc>
          <w:tcPr>
            <w:tcW w:w="215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国外债务发行费用</w:t>
            </w:r>
          </w:p>
        </w:tc>
        <w:tc>
          <w:tcPr>
            <w:tcW w:w="13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142"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r>
      <w:tr>
        <w:tblPrEx>
          <w:tblCellMar>
            <w:top w:w="0" w:type="dxa"/>
            <w:left w:w="108" w:type="dxa"/>
            <w:bottom w:w="0" w:type="dxa"/>
            <w:right w:w="108" w:type="dxa"/>
          </w:tblCellMar>
        </w:tblPrEx>
        <w:trPr>
          <w:trHeight w:val="301" w:hRule="atLeast"/>
        </w:trPr>
        <w:tc>
          <w:tcPr>
            <w:tcW w:w="3520" w:type="dxa"/>
            <w:gridSpan w:val="2"/>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人员经费合计</w:t>
            </w:r>
          </w:p>
        </w:tc>
        <w:tc>
          <w:tcPr>
            <w:tcW w:w="133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1,258.24</w:t>
            </w:r>
          </w:p>
        </w:tc>
        <w:tc>
          <w:tcPr>
            <w:tcW w:w="7881" w:type="dxa"/>
            <w:gridSpan w:val="5"/>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公用经费合计</w:t>
            </w:r>
          </w:p>
        </w:tc>
        <w:tc>
          <w:tcPr>
            <w:tcW w:w="158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309.15</w:t>
            </w:r>
          </w:p>
        </w:tc>
      </w:tr>
      <w:tr>
        <w:tblPrEx>
          <w:tblCellMar>
            <w:top w:w="0" w:type="dxa"/>
            <w:left w:w="108" w:type="dxa"/>
            <w:bottom w:w="0" w:type="dxa"/>
            <w:right w:w="108" w:type="dxa"/>
          </w:tblCellMar>
        </w:tblPrEx>
        <w:trPr>
          <w:trHeight w:val="301" w:hRule="atLeast"/>
        </w:trPr>
        <w:tc>
          <w:tcPr>
            <w:tcW w:w="14311" w:type="dxa"/>
            <w:gridSpan w:val="9"/>
            <w:tcBorders>
              <w:top w:val="nil"/>
              <w:left w:val="nil"/>
              <w:bottom w:val="nil"/>
              <w:right w:val="nil"/>
            </w:tcBorders>
            <w:vAlign w:val="center"/>
          </w:tcPr>
          <w:p>
            <w:pPr>
              <w:jc w:val="both"/>
              <w:rPr>
                <w:rFonts w:ascii="TimesNewRoman" w:hAnsi="TimesNewRoman" w:cs="TimesNewRoman"/>
                <w:sz w:val="20"/>
                <w:szCs w:val="20"/>
              </w:rPr>
            </w:pPr>
            <w:r>
              <w:rPr>
                <w:rFonts w:hint="eastAsia" w:ascii="TimesNewRoman" w:hAnsi="TimesNewRoman" w:cs="TimesNewRoman"/>
                <w:sz w:val="20"/>
                <w:szCs w:val="20"/>
              </w:rPr>
              <w:t>注：本表反映部门本年度一般公共预算财政拨款基本支出明细情况。</w:t>
            </w:r>
          </w:p>
        </w:tc>
      </w:tr>
    </w:tbl>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tbl>
      <w:tblPr>
        <w:tblStyle w:val="5"/>
        <w:tblW w:w="14198" w:type="dxa"/>
        <w:tblInd w:w="93" w:type="dxa"/>
        <w:tblLayout w:type="autofit"/>
        <w:tblCellMar>
          <w:top w:w="0" w:type="dxa"/>
          <w:left w:w="108" w:type="dxa"/>
          <w:bottom w:w="0" w:type="dxa"/>
          <w:right w:w="108" w:type="dxa"/>
        </w:tblCellMar>
      </w:tblPr>
      <w:tblGrid>
        <w:gridCol w:w="867"/>
        <w:gridCol w:w="3333"/>
        <w:gridCol w:w="1666"/>
        <w:gridCol w:w="1666"/>
        <w:gridCol w:w="1666"/>
        <w:gridCol w:w="1666"/>
        <w:gridCol w:w="1667"/>
        <w:gridCol w:w="1667"/>
      </w:tblGrid>
      <w:tr>
        <w:tblPrEx>
          <w:tblCellMar>
            <w:top w:w="0" w:type="dxa"/>
            <w:left w:w="108" w:type="dxa"/>
            <w:bottom w:w="0" w:type="dxa"/>
            <w:right w:w="108" w:type="dxa"/>
          </w:tblCellMar>
        </w:tblPrEx>
        <w:trPr>
          <w:trHeight w:val="568" w:hRule="atLeast"/>
        </w:trPr>
        <w:tc>
          <w:tcPr>
            <w:tcW w:w="14198" w:type="dxa"/>
            <w:gridSpan w:val="8"/>
            <w:tcBorders>
              <w:top w:val="nil"/>
              <w:left w:val="nil"/>
              <w:bottom w:val="nil"/>
              <w:right w:val="nil"/>
            </w:tcBorders>
            <w:noWrap/>
            <w:vAlign w:val="center"/>
          </w:tcPr>
          <w:p>
            <w:pPr>
              <w:jc w:val="both"/>
              <w:rPr>
                <w:rFonts w:ascii="TimesNewRoman" w:hAnsi="TimesNewRoman" w:eastAsia="方正小标宋_GBK" w:cs="TimesNewRoman"/>
                <w:color w:val="000000"/>
                <w:sz w:val="40"/>
                <w:szCs w:val="40"/>
              </w:rPr>
            </w:pPr>
          </w:p>
          <w:p>
            <w:pPr>
              <w:jc w:val="both"/>
              <w:rPr>
                <w:rFonts w:ascii="TimesNewRoman" w:hAnsi="TimesNewRoman" w:eastAsia="方正小标宋_GBK" w:cs="TimesNewRoman"/>
                <w:color w:val="000000"/>
                <w:sz w:val="40"/>
                <w:szCs w:val="40"/>
              </w:rPr>
            </w:pPr>
          </w:p>
          <w:p>
            <w:pPr>
              <w:jc w:val="center"/>
              <w:rPr>
                <w:rFonts w:ascii="TimesNewRoman" w:hAnsi="TimesNewRoman" w:eastAsia="方正小标宋_GBK" w:cs="TimesNewRoman"/>
                <w:color w:val="000000"/>
                <w:sz w:val="40"/>
                <w:szCs w:val="40"/>
              </w:rPr>
            </w:pPr>
            <w:r>
              <w:rPr>
                <w:rFonts w:hint="eastAsia" w:ascii="TimesNewRoman" w:hAnsi="TimesNewRoman" w:eastAsia="方正小标宋_GBK" w:cs="TimesNewRoman"/>
                <w:color w:val="000000"/>
                <w:sz w:val="40"/>
                <w:szCs w:val="40"/>
              </w:rPr>
              <w:t>政府性基金预算财政拨款收入支出决算表</w:t>
            </w:r>
          </w:p>
        </w:tc>
      </w:tr>
      <w:tr>
        <w:tblPrEx>
          <w:tblCellMar>
            <w:top w:w="0" w:type="dxa"/>
            <w:left w:w="108" w:type="dxa"/>
            <w:bottom w:w="0" w:type="dxa"/>
            <w:right w:w="108" w:type="dxa"/>
          </w:tblCellMar>
        </w:tblPrEx>
        <w:trPr>
          <w:trHeight w:val="307" w:hRule="atLeast"/>
        </w:trPr>
        <w:tc>
          <w:tcPr>
            <w:tcW w:w="14198" w:type="dxa"/>
            <w:gridSpan w:val="8"/>
            <w:tcBorders>
              <w:top w:val="nil"/>
              <w:left w:val="nil"/>
              <w:bottom w:val="nil"/>
              <w:right w:val="nil"/>
            </w:tcBorders>
            <w:noWrap/>
            <w:vAlign w:val="center"/>
          </w:tcPr>
          <w:p>
            <w:pPr>
              <w:jc w:val="right"/>
              <w:rPr>
                <w:rFonts w:ascii="TimesNewRoman" w:hAnsi="TimesNewRoman" w:cs="TimesNewRoman"/>
                <w:color w:val="000000"/>
              </w:rPr>
            </w:pPr>
            <w:r>
              <w:rPr>
                <w:rFonts w:hint="eastAsia" w:ascii="TimesNewRoman" w:hAnsi="TimesNewRoman" w:cs="TimesNewRoman"/>
                <w:color w:val="000000"/>
              </w:rPr>
              <w:t>公开</w:t>
            </w:r>
            <w:r>
              <w:rPr>
                <w:rFonts w:ascii="TimesNewRoman" w:hAnsi="TimesNewRoman" w:cs="TimesNewRoman"/>
                <w:color w:val="000000"/>
              </w:rPr>
              <w:t>07</w:t>
            </w:r>
            <w:r>
              <w:rPr>
                <w:rFonts w:hint="eastAsia" w:ascii="TimesNewRoman" w:hAnsi="TimesNewRoman" w:cs="TimesNewRoman"/>
                <w:color w:val="000000"/>
              </w:rPr>
              <w:t>表</w:t>
            </w:r>
          </w:p>
        </w:tc>
      </w:tr>
      <w:tr>
        <w:tblPrEx>
          <w:tblCellMar>
            <w:top w:w="0" w:type="dxa"/>
            <w:left w:w="108" w:type="dxa"/>
            <w:bottom w:w="0" w:type="dxa"/>
            <w:right w:w="108" w:type="dxa"/>
          </w:tblCellMar>
        </w:tblPrEx>
        <w:trPr>
          <w:trHeight w:val="307" w:hRule="atLeast"/>
        </w:trPr>
        <w:tc>
          <w:tcPr>
            <w:tcW w:w="14198" w:type="dxa"/>
            <w:gridSpan w:val="8"/>
            <w:tcBorders>
              <w:top w:val="nil"/>
              <w:left w:val="nil"/>
              <w:bottom w:val="single" w:color="000000" w:sz="4" w:space="0"/>
              <w:right w:val="nil"/>
            </w:tcBorders>
            <w:noWrap/>
            <w:vAlign w:val="center"/>
          </w:tcPr>
          <w:p>
            <w:pPr>
              <w:jc w:val="both"/>
              <w:rPr>
                <w:rFonts w:ascii="TimesNewRoman" w:hAnsi="TimesNewRoman" w:cs="TimesNewRoman"/>
                <w:color w:val="000000"/>
              </w:rPr>
            </w:pPr>
            <w:r>
              <w:rPr>
                <w:rFonts w:hint="eastAsia" w:ascii="TimesNewRoman" w:hAnsi="TimesNewRoman" w:cs="TimesNewRoman"/>
                <w:color w:val="000000"/>
              </w:rPr>
              <w:t>公开部门：重庆市垫江县司法局（本级）</w:t>
            </w:r>
            <w:r>
              <w:rPr>
                <w:rFonts w:ascii="TimesNewRoman" w:hAnsi="TimesNewRoman" w:cs="TimesNewRoman"/>
                <w:color w:val="000000"/>
              </w:rPr>
              <w:t xml:space="preserve">                                                             2021</w:t>
            </w:r>
            <w:r>
              <w:rPr>
                <w:rFonts w:hint="eastAsia" w:ascii="TimesNewRoman" w:hAnsi="TimesNewRoman" w:cs="TimesNewRoman"/>
                <w:color w:val="000000"/>
              </w:rPr>
              <w:t>年度</w:t>
            </w:r>
            <w:r>
              <w:rPr>
                <w:rFonts w:ascii="TimesNewRoman" w:hAnsi="TimesNewRoman" w:cs="TimesNewRoman"/>
                <w:color w:val="000000"/>
              </w:rPr>
              <w:t xml:space="preserve">                                                              </w:t>
            </w:r>
            <w:r>
              <w:rPr>
                <w:rFonts w:hint="eastAsia" w:ascii="TimesNewRoman" w:hAnsi="TimesNewRoman" w:cs="TimesNewRoman"/>
                <w:color w:val="000000"/>
              </w:rPr>
              <w:t>单位：万元</w:t>
            </w:r>
          </w:p>
        </w:tc>
      </w:tr>
      <w:tr>
        <w:tblPrEx>
          <w:tblCellMar>
            <w:top w:w="0" w:type="dxa"/>
            <w:left w:w="108" w:type="dxa"/>
            <w:bottom w:w="0" w:type="dxa"/>
            <w:right w:w="108" w:type="dxa"/>
          </w:tblCellMar>
        </w:tblPrEx>
        <w:trPr>
          <w:trHeight w:val="307" w:hRule="atLeast"/>
        </w:trPr>
        <w:tc>
          <w:tcPr>
            <w:tcW w:w="42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w:t>
            </w:r>
          </w:p>
        </w:tc>
        <w:tc>
          <w:tcPr>
            <w:tcW w:w="1666"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年初结转和结余</w:t>
            </w:r>
          </w:p>
        </w:tc>
        <w:tc>
          <w:tcPr>
            <w:tcW w:w="1666"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本年收入</w:t>
            </w:r>
          </w:p>
        </w:tc>
        <w:tc>
          <w:tcPr>
            <w:tcW w:w="4999" w:type="dxa"/>
            <w:gridSpan w:val="3"/>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本年支出</w:t>
            </w:r>
          </w:p>
        </w:tc>
        <w:tc>
          <w:tcPr>
            <w:tcW w:w="1666" w:type="dxa"/>
            <w:vMerge w:val="restart"/>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年末结转和结余</w:t>
            </w:r>
          </w:p>
        </w:tc>
      </w:tr>
      <w:tr>
        <w:tblPrEx>
          <w:tblCellMar>
            <w:top w:w="0" w:type="dxa"/>
            <w:left w:w="108" w:type="dxa"/>
            <w:bottom w:w="0" w:type="dxa"/>
            <w:right w:w="108" w:type="dxa"/>
          </w:tblCellMar>
        </w:tblPrEx>
        <w:trPr>
          <w:trHeight w:val="307" w:hRule="atLeast"/>
        </w:trPr>
        <w:tc>
          <w:tcPr>
            <w:tcW w:w="867" w:type="dxa"/>
            <w:vMerge w:val="restart"/>
            <w:tcBorders>
              <w:top w:val="nil"/>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功能分类科目编码</w:t>
            </w:r>
          </w:p>
        </w:tc>
        <w:tc>
          <w:tcPr>
            <w:tcW w:w="3333"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项目（按</w:t>
            </w:r>
            <w:r>
              <w:rPr>
                <w:rFonts w:ascii="TimesNewRoman" w:hAnsi="TimesNewRoman" w:cs="TimesNewRoman"/>
                <w:b/>
                <w:bCs/>
                <w:sz w:val="20"/>
                <w:szCs w:val="20"/>
              </w:rPr>
              <w:t>“</w:t>
            </w:r>
            <w:r>
              <w:rPr>
                <w:rFonts w:hint="eastAsia" w:ascii="TimesNewRoman" w:hAnsi="TimesNewRoman" w:cs="TimesNewRoman"/>
                <w:b/>
                <w:bCs/>
                <w:sz w:val="20"/>
                <w:szCs w:val="20"/>
              </w:rPr>
              <w:t>项</w:t>
            </w:r>
            <w:r>
              <w:rPr>
                <w:rFonts w:ascii="TimesNewRoman" w:hAnsi="TimesNewRoman" w:cs="TimesNewRoman"/>
                <w:b/>
                <w:bCs/>
                <w:sz w:val="20"/>
                <w:szCs w:val="20"/>
              </w:rPr>
              <w:t>”</w:t>
            </w:r>
            <w:r>
              <w:rPr>
                <w:rFonts w:hint="eastAsia" w:ascii="TimesNewRoman" w:hAnsi="TimesNewRoman" w:cs="TimesNewRoman"/>
                <w:b/>
                <w:bCs/>
                <w:sz w:val="20"/>
                <w:szCs w:val="20"/>
              </w:rPr>
              <w:t>级功能分类科目）</w:t>
            </w:r>
          </w:p>
        </w:tc>
        <w:tc>
          <w:tcPr>
            <w:tcW w:w="1666" w:type="dxa"/>
            <w:vMerge w:val="continue"/>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p>
        </w:tc>
        <w:tc>
          <w:tcPr>
            <w:tcW w:w="1666"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合计</w:t>
            </w:r>
          </w:p>
        </w:tc>
        <w:tc>
          <w:tcPr>
            <w:tcW w:w="1666"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基本支出</w:t>
            </w:r>
          </w:p>
        </w:tc>
        <w:tc>
          <w:tcPr>
            <w:tcW w:w="1666"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项目支出</w:t>
            </w: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307" w:hRule="atLeast"/>
        </w:trPr>
        <w:tc>
          <w:tcPr>
            <w:tcW w:w="867" w:type="dxa"/>
            <w:vMerge w:val="continue"/>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3333"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614" w:hRule="atLeast"/>
        </w:trPr>
        <w:tc>
          <w:tcPr>
            <w:tcW w:w="867" w:type="dxa"/>
            <w:vMerge w:val="continue"/>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3333"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666"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307" w:hRule="atLeast"/>
        </w:trPr>
        <w:tc>
          <w:tcPr>
            <w:tcW w:w="4200" w:type="dxa"/>
            <w:gridSpan w:val="2"/>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合计</w:t>
            </w:r>
          </w:p>
        </w:tc>
        <w:tc>
          <w:tcPr>
            <w:tcW w:w="166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6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6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6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6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6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r>
      <w:tr>
        <w:tblPrEx>
          <w:tblCellMar>
            <w:top w:w="0" w:type="dxa"/>
            <w:left w:w="108" w:type="dxa"/>
            <w:bottom w:w="0" w:type="dxa"/>
            <w:right w:w="108" w:type="dxa"/>
          </w:tblCellMar>
        </w:tblPrEx>
        <w:trPr>
          <w:trHeight w:val="307" w:hRule="atLeast"/>
        </w:trPr>
        <w:tc>
          <w:tcPr>
            <w:tcW w:w="86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333"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6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6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6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6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6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666"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r>
      <w:tr>
        <w:tblPrEx>
          <w:tblCellMar>
            <w:top w:w="0" w:type="dxa"/>
            <w:left w:w="108" w:type="dxa"/>
            <w:bottom w:w="0" w:type="dxa"/>
            <w:right w:w="108" w:type="dxa"/>
          </w:tblCellMar>
        </w:tblPrEx>
        <w:trPr>
          <w:trHeight w:val="307" w:hRule="atLeast"/>
        </w:trPr>
        <w:tc>
          <w:tcPr>
            <w:tcW w:w="14198" w:type="dxa"/>
            <w:gridSpan w:val="8"/>
            <w:tcBorders>
              <w:top w:val="nil"/>
              <w:left w:val="nil"/>
              <w:bottom w:val="nil"/>
              <w:right w:val="nil"/>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备注：本表反映部门本年度政府性基金预算财政拨款收入支出及结转和结余情况。</w:t>
            </w:r>
          </w:p>
        </w:tc>
      </w:tr>
      <w:tr>
        <w:tblPrEx>
          <w:tblCellMar>
            <w:top w:w="0" w:type="dxa"/>
            <w:left w:w="108" w:type="dxa"/>
            <w:bottom w:w="0" w:type="dxa"/>
            <w:right w:w="108" w:type="dxa"/>
          </w:tblCellMar>
        </w:tblPrEx>
        <w:trPr>
          <w:trHeight w:val="307" w:hRule="atLeast"/>
        </w:trPr>
        <w:tc>
          <w:tcPr>
            <w:tcW w:w="14198" w:type="dxa"/>
            <w:gridSpan w:val="8"/>
            <w:tcBorders>
              <w:top w:val="nil"/>
              <w:left w:val="nil"/>
              <w:bottom w:val="nil"/>
              <w:right w:val="nil"/>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本表为空的部门应将空表公开，并注明：本单位无政府性基金收入，也没有使用政府性基金安排的支出，故本表无数据。</w:t>
            </w:r>
          </w:p>
        </w:tc>
      </w:tr>
    </w:tbl>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sectPr>
          <w:pgSz w:w="16840" w:h="11907" w:orient="landscape"/>
          <w:pgMar w:top="1985" w:right="1446" w:bottom="1644" w:left="1446" w:header="851" w:footer="992" w:gutter="0"/>
          <w:pgNumType w:fmt="numberInDash"/>
          <w:cols w:space="720" w:num="1"/>
          <w:docGrid w:type="linesAndChars" w:linePitch="326" w:charSpace="0"/>
        </w:sectPr>
      </w:pPr>
    </w:p>
    <w:tbl>
      <w:tblPr>
        <w:tblStyle w:val="5"/>
        <w:tblW w:w="8557" w:type="dxa"/>
        <w:tblInd w:w="93" w:type="dxa"/>
        <w:tblLayout w:type="autofit"/>
        <w:tblCellMar>
          <w:top w:w="0" w:type="dxa"/>
          <w:left w:w="108" w:type="dxa"/>
          <w:bottom w:w="0" w:type="dxa"/>
          <w:right w:w="108" w:type="dxa"/>
        </w:tblCellMar>
      </w:tblPr>
      <w:tblGrid>
        <w:gridCol w:w="807"/>
        <w:gridCol w:w="3100"/>
        <w:gridCol w:w="1550"/>
        <w:gridCol w:w="1550"/>
        <w:gridCol w:w="1550"/>
      </w:tblGrid>
      <w:tr>
        <w:tblPrEx>
          <w:tblCellMar>
            <w:top w:w="0" w:type="dxa"/>
            <w:left w:w="108" w:type="dxa"/>
            <w:bottom w:w="0" w:type="dxa"/>
            <w:right w:w="108" w:type="dxa"/>
          </w:tblCellMar>
        </w:tblPrEx>
        <w:trPr>
          <w:trHeight w:val="568" w:hRule="atLeast"/>
        </w:trPr>
        <w:tc>
          <w:tcPr>
            <w:tcW w:w="8556" w:type="dxa"/>
            <w:gridSpan w:val="5"/>
            <w:tcBorders>
              <w:top w:val="nil"/>
              <w:left w:val="nil"/>
              <w:bottom w:val="nil"/>
              <w:right w:val="nil"/>
            </w:tcBorders>
            <w:noWrap/>
            <w:vAlign w:val="center"/>
          </w:tcPr>
          <w:p>
            <w:pPr>
              <w:jc w:val="center"/>
              <w:rPr>
                <w:rFonts w:ascii="TimesNewRoman" w:hAnsi="TimesNewRoman" w:eastAsia="方正小标宋_GBK" w:cs="TimesNewRoman"/>
                <w:color w:val="000000"/>
                <w:sz w:val="40"/>
                <w:szCs w:val="40"/>
              </w:rPr>
            </w:pPr>
            <w:r>
              <w:rPr>
                <w:rFonts w:hint="eastAsia" w:ascii="TimesNewRoman" w:hAnsi="TimesNewRoman" w:eastAsia="方正小标宋_GBK" w:cs="TimesNewRoman"/>
                <w:color w:val="000000"/>
                <w:sz w:val="40"/>
                <w:szCs w:val="40"/>
              </w:rPr>
              <w:t>国有资本经营预算财政拨款支出决算表</w:t>
            </w:r>
          </w:p>
        </w:tc>
      </w:tr>
      <w:tr>
        <w:tblPrEx>
          <w:tblCellMar>
            <w:top w:w="0" w:type="dxa"/>
            <w:left w:w="108" w:type="dxa"/>
            <w:bottom w:w="0" w:type="dxa"/>
            <w:right w:w="108" w:type="dxa"/>
          </w:tblCellMar>
        </w:tblPrEx>
        <w:trPr>
          <w:trHeight w:val="307" w:hRule="atLeast"/>
        </w:trPr>
        <w:tc>
          <w:tcPr>
            <w:tcW w:w="8556" w:type="dxa"/>
            <w:gridSpan w:val="5"/>
            <w:tcBorders>
              <w:top w:val="nil"/>
              <w:left w:val="nil"/>
              <w:bottom w:val="nil"/>
              <w:right w:val="nil"/>
            </w:tcBorders>
            <w:noWrap/>
            <w:vAlign w:val="center"/>
          </w:tcPr>
          <w:p>
            <w:pPr>
              <w:jc w:val="right"/>
              <w:rPr>
                <w:rFonts w:ascii="TimesNewRoman" w:hAnsi="TimesNewRoman" w:cs="TimesNewRoman"/>
                <w:color w:val="000000"/>
              </w:rPr>
            </w:pPr>
            <w:r>
              <w:rPr>
                <w:rFonts w:hint="eastAsia" w:ascii="TimesNewRoman" w:hAnsi="TimesNewRoman" w:cs="TimesNewRoman"/>
                <w:color w:val="000000"/>
              </w:rPr>
              <w:t>公开</w:t>
            </w:r>
            <w:r>
              <w:rPr>
                <w:rFonts w:ascii="TimesNewRoman" w:hAnsi="TimesNewRoman" w:cs="TimesNewRoman"/>
                <w:color w:val="000000"/>
              </w:rPr>
              <w:t>08</w:t>
            </w:r>
            <w:r>
              <w:rPr>
                <w:rFonts w:hint="eastAsia" w:ascii="TimesNewRoman" w:hAnsi="TimesNewRoman" w:cs="TimesNewRoman"/>
                <w:color w:val="000000"/>
              </w:rPr>
              <w:t>表</w:t>
            </w:r>
          </w:p>
        </w:tc>
      </w:tr>
      <w:tr>
        <w:tblPrEx>
          <w:tblCellMar>
            <w:top w:w="0" w:type="dxa"/>
            <w:left w:w="108" w:type="dxa"/>
            <w:bottom w:w="0" w:type="dxa"/>
            <w:right w:w="108" w:type="dxa"/>
          </w:tblCellMar>
        </w:tblPrEx>
        <w:trPr>
          <w:trHeight w:val="307" w:hRule="atLeast"/>
        </w:trPr>
        <w:tc>
          <w:tcPr>
            <w:tcW w:w="8556" w:type="dxa"/>
            <w:gridSpan w:val="5"/>
            <w:tcBorders>
              <w:top w:val="nil"/>
              <w:left w:val="nil"/>
              <w:bottom w:val="single" w:color="000000" w:sz="4" w:space="0"/>
              <w:right w:val="nil"/>
            </w:tcBorders>
            <w:noWrap/>
            <w:vAlign w:val="center"/>
          </w:tcPr>
          <w:p>
            <w:pPr>
              <w:jc w:val="both"/>
              <w:rPr>
                <w:rFonts w:ascii="TimesNewRoman" w:hAnsi="TimesNewRoman" w:cs="TimesNewRoman"/>
                <w:color w:val="000000"/>
              </w:rPr>
            </w:pPr>
            <w:r>
              <w:rPr>
                <w:rFonts w:hint="eastAsia" w:ascii="TimesNewRoman" w:hAnsi="TimesNewRoman" w:cs="TimesNewRoman"/>
                <w:color w:val="000000"/>
              </w:rPr>
              <w:t>公开部门：重庆市垫江县司法局（本级）</w:t>
            </w:r>
            <w:r>
              <w:rPr>
                <w:rFonts w:ascii="TimesNewRoman" w:hAnsi="TimesNewRoman" w:cs="TimesNewRoman"/>
                <w:color w:val="000000"/>
              </w:rPr>
              <w:t xml:space="preserve">             2021</w:t>
            </w:r>
            <w:r>
              <w:rPr>
                <w:rFonts w:hint="eastAsia" w:ascii="TimesNewRoman" w:hAnsi="TimesNewRoman" w:cs="TimesNewRoman"/>
                <w:color w:val="000000"/>
              </w:rPr>
              <w:t>年度</w:t>
            </w:r>
            <w:r>
              <w:rPr>
                <w:rFonts w:ascii="TimesNewRoman" w:hAnsi="TimesNewRoman" w:cs="TimesNewRoman"/>
                <w:color w:val="000000"/>
              </w:rPr>
              <w:t xml:space="preserve">                </w:t>
            </w:r>
            <w:r>
              <w:rPr>
                <w:rFonts w:hint="eastAsia" w:ascii="TimesNewRoman" w:hAnsi="TimesNewRoman" w:cs="TimesNewRoman"/>
                <w:color w:val="000000"/>
              </w:rPr>
              <w:t>单位：万元</w:t>
            </w:r>
          </w:p>
        </w:tc>
      </w:tr>
      <w:tr>
        <w:tblPrEx>
          <w:tblCellMar>
            <w:top w:w="0" w:type="dxa"/>
            <w:left w:w="108" w:type="dxa"/>
            <w:bottom w:w="0" w:type="dxa"/>
            <w:right w:w="108" w:type="dxa"/>
          </w:tblCellMar>
        </w:tblPrEx>
        <w:trPr>
          <w:trHeight w:val="307" w:hRule="atLeast"/>
        </w:trPr>
        <w:tc>
          <w:tcPr>
            <w:tcW w:w="390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w:t>
            </w:r>
          </w:p>
        </w:tc>
        <w:tc>
          <w:tcPr>
            <w:tcW w:w="4650" w:type="dxa"/>
            <w:gridSpan w:val="3"/>
            <w:tcBorders>
              <w:top w:val="single" w:color="000000" w:sz="4" w:space="0"/>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本年支出</w:t>
            </w:r>
          </w:p>
        </w:tc>
      </w:tr>
      <w:tr>
        <w:tblPrEx>
          <w:tblCellMar>
            <w:top w:w="0" w:type="dxa"/>
            <w:left w:w="108" w:type="dxa"/>
            <w:bottom w:w="0" w:type="dxa"/>
            <w:right w:w="108" w:type="dxa"/>
          </w:tblCellMar>
        </w:tblPrEx>
        <w:trPr>
          <w:trHeight w:val="307" w:hRule="atLeast"/>
        </w:trPr>
        <w:tc>
          <w:tcPr>
            <w:tcW w:w="807" w:type="dxa"/>
            <w:vMerge w:val="restart"/>
            <w:tcBorders>
              <w:top w:val="nil"/>
              <w:left w:val="single" w:color="000000" w:sz="4" w:space="0"/>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功能分类科目编码</w:t>
            </w:r>
          </w:p>
        </w:tc>
        <w:tc>
          <w:tcPr>
            <w:tcW w:w="3100"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科目名称</w:t>
            </w:r>
          </w:p>
        </w:tc>
        <w:tc>
          <w:tcPr>
            <w:tcW w:w="1550"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合计</w:t>
            </w:r>
          </w:p>
        </w:tc>
        <w:tc>
          <w:tcPr>
            <w:tcW w:w="1550"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基本支出</w:t>
            </w:r>
          </w:p>
        </w:tc>
        <w:tc>
          <w:tcPr>
            <w:tcW w:w="1550" w:type="dxa"/>
            <w:vMerge w:val="restart"/>
            <w:tcBorders>
              <w:top w:val="nil"/>
              <w:left w:val="nil"/>
              <w:bottom w:val="single" w:color="000000" w:sz="4" w:space="0"/>
              <w:right w:val="single" w:color="000000" w:sz="4" w:space="0"/>
            </w:tcBorders>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项目支出</w:t>
            </w:r>
          </w:p>
        </w:tc>
      </w:tr>
      <w:tr>
        <w:tblPrEx>
          <w:tblCellMar>
            <w:top w:w="0" w:type="dxa"/>
            <w:left w:w="108" w:type="dxa"/>
            <w:bottom w:w="0" w:type="dxa"/>
            <w:right w:w="108" w:type="dxa"/>
          </w:tblCellMar>
        </w:tblPrEx>
        <w:trPr>
          <w:trHeight w:val="307" w:hRule="atLeast"/>
        </w:trPr>
        <w:tc>
          <w:tcPr>
            <w:tcW w:w="807" w:type="dxa"/>
            <w:vMerge w:val="continue"/>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310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5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5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5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614" w:hRule="atLeast"/>
        </w:trPr>
        <w:tc>
          <w:tcPr>
            <w:tcW w:w="807" w:type="dxa"/>
            <w:vMerge w:val="continue"/>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310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5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5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c>
          <w:tcPr>
            <w:tcW w:w="1550" w:type="dxa"/>
            <w:vMerge w:val="continue"/>
            <w:tcBorders>
              <w:top w:val="nil"/>
              <w:left w:val="nil"/>
              <w:bottom w:val="single" w:color="000000" w:sz="4" w:space="0"/>
              <w:right w:val="single" w:color="000000" w:sz="4" w:space="0"/>
            </w:tcBorders>
            <w:vAlign w:val="center"/>
          </w:tcPr>
          <w:p>
            <w:pPr>
              <w:jc w:val="both"/>
              <w:rPr>
                <w:rFonts w:ascii="TimesNewRoman" w:hAnsi="TimesNewRoman" w:cs="TimesNewRoman"/>
                <w:b/>
                <w:bCs/>
                <w:sz w:val="20"/>
                <w:szCs w:val="20"/>
              </w:rPr>
            </w:pPr>
          </w:p>
        </w:tc>
      </w:tr>
      <w:tr>
        <w:tblPrEx>
          <w:tblCellMar>
            <w:top w:w="0" w:type="dxa"/>
            <w:left w:w="108" w:type="dxa"/>
            <w:bottom w:w="0" w:type="dxa"/>
            <w:right w:w="108" w:type="dxa"/>
          </w:tblCellMar>
        </w:tblPrEx>
        <w:trPr>
          <w:trHeight w:val="307" w:hRule="atLeast"/>
        </w:trPr>
        <w:tc>
          <w:tcPr>
            <w:tcW w:w="3906" w:type="dxa"/>
            <w:gridSpan w:val="2"/>
            <w:tcBorders>
              <w:top w:val="nil"/>
              <w:left w:val="single" w:color="000000" w:sz="4" w:space="0"/>
              <w:bottom w:val="single" w:color="000000" w:sz="4" w:space="0"/>
              <w:right w:val="single" w:color="000000" w:sz="4" w:space="0"/>
            </w:tcBorders>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合计</w:t>
            </w:r>
          </w:p>
        </w:tc>
        <w:tc>
          <w:tcPr>
            <w:tcW w:w="15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5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5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r>
      <w:tr>
        <w:tblPrEx>
          <w:tblCellMar>
            <w:top w:w="0" w:type="dxa"/>
            <w:left w:w="108" w:type="dxa"/>
            <w:bottom w:w="0" w:type="dxa"/>
            <w:right w:w="108" w:type="dxa"/>
          </w:tblCellMar>
        </w:tblPrEx>
        <w:trPr>
          <w:trHeight w:val="307" w:hRule="atLeast"/>
        </w:trPr>
        <w:tc>
          <w:tcPr>
            <w:tcW w:w="80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310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5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5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1550"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r>
      <w:tr>
        <w:tblPrEx>
          <w:tblCellMar>
            <w:top w:w="0" w:type="dxa"/>
            <w:left w:w="108" w:type="dxa"/>
            <w:bottom w:w="0" w:type="dxa"/>
            <w:right w:w="108" w:type="dxa"/>
          </w:tblCellMar>
        </w:tblPrEx>
        <w:trPr>
          <w:trHeight w:val="307" w:hRule="atLeast"/>
        </w:trPr>
        <w:tc>
          <w:tcPr>
            <w:tcW w:w="8556" w:type="dxa"/>
            <w:gridSpan w:val="5"/>
            <w:tcBorders>
              <w:top w:val="nil"/>
              <w:left w:val="nil"/>
              <w:bottom w:val="nil"/>
              <w:right w:val="nil"/>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备注：本表反映部门本年度国有资本经营预算财政拨款支出情况。</w:t>
            </w:r>
          </w:p>
        </w:tc>
      </w:tr>
      <w:tr>
        <w:tblPrEx>
          <w:tblCellMar>
            <w:top w:w="0" w:type="dxa"/>
            <w:left w:w="108" w:type="dxa"/>
            <w:bottom w:w="0" w:type="dxa"/>
            <w:right w:w="108" w:type="dxa"/>
          </w:tblCellMar>
        </w:tblPrEx>
        <w:trPr>
          <w:trHeight w:val="307" w:hRule="atLeast"/>
        </w:trPr>
        <w:tc>
          <w:tcPr>
            <w:tcW w:w="8556" w:type="dxa"/>
            <w:gridSpan w:val="5"/>
            <w:tcBorders>
              <w:top w:val="nil"/>
              <w:left w:val="nil"/>
              <w:bottom w:val="nil"/>
              <w:right w:val="nil"/>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本表为空的部门应将空表公开，并注明：本单位无国有资本经营预算财政拨款支出，故本表无数据。</w:t>
            </w:r>
          </w:p>
        </w:tc>
      </w:tr>
    </w:tbl>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pPr>
    </w:p>
    <w:p>
      <w:pPr>
        <w:spacing w:line="594" w:lineRule="exact"/>
        <w:jc w:val="both"/>
        <w:rPr>
          <w:rFonts w:ascii="TimesNewRoman" w:hAnsi="TimesNewRoman" w:eastAsia="方正仿宋_GBK" w:cs="TimesNewRoman"/>
          <w:sz w:val="32"/>
          <w:szCs w:val="32"/>
        </w:rPr>
        <w:sectPr>
          <w:pgSz w:w="11907" w:h="16840"/>
          <w:pgMar w:top="1446" w:right="1644" w:bottom="1446" w:left="1985" w:header="851" w:footer="992" w:gutter="0"/>
          <w:pgNumType w:fmt="numberInDash"/>
          <w:cols w:space="720" w:num="1"/>
          <w:docGrid w:type="lines" w:linePitch="326" w:charSpace="0"/>
        </w:sectPr>
      </w:pPr>
    </w:p>
    <w:tbl>
      <w:tblPr>
        <w:tblStyle w:val="5"/>
        <w:tblW w:w="14084" w:type="dxa"/>
        <w:tblInd w:w="93" w:type="dxa"/>
        <w:tblLayout w:type="autofit"/>
        <w:tblCellMar>
          <w:top w:w="0" w:type="dxa"/>
          <w:left w:w="108" w:type="dxa"/>
          <w:bottom w:w="0" w:type="dxa"/>
          <w:right w:w="108" w:type="dxa"/>
        </w:tblCellMar>
      </w:tblPr>
      <w:tblGrid>
        <w:gridCol w:w="4757"/>
        <w:gridCol w:w="904"/>
        <w:gridCol w:w="904"/>
        <w:gridCol w:w="6614"/>
        <w:gridCol w:w="905"/>
      </w:tblGrid>
      <w:tr>
        <w:tblPrEx>
          <w:tblCellMar>
            <w:top w:w="0" w:type="dxa"/>
            <w:left w:w="108" w:type="dxa"/>
            <w:bottom w:w="0" w:type="dxa"/>
            <w:right w:w="108" w:type="dxa"/>
          </w:tblCellMar>
        </w:tblPrEx>
        <w:trPr>
          <w:trHeight w:val="540" w:hRule="atLeast"/>
        </w:trPr>
        <w:tc>
          <w:tcPr>
            <w:tcW w:w="14084" w:type="dxa"/>
            <w:gridSpan w:val="5"/>
            <w:tcBorders>
              <w:top w:val="nil"/>
              <w:left w:val="nil"/>
              <w:bottom w:val="nil"/>
              <w:right w:val="nil"/>
            </w:tcBorders>
            <w:noWrap/>
            <w:vAlign w:val="center"/>
          </w:tcPr>
          <w:p>
            <w:pPr>
              <w:jc w:val="center"/>
              <w:rPr>
                <w:rFonts w:ascii="TimesNewRoman" w:hAnsi="TimesNewRoman" w:eastAsia="方正小标宋_GBK" w:cs="TimesNewRoman"/>
                <w:color w:val="000000"/>
                <w:sz w:val="40"/>
                <w:szCs w:val="40"/>
              </w:rPr>
            </w:pPr>
            <w:r>
              <w:rPr>
                <w:rFonts w:hint="eastAsia" w:ascii="TimesNewRoman" w:hAnsi="TimesNewRoman" w:eastAsia="方正小标宋_GBK" w:cs="TimesNewRoman"/>
                <w:color w:val="000000"/>
                <w:sz w:val="40"/>
                <w:szCs w:val="40"/>
              </w:rPr>
              <w:t>机构运行信息表</w:t>
            </w:r>
          </w:p>
        </w:tc>
      </w:tr>
      <w:tr>
        <w:tblPrEx>
          <w:tblCellMar>
            <w:top w:w="0" w:type="dxa"/>
            <w:left w:w="108" w:type="dxa"/>
            <w:bottom w:w="0" w:type="dxa"/>
            <w:right w:w="108" w:type="dxa"/>
          </w:tblCellMar>
        </w:tblPrEx>
        <w:trPr>
          <w:trHeight w:val="292" w:hRule="atLeast"/>
        </w:trPr>
        <w:tc>
          <w:tcPr>
            <w:tcW w:w="14084" w:type="dxa"/>
            <w:gridSpan w:val="5"/>
            <w:tcBorders>
              <w:top w:val="nil"/>
              <w:left w:val="nil"/>
              <w:bottom w:val="nil"/>
              <w:right w:val="nil"/>
            </w:tcBorders>
            <w:noWrap/>
            <w:vAlign w:val="center"/>
          </w:tcPr>
          <w:p>
            <w:pPr>
              <w:jc w:val="right"/>
              <w:rPr>
                <w:rFonts w:ascii="TimesNewRoman" w:hAnsi="TimesNewRoman" w:cs="TimesNewRoman"/>
                <w:color w:val="000000"/>
              </w:rPr>
            </w:pPr>
            <w:r>
              <w:rPr>
                <w:rFonts w:hint="eastAsia" w:ascii="TimesNewRoman" w:hAnsi="TimesNewRoman" w:cs="TimesNewRoman"/>
                <w:color w:val="000000"/>
              </w:rPr>
              <w:t>公开</w:t>
            </w:r>
            <w:r>
              <w:rPr>
                <w:rFonts w:ascii="TimesNewRoman" w:hAnsi="TimesNewRoman" w:cs="TimesNewRoman"/>
                <w:color w:val="000000"/>
              </w:rPr>
              <w:t>09</w:t>
            </w:r>
            <w:r>
              <w:rPr>
                <w:rFonts w:hint="eastAsia" w:ascii="TimesNewRoman" w:hAnsi="TimesNewRoman" w:cs="TimesNewRoman"/>
                <w:color w:val="000000"/>
              </w:rPr>
              <w:t>表</w:t>
            </w:r>
          </w:p>
        </w:tc>
      </w:tr>
      <w:tr>
        <w:tblPrEx>
          <w:tblCellMar>
            <w:top w:w="0" w:type="dxa"/>
            <w:left w:w="108" w:type="dxa"/>
            <w:bottom w:w="0" w:type="dxa"/>
            <w:right w:w="108" w:type="dxa"/>
          </w:tblCellMar>
        </w:tblPrEx>
        <w:trPr>
          <w:trHeight w:val="292" w:hRule="atLeast"/>
        </w:trPr>
        <w:tc>
          <w:tcPr>
            <w:tcW w:w="14084" w:type="dxa"/>
            <w:gridSpan w:val="5"/>
            <w:tcBorders>
              <w:top w:val="nil"/>
              <w:left w:val="nil"/>
              <w:bottom w:val="single" w:color="000000" w:sz="4" w:space="0"/>
              <w:right w:val="nil"/>
            </w:tcBorders>
            <w:noWrap/>
            <w:vAlign w:val="center"/>
          </w:tcPr>
          <w:p>
            <w:pPr>
              <w:jc w:val="both"/>
              <w:rPr>
                <w:rFonts w:ascii="TimesNewRoman" w:hAnsi="TimesNewRoman" w:cs="TimesNewRoman"/>
                <w:color w:val="000000"/>
              </w:rPr>
            </w:pPr>
            <w:r>
              <w:rPr>
                <w:rFonts w:hint="eastAsia" w:ascii="TimesNewRoman" w:hAnsi="TimesNewRoman" w:cs="TimesNewRoman"/>
                <w:color w:val="000000"/>
              </w:rPr>
              <w:t>公开部门：重庆市垫江县司法局（本级）</w:t>
            </w:r>
            <w:r>
              <w:rPr>
                <w:rFonts w:ascii="TimesNewRoman" w:hAnsi="TimesNewRoman" w:cs="TimesNewRoman"/>
                <w:color w:val="000000"/>
              </w:rPr>
              <w:t xml:space="preserve">                                                 2021</w:t>
            </w:r>
            <w:r>
              <w:rPr>
                <w:rFonts w:hint="eastAsia" w:ascii="TimesNewRoman" w:hAnsi="TimesNewRoman" w:cs="TimesNewRoman"/>
                <w:color w:val="000000"/>
              </w:rPr>
              <w:t>年度</w:t>
            </w:r>
            <w:r>
              <w:rPr>
                <w:rFonts w:ascii="TimesNewRoman" w:hAnsi="TimesNewRoman" w:cs="TimesNewRoman"/>
                <w:color w:val="000000"/>
              </w:rPr>
              <w:t xml:space="preserve">                                                                         </w:t>
            </w:r>
            <w:r>
              <w:rPr>
                <w:rFonts w:hint="eastAsia" w:ascii="TimesNewRoman" w:hAnsi="TimesNewRoman" w:cs="TimesNewRoman"/>
                <w:color w:val="000000"/>
              </w:rPr>
              <w:t>单位：万元</w:t>
            </w:r>
          </w:p>
        </w:tc>
      </w:tr>
      <w:tr>
        <w:tblPrEx>
          <w:tblCellMar>
            <w:top w:w="0" w:type="dxa"/>
            <w:left w:w="108" w:type="dxa"/>
            <w:bottom w:w="0" w:type="dxa"/>
            <w:right w:w="108" w:type="dxa"/>
          </w:tblCellMar>
        </w:tblPrEx>
        <w:trPr>
          <w:trHeight w:val="438" w:hRule="atLeast"/>
        </w:trPr>
        <w:tc>
          <w:tcPr>
            <w:tcW w:w="475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w:t>
            </w:r>
            <w:r>
              <w:rPr>
                <w:rFonts w:ascii="TimesNewRoman" w:hAnsi="TimesNewRoman" w:cs="TimesNewRoman"/>
                <w:b/>
                <w:bCs/>
                <w:sz w:val="20"/>
                <w:szCs w:val="20"/>
              </w:rPr>
              <w:t xml:space="preserve">  </w:t>
            </w:r>
            <w:r>
              <w:rPr>
                <w:rFonts w:hint="eastAsia" w:ascii="TimesNewRoman" w:hAnsi="TimesNewRoman" w:cs="TimesNewRoman"/>
                <w:b/>
                <w:bCs/>
                <w:sz w:val="20"/>
                <w:szCs w:val="20"/>
              </w:rPr>
              <w:t>目</w:t>
            </w:r>
          </w:p>
        </w:tc>
        <w:tc>
          <w:tcPr>
            <w:tcW w:w="904" w:type="dxa"/>
            <w:tcBorders>
              <w:top w:val="single" w:color="000000" w:sz="4" w:space="0"/>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预算数</w:t>
            </w:r>
          </w:p>
        </w:tc>
        <w:tc>
          <w:tcPr>
            <w:tcW w:w="904" w:type="dxa"/>
            <w:tcBorders>
              <w:top w:val="single" w:color="000000" w:sz="4" w:space="0"/>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决算数</w:t>
            </w:r>
          </w:p>
        </w:tc>
        <w:tc>
          <w:tcPr>
            <w:tcW w:w="6614" w:type="dxa"/>
            <w:tcBorders>
              <w:top w:val="single" w:color="000000" w:sz="4" w:space="0"/>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项</w:t>
            </w:r>
            <w:r>
              <w:rPr>
                <w:rFonts w:ascii="TimesNewRoman" w:hAnsi="TimesNewRoman" w:cs="TimesNewRoman"/>
                <w:b/>
                <w:bCs/>
                <w:sz w:val="20"/>
                <w:szCs w:val="20"/>
              </w:rPr>
              <w:t xml:space="preserve">  </w:t>
            </w:r>
            <w:r>
              <w:rPr>
                <w:rFonts w:hint="eastAsia" w:ascii="TimesNewRoman" w:hAnsi="TimesNewRoman" w:cs="TimesNewRoman"/>
                <w:b/>
                <w:bCs/>
                <w:sz w:val="20"/>
                <w:szCs w:val="20"/>
              </w:rPr>
              <w:t>目</w:t>
            </w:r>
          </w:p>
        </w:tc>
        <w:tc>
          <w:tcPr>
            <w:tcW w:w="905" w:type="dxa"/>
            <w:tcBorders>
              <w:top w:val="single" w:color="000000" w:sz="4" w:space="0"/>
              <w:left w:val="nil"/>
              <w:bottom w:val="single" w:color="000000" w:sz="4" w:space="0"/>
              <w:right w:val="single" w:color="000000" w:sz="4" w:space="0"/>
            </w:tcBorders>
            <w:noWrap/>
            <w:vAlign w:val="center"/>
          </w:tcPr>
          <w:p>
            <w:pPr>
              <w:jc w:val="center"/>
              <w:rPr>
                <w:rFonts w:ascii="TimesNewRoman" w:hAnsi="TimesNewRoman" w:cs="TimesNewRoman"/>
                <w:b/>
                <w:bCs/>
                <w:sz w:val="20"/>
                <w:szCs w:val="20"/>
              </w:rPr>
            </w:pPr>
            <w:r>
              <w:rPr>
                <w:rFonts w:hint="eastAsia" w:ascii="TimesNewRoman" w:hAnsi="TimesNewRoman" w:cs="TimesNewRoman"/>
                <w:b/>
                <w:bCs/>
                <w:sz w:val="20"/>
                <w:szCs w:val="20"/>
              </w:rPr>
              <w:t>决算数</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一、</w:t>
            </w:r>
            <w:r>
              <w:rPr>
                <w:rFonts w:ascii="TimesNewRoman" w:hAnsi="TimesNewRoman" w:cs="TimesNewRoman"/>
                <w:b/>
                <w:bCs/>
                <w:sz w:val="20"/>
                <w:szCs w:val="20"/>
              </w:rPr>
              <w:t>“</w:t>
            </w:r>
            <w:r>
              <w:rPr>
                <w:rFonts w:hint="eastAsia" w:ascii="TimesNewRoman" w:hAnsi="TimesNewRoman" w:cs="TimesNewRoman"/>
                <w:b/>
                <w:bCs/>
                <w:sz w:val="20"/>
                <w:szCs w:val="20"/>
              </w:rPr>
              <w:t>三公</w:t>
            </w:r>
            <w:r>
              <w:rPr>
                <w:rFonts w:ascii="TimesNewRoman" w:hAnsi="TimesNewRoman" w:cs="TimesNewRoman"/>
                <w:b/>
                <w:bCs/>
                <w:sz w:val="20"/>
                <w:szCs w:val="20"/>
              </w:rPr>
              <w:t>”</w:t>
            </w:r>
            <w:r>
              <w:rPr>
                <w:rFonts w:hint="eastAsia" w:ascii="TimesNewRoman" w:hAnsi="TimesNewRoman" w:cs="TimesNewRoman"/>
                <w:b/>
                <w:bCs/>
                <w:sz w:val="20"/>
                <w:szCs w:val="20"/>
              </w:rPr>
              <w:t>经费支出</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四、机关运行经费</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309.15</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（一）支出合计</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12.30</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12.84</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（一）行政单位</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309.15</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1</w:t>
            </w:r>
            <w:r>
              <w:rPr>
                <w:rFonts w:hint="eastAsia" w:ascii="TimesNewRoman" w:hAnsi="TimesNewRoman" w:cs="TimesNewRoman"/>
                <w:sz w:val="20"/>
                <w:szCs w:val="20"/>
              </w:rPr>
              <w:t>．因公出国（境）费</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（二）参照公务员法管理事业单位</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2</w:t>
            </w:r>
            <w:r>
              <w:rPr>
                <w:rFonts w:hint="eastAsia" w:ascii="TimesNewRoman" w:hAnsi="TimesNewRoman" w:cs="TimesNewRoman"/>
                <w:sz w:val="20"/>
                <w:szCs w:val="20"/>
              </w:rPr>
              <w:t>．公务用车购置及运行维护费</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11.27</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11.57</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五、国有资产占用情况</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w:t>
            </w:r>
            <w:r>
              <w:rPr>
                <w:rFonts w:ascii="TimesNewRoman" w:hAnsi="TimesNewRoman" w:cs="TimesNewRoman"/>
                <w:sz w:val="20"/>
                <w:szCs w:val="20"/>
              </w:rPr>
              <w:t>1</w:t>
            </w:r>
            <w:r>
              <w:rPr>
                <w:rFonts w:hint="eastAsia" w:ascii="TimesNewRoman" w:hAnsi="TimesNewRoman" w:cs="TimesNewRoman"/>
                <w:sz w:val="20"/>
                <w:szCs w:val="20"/>
              </w:rPr>
              <w:t>）公务用车购置费</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（一）车辆数合计（辆）</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w:t>
            </w:r>
            <w:r>
              <w:rPr>
                <w:rFonts w:ascii="TimesNewRoman" w:hAnsi="TimesNewRoman" w:cs="TimesNewRoman"/>
                <w:sz w:val="20"/>
                <w:szCs w:val="20"/>
              </w:rPr>
              <w:t>2</w:t>
            </w:r>
            <w:r>
              <w:rPr>
                <w:rFonts w:hint="eastAsia" w:ascii="TimesNewRoman" w:hAnsi="TimesNewRoman" w:cs="TimesNewRoman"/>
                <w:sz w:val="20"/>
                <w:szCs w:val="20"/>
              </w:rPr>
              <w:t>）公务用车运行维护费</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11.27</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11.57</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1.</w:t>
            </w:r>
            <w:r>
              <w:rPr>
                <w:rFonts w:hint="eastAsia" w:ascii="TimesNewRoman" w:hAnsi="TimesNewRoman" w:cs="TimesNewRoman"/>
                <w:sz w:val="20"/>
                <w:szCs w:val="20"/>
              </w:rPr>
              <w:t>副部（省）级及以上领导用车</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3</w:t>
            </w:r>
            <w:r>
              <w:rPr>
                <w:rFonts w:hint="eastAsia" w:ascii="TimesNewRoman" w:hAnsi="TimesNewRoman" w:cs="TimesNewRoman"/>
                <w:sz w:val="20"/>
                <w:szCs w:val="20"/>
              </w:rPr>
              <w:t>．公务接待费</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1.03</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1.28</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2.</w:t>
            </w:r>
            <w:r>
              <w:rPr>
                <w:rFonts w:hint="eastAsia" w:ascii="TimesNewRoman" w:hAnsi="TimesNewRoman" w:cs="TimesNewRoman"/>
                <w:sz w:val="20"/>
                <w:szCs w:val="20"/>
              </w:rPr>
              <w:t>主要领导干部用车</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w:t>
            </w:r>
            <w:r>
              <w:rPr>
                <w:rFonts w:ascii="TimesNewRoman" w:hAnsi="TimesNewRoman" w:cs="TimesNewRoman"/>
                <w:sz w:val="20"/>
                <w:szCs w:val="20"/>
              </w:rPr>
              <w:t>1</w:t>
            </w:r>
            <w:r>
              <w:rPr>
                <w:rFonts w:hint="eastAsia" w:ascii="TimesNewRoman" w:hAnsi="TimesNewRoman" w:cs="TimesNewRoman"/>
                <w:sz w:val="20"/>
                <w:szCs w:val="20"/>
              </w:rPr>
              <w:t>）国内接待费</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1.28</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3.</w:t>
            </w:r>
            <w:r>
              <w:rPr>
                <w:rFonts w:hint="eastAsia" w:ascii="TimesNewRoman" w:hAnsi="TimesNewRoman" w:cs="TimesNewRoman"/>
                <w:sz w:val="20"/>
                <w:szCs w:val="20"/>
              </w:rPr>
              <w:t>机要通信用车</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其中：外事接待费</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4.</w:t>
            </w:r>
            <w:r>
              <w:rPr>
                <w:rFonts w:hint="eastAsia" w:ascii="TimesNewRoman" w:hAnsi="TimesNewRoman" w:cs="TimesNewRoman"/>
                <w:sz w:val="20"/>
                <w:szCs w:val="20"/>
              </w:rPr>
              <w:t>应急保障用车</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w:t>
            </w:r>
            <w:r>
              <w:rPr>
                <w:rFonts w:ascii="TimesNewRoman" w:hAnsi="TimesNewRoman" w:cs="TimesNewRoman"/>
                <w:sz w:val="20"/>
                <w:szCs w:val="20"/>
              </w:rPr>
              <w:t>2</w:t>
            </w:r>
            <w:r>
              <w:rPr>
                <w:rFonts w:hint="eastAsia" w:ascii="TimesNewRoman" w:hAnsi="TimesNewRoman" w:cs="TimesNewRoman"/>
                <w:sz w:val="20"/>
                <w:szCs w:val="20"/>
              </w:rPr>
              <w:t>）国（境）外接待费</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5.</w:t>
            </w:r>
            <w:r>
              <w:rPr>
                <w:rFonts w:hint="eastAsia" w:ascii="TimesNewRoman" w:hAnsi="TimesNewRoman" w:cs="TimesNewRoman"/>
                <w:sz w:val="20"/>
                <w:szCs w:val="20"/>
              </w:rPr>
              <w:t>执法执勤用车</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（二）相关统计数</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6.</w:t>
            </w:r>
            <w:r>
              <w:rPr>
                <w:rFonts w:hint="eastAsia" w:ascii="TimesNewRoman" w:hAnsi="TimesNewRoman" w:cs="TimesNewRoman"/>
                <w:sz w:val="20"/>
                <w:szCs w:val="20"/>
              </w:rPr>
              <w:t>特种专业技术用车</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1</w:t>
            </w:r>
            <w:r>
              <w:rPr>
                <w:rFonts w:hint="eastAsia" w:ascii="TimesNewRoman" w:hAnsi="TimesNewRoman" w:cs="TimesNewRoman"/>
                <w:sz w:val="20"/>
                <w:szCs w:val="20"/>
              </w:rPr>
              <w:t>．因公出国（境）团组数（个）</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7.</w:t>
            </w:r>
            <w:r>
              <w:rPr>
                <w:rFonts w:hint="eastAsia" w:ascii="TimesNewRoman" w:hAnsi="TimesNewRoman" w:cs="TimesNewRoman"/>
                <w:sz w:val="20"/>
                <w:szCs w:val="20"/>
              </w:rPr>
              <w:t>离退休干部用车</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2</w:t>
            </w:r>
            <w:r>
              <w:rPr>
                <w:rFonts w:hint="eastAsia" w:ascii="TimesNewRoman" w:hAnsi="TimesNewRoman" w:cs="TimesNewRoman"/>
                <w:sz w:val="20"/>
                <w:szCs w:val="20"/>
              </w:rPr>
              <w:t>．因公出国（境）人次数（人）</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8.</w:t>
            </w:r>
            <w:r>
              <w:rPr>
                <w:rFonts w:hint="eastAsia" w:ascii="TimesNewRoman" w:hAnsi="TimesNewRoman" w:cs="TimesNewRoman"/>
                <w:sz w:val="20"/>
                <w:szCs w:val="20"/>
              </w:rPr>
              <w:t>其他用车</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3</w:t>
            </w:r>
            <w:r>
              <w:rPr>
                <w:rFonts w:hint="eastAsia" w:ascii="TimesNewRoman" w:hAnsi="TimesNewRoman" w:cs="TimesNewRoman"/>
                <w:sz w:val="20"/>
                <w:szCs w:val="20"/>
              </w:rPr>
              <w:t>．公务用车购置数（辆）</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（二）单价</w:t>
            </w:r>
            <w:r>
              <w:rPr>
                <w:rFonts w:ascii="TimesNewRoman" w:hAnsi="TimesNewRoman" w:cs="TimesNewRoman"/>
                <w:sz w:val="20"/>
                <w:szCs w:val="20"/>
              </w:rPr>
              <w:t>50</w:t>
            </w:r>
            <w:r>
              <w:rPr>
                <w:rFonts w:hint="eastAsia" w:ascii="TimesNewRoman" w:hAnsi="TimesNewRoman" w:cs="TimesNewRoman"/>
                <w:sz w:val="20"/>
                <w:szCs w:val="20"/>
              </w:rPr>
              <w:t>万元（含）以上通用设备（台，套）</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4</w:t>
            </w:r>
            <w:r>
              <w:rPr>
                <w:rFonts w:hint="eastAsia" w:ascii="TimesNewRoman" w:hAnsi="TimesNewRoman" w:cs="TimesNewRoman"/>
                <w:sz w:val="20"/>
                <w:szCs w:val="20"/>
              </w:rPr>
              <w:t>．公务用车保有量（辆）</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4</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（三）单价</w:t>
            </w:r>
            <w:r>
              <w:rPr>
                <w:rFonts w:ascii="TimesNewRoman" w:hAnsi="TimesNewRoman" w:cs="TimesNewRoman"/>
                <w:sz w:val="20"/>
                <w:szCs w:val="20"/>
              </w:rPr>
              <w:t>100</w:t>
            </w:r>
            <w:r>
              <w:rPr>
                <w:rFonts w:hint="eastAsia" w:ascii="TimesNewRoman" w:hAnsi="TimesNewRoman" w:cs="TimesNewRoman"/>
                <w:sz w:val="20"/>
                <w:szCs w:val="20"/>
              </w:rPr>
              <w:t>万（含）元以上专用设备（台，套）</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5</w:t>
            </w:r>
            <w:r>
              <w:rPr>
                <w:rFonts w:hint="eastAsia" w:ascii="TimesNewRoman" w:hAnsi="TimesNewRoman" w:cs="TimesNewRoman"/>
                <w:sz w:val="20"/>
                <w:szCs w:val="20"/>
              </w:rPr>
              <w:t>．国内公务接待批次（个）</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12</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b/>
                <w:bCs/>
                <w:sz w:val="20"/>
                <w:szCs w:val="20"/>
              </w:rPr>
            </w:pPr>
            <w:r>
              <w:rPr>
                <w:rFonts w:hint="eastAsia" w:ascii="TimesNewRoman" w:hAnsi="TimesNewRoman" w:cs="TimesNewRoman"/>
                <w:b/>
                <w:bCs/>
                <w:sz w:val="20"/>
                <w:szCs w:val="20"/>
              </w:rPr>
              <w:t>六、政府采购支出信息</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其中：外事接待批次（个）</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（一）政府采购支出合计</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6</w:t>
            </w:r>
            <w:r>
              <w:rPr>
                <w:rFonts w:hint="eastAsia" w:ascii="TimesNewRoman" w:hAnsi="TimesNewRoman" w:cs="TimesNewRoman"/>
                <w:sz w:val="20"/>
                <w:szCs w:val="20"/>
              </w:rPr>
              <w:t>．国内公务接待人次（人）</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131</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1</w:t>
            </w:r>
            <w:r>
              <w:rPr>
                <w:rFonts w:hint="eastAsia" w:ascii="TimesNewRoman" w:hAnsi="TimesNewRoman" w:cs="TimesNewRoman"/>
                <w:sz w:val="20"/>
                <w:szCs w:val="20"/>
              </w:rPr>
              <w:t>．政府采购货物支出</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其中：外事接待人次（人）</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2</w:t>
            </w:r>
            <w:r>
              <w:rPr>
                <w:rFonts w:hint="eastAsia" w:ascii="TimesNewRoman" w:hAnsi="TimesNewRoman" w:cs="TimesNewRoman"/>
                <w:sz w:val="20"/>
                <w:szCs w:val="20"/>
              </w:rPr>
              <w:t>．政府采购工程支出</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7</w:t>
            </w:r>
            <w:r>
              <w:rPr>
                <w:rFonts w:hint="eastAsia" w:ascii="TimesNewRoman" w:hAnsi="TimesNewRoman" w:cs="TimesNewRoman"/>
                <w:sz w:val="20"/>
                <w:szCs w:val="20"/>
              </w:rPr>
              <w:t>．国（境）外公务接待批次（个）</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3</w:t>
            </w:r>
            <w:r>
              <w:rPr>
                <w:rFonts w:hint="eastAsia" w:ascii="TimesNewRoman" w:hAnsi="TimesNewRoman" w:cs="TimesNewRoman"/>
                <w:sz w:val="20"/>
                <w:szCs w:val="20"/>
              </w:rPr>
              <w:t>．政府采购服务支出</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2" w:hRule="atLeast"/>
        </w:trPr>
        <w:tc>
          <w:tcPr>
            <w:tcW w:w="4757" w:type="dxa"/>
            <w:tcBorders>
              <w:top w:val="nil"/>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8</w:t>
            </w:r>
            <w:r>
              <w:rPr>
                <w:rFonts w:hint="eastAsia" w:ascii="TimesNewRoman" w:hAnsi="TimesNewRoman" w:cs="TimesNewRoman"/>
                <w:sz w:val="20"/>
                <w:szCs w:val="20"/>
              </w:rPr>
              <w:t>．国（境）外公务接待人次（人）</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w:t>
            </w:r>
          </w:p>
        </w:tc>
        <w:tc>
          <w:tcPr>
            <w:tcW w:w="6614"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（二）政府采购授予中小企业合同金额</w:t>
            </w:r>
          </w:p>
        </w:tc>
        <w:tc>
          <w:tcPr>
            <w:tcW w:w="905" w:type="dxa"/>
            <w:tcBorders>
              <w:top w:val="nil"/>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2" w:hRule="atLeast"/>
        </w:trPr>
        <w:tc>
          <w:tcPr>
            <w:tcW w:w="4757" w:type="dxa"/>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二、会议费</w:t>
            </w:r>
          </w:p>
        </w:tc>
        <w:tc>
          <w:tcPr>
            <w:tcW w:w="90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c>
          <w:tcPr>
            <w:tcW w:w="661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其中：授予小微企业合同金额</w:t>
            </w:r>
          </w:p>
        </w:tc>
        <w:tc>
          <w:tcPr>
            <w:tcW w:w="905"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0.00</w:t>
            </w:r>
          </w:p>
        </w:tc>
      </w:tr>
      <w:tr>
        <w:tblPrEx>
          <w:tblCellMar>
            <w:top w:w="0" w:type="dxa"/>
            <w:left w:w="108" w:type="dxa"/>
            <w:bottom w:w="0" w:type="dxa"/>
            <w:right w:w="108" w:type="dxa"/>
          </w:tblCellMar>
        </w:tblPrEx>
        <w:trPr>
          <w:trHeight w:val="292" w:hRule="atLeast"/>
        </w:trPr>
        <w:tc>
          <w:tcPr>
            <w:tcW w:w="4757" w:type="dxa"/>
            <w:tcBorders>
              <w:top w:val="single" w:color="000000" w:sz="4" w:space="0"/>
              <w:left w:val="single" w:color="000000" w:sz="4" w:space="0"/>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三、培训费</w:t>
            </w:r>
          </w:p>
        </w:tc>
        <w:tc>
          <w:tcPr>
            <w:tcW w:w="90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w:t>
            </w:r>
          </w:p>
        </w:tc>
        <w:tc>
          <w:tcPr>
            <w:tcW w:w="90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ascii="TimesNewRoman" w:hAnsi="TimesNewRoman" w:cs="TimesNewRoman"/>
                <w:sz w:val="20"/>
                <w:szCs w:val="20"/>
              </w:rPr>
              <w:t>3.04</w:t>
            </w:r>
          </w:p>
        </w:tc>
        <w:tc>
          <w:tcPr>
            <w:tcW w:w="6614"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c>
          <w:tcPr>
            <w:tcW w:w="905" w:type="dxa"/>
            <w:tcBorders>
              <w:top w:val="single" w:color="000000" w:sz="4" w:space="0"/>
              <w:left w:val="nil"/>
              <w:bottom w:val="single" w:color="000000" w:sz="4" w:space="0"/>
              <w:right w:val="single" w:color="000000" w:sz="4" w:space="0"/>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　</w:t>
            </w:r>
          </w:p>
        </w:tc>
      </w:tr>
      <w:tr>
        <w:tblPrEx>
          <w:tblCellMar>
            <w:top w:w="0" w:type="dxa"/>
            <w:left w:w="108" w:type="dxa"/>
            <w:bottom w:w="0" w:type="dxa"/>
            <w:right w:w="108" w:type="dxa"/>
          </w:tblCellMar>
        </w:tblPrEx>
        <w:trPr>
          <w:trHeight w:val="292" w:hRule="atLeast"/>
        </w:trPr>
        <w:tc>
          <w:tcPr>
            <w:tcW w:w="14084" w:type="dxa"/>
            <w:gridSpan w:val="5"/>
            <w:tcBorders>
              <w:top w:val="nil"/>
              <w:left w:val="nil"/>
              <w:bottom w:val="nil"/>
              <w:right w:val="nil"/>
            </w:tcBorders>
            <w:noWrap/>
            <w:vAlign w:val="center"/>
          </w:tcPr>
          <w:p>
            <w:pPr>
              <w:jc w:val="both"/>
              <w:rPr>
                <w:rFonts w:ascii="TimesNewRoman" w:hAnsi="TimesNewRoman" w:cs="TimesNewRoman"/>
                <w:sz w:val="20"/>
                <w:szCs w:val="20"/>
              </w:rPr>
            </w:pPr>
            <w:r>
              <w:rPr>
                <w:rFonts w:hint="eastAsia" w:ascii="TimesNewRoman" w:hAnsi="TimesNewRoman" w:cs="TimesNewRoman"/>
                <w:sz w:val="20"/>
                <w:szCs w:val="20"/>
              </w:rPr>
              <w:t>备注：预算数年初部门预算批复数，决算数包括当年财政拨款预算和以前年度结转结余资金安排的实际支出。</w:t>
            </w:r>
          </w:p>
        </w:tc>
      </w:tr>
      <w:tr>
        <w:tblPrEx>
          <w:tblCellMar>
            <w:top w:w="0" w:type="dxa"/>
            <w:left w:w="108" w:type="dxa"/>
            <w:bottom w:w="0" w:type="dxa"/>
            <w:right w:w="108" w:type="dxa"/>
          </w:tblCellMar>
        </w:tblPrEx>
        <w:trPr>
          <w:trHeight w:val="292" w:hRule="atLeast"/>
        </w:trPr>
        <w:tc>
          <w:tcPr>
            <w:tcW w:w="14084" w:type="dxa"/>
            <w:gridSpan w:val="5"/>
            <w:tcBorders>
              <w:top w:val="nil"/>
              <w:left w:val="nil"/>
              <w:bottom w:val="nil"/>
              <w:right w:val="nil"/>
            </w:tcBorders>
            <w:vAlign w:val="center"/>
          </w:tcPr>
          <w:p>
            <w:pPr>
              <w:jc w:val="both"/>
              <w:rPr>
                <w:rFonts w:ascii="TimesNewRoman" w:hAnsi="TimesNewRoman" w:cs="TimesNewRoman"/>
                <w:sz w:val="20"/>
                <w:szCs w:val="20"/>
              </w:rPr>
            </w:pPr>
            <w:r>
              <w:rPr>
                <w:rFonts w:ascii="TimesNewRoman" w:hAnsi="TimesNewRoman" w:cs="TimesNewRoman"/>
                <w:sz w:val="20"/>
                <w:szCs w:val="20"/>
              </w:rPr>
              <w:t xml:space="preserve">      </w:t>
            </w:r>
            <w:r>
              <w:rPr>
                <w:rFonts w:hint="eastAsia" w:ascii="TimesNewRoman" w:hAnsi="TimesNewRoman" w:cs="TimesNewRoman"/>
                <w:sz w:val="20"/>
                <w:szCs w:val="20"/>
              </w:rPr>
              <w:t>本表为空的单位应将空表公开，并注明：本单位无相关数据，故本表为空。</w:t>
            </w:r>
            <w:r>
              <w:rPr>
                <w:rFonts w:ascii="TimesNewRoman" w:hAnsi="TimesNewRoman" w:cs="TimesNewRoman"/>
                <w:sz w:val="20"/>
                <w:szCs w:val="20"/>
              </w:rPr>
              <w:t xml:space="preserve">    </w:t>
            </w:r>
          </w:p>
        </w:tc>
      </w:tr>
    </w:tbl>
    <w:p>
      <w:pPr>
        <w:spacing w:line="594" w:lineRule="exact"/>
        <w:jc w:val="both"/>
        <w:rPr>
          <w:rFonts w:ascii="TimesNewRoman" w:hAnsi="TimesNewRoman" w:eastAsia="方正仿宋_GBK" w:cs="TimesNewRoman"/>
          <w:sz w:val="32"/>
          <w:szCs w:val="32"/>
        </w:rPr>
      </w:pPr>
      <w:bookmarkStart w:id="0" w:name="_GoBack"/>
      <w:bookmarkEnd w:id="0"/>
    </w:p>
    <w:sectPr>
      <w:pgSz w:w="16840" w:h="11907" w:orient="landscape"/>
      <w:pgMar w:top="1985" w:right="1446" w:bottom="1644" w:left="1446" w:header="851" w:footer="992" w:gutter="0"/>
      <w:pgNumType w:fmt="numberInDash"/>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imesNewRoman">
    <w:panose1 w:val="02020603050405020304"/>
    <w:charset w:val="00"/>
    <w:family w:val="auto"/>
    <w:pitch w:val="default"/>
    <w:sig w:usb0="E0002EFF" w:usb1="D00078FF" w:usb2="00000029" w:usb3="00000000" w:csb0="6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文本框 1025"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rPr>
                    <w:rStyle w:val="8"/>
                    <w:rFonts w:cs="宋体"/>
                    <w:sz w:val="28"/>
                    <w:szCs w:val="28"/>
                  </w:rPr>
                </w:pPr>
                <w:r>
                  <w:rPr>
                    <w:rStyle w:val="8"/>
                    <w:rFonts w:cs="宋体"/>
                    <w:sz w:val="28"/>
                    <w:szCs w:val="28"/>
                  </w:rPr>
                  <w:fldChar w:fldCharType="begin"/>
                </w:r>
                <w:r>
                  <w:rPr>
                    <w:rStyle w:val="8"/>
                    <w:rFonts w:cs="宋体"/>
                    <w:sz w:val="28"/>
                    <w:szCs w:val="28"/>
                  </w:rPr>
                  <w:instrText xml:space="preserve">PAGE  </w:instrText>
                </w:r>
                <w:r>
                  <w:rPr>
                    <w:rStyle w:val="8"/>
                    <w:rFonts w:cs="宋体"/>
                    <w:sz w:val="28"/>
                    <w:szCs w:val="28"/>
                  </w:rPr>
                  <w:fldChar w:fldCharType="separate"/>
                </w:r>
                <w:r>
                  <w:rPr>
                    <w:rStyle w:val="8"/>
                    <w:rFonts w:cs="宋体"/>
                    <w:sz w:val="28"/>
                    <w:szCs w:val="28"/>
                  </w:rPr>
                  <w:t>- 24 -</w:t>
                </w:r>
                <w:r>
                  <w:rPr>
                    <w:rStyle w:val="8"/>
                    <w:rFonts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cs="宋体"/>
      </w:rPr>
    </w:pPr>
    <w:r>
      <w:rPr>
        <w:rStyle w:val="8"/>
        <w:rFonts w:cs="宋体"/>
      </w:rPr>
      <w:fldChar w:fldCharType="begin"/>
    </w:r>
    <w:r>
      <w:rPr>
        <w:rStyle w:val="8"/>
        <w:rFonts w:cs="宋体"/>
      </w:rPr>
      <w:instrText xml:space="preserve">PAGE  </w:instrText>
    </w:r>
    <w:r>
      <w:rPr>
        <w:rStyle w:val="8"/>
        <w:rFonts w:cs="宋体"/>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20"/>
  <w:drawingGridVerticalSpacing w:val="163"/>
  <w:displayHorizontalDrawingGridEvery w:val="2"/>
  <w:displayVerticalDrawingGridEvery w:val="2"/>
  <w:noPunctuationKerning w:val="true"/>
  <w:characterSpacingControl w:val="doNotCompress"/>
  <w:noLineBreaksAfter w:lang="zh-CN" w:val="([{·‘“〈《「『【〔〖﹝＄（．［｛￡￥"/>
  <w:noLineBreaksBefore w:lang="zh-CN" w:val="!),.:;?]}¨·ˇˉ―‖’”…∶、。〃々〉》」』】〕〗﹜﹞！＂％＇），．：；？］｀｜｝～￠"/>
  <w:hdrShapeDefaults>
    <o:shapelayout v:ext="edit">
      <o:idmap v:ext="edit" data="2"/>
    </o:shapelayout>
  </w:hdrShapeDefault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4BC"/>
    <w:rsid w:val="00237B23"/>
    <w:rsid w:val="00237C83"/>
    <w:rsid w:val="003B0EEE"/>
    <w:rsid w:val="006204BC"/>
    <w:rsid w:val="00731FB7"/>
    <w:rsid w:val="007A4A80"/>
    <w:rsid w:val="008A0B95"/>
    <w:rsid w:val="00A17A28"/>
    <w:rsid w:val="00AA22A6"/>
    <w:rsid w:val="00B710D4"/>
    <w:rsid w:val="00C53E55"/>
    <w:rsid w:val="00D74341"/>
    <w:rsid w:val="00DC5D49"/>
    <w:rsid w:val="00F21F7C"/>
    <w:rsid w:val="00F34DDB"/>
    <w:rsid w:val="32FF9925"/>
    <w:rsid w:val="3DF275B2"/>
    <w:rsid w:val="77FF60D9"/>
    <w:rsid w:val="E7BD7AF5"/>
    <w:rsid w:val="F3B9C0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qFormat/>
    <w:uiPriority w:val="99"/>
    <w:pPr>
      <w:tabs>
        <w:tab w:val="center" w:pos="4153"/>
        <w:tab w:val="right" w:pos="8306"/>
      </w:tabs>
      <w:snapToGrid w:val="0"/>
    </w:pPr>
    <w:rPr>
      <w:sz w:val="18"/>
      <w:szCs w:val="18"/>
    </w:rPr>
  </w:style>
  <w:style w:type="paragraph" w:styleId="3">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spacing w:before="100" w:beforeAutospacing="1" w:after="100" w:afterAutospacing="1"/>
    </w:pPr>
  </w:style>
  <w:style w:type="character" w:styleId="7">
    <w:name w:val="Strong"/>
    <w:basedOn w:val="6"/>
    <w:qFormat/>
    <w:uiPriority w:val="99"/>
    <w:rPr>
      <w:rFonts w:cs="Times New Roman"/>
      <w:b/>
      <w:bCs/>
    </w:rPr>
  </w:style>
  <w:style w:type="character" w:styleId="8">
    <w:name w:val="page number"/>
    <w:basedOn w:val="6"/>
    <w:qFormat/>
    <w:uiPriority w:val="99"/>
    <w:rPr>
      <w:rFonts w:cs="Times New Roman"/>
    </w:rPr>
  </w:style>
  <w:style w:type="character" w:customStyle="1" w:styleId="9">
    <w:name w:val="Footer Char"/>
    <w:basedOn w:val="6"/>
    <w:link w:val="2"/>
    <w:semiHidden/>
    <w:qFormat/>
    <w:locked/>
    <w:uiPriority w:val="99"/>
    <w:rPr>
      <w:rFonts w:ascii="宋体" w:eastAsia="宋体" w:cs="宋体"/>
      <w:kern w:val="0"/>
      <w:sz w:val="18"/>
      <w:szCs w:val="18"/>
    </w:rPr>
  </w:style>
  <w:style w:type="character" w:customStyle="1" w:styleId="10">
    <w:name w:val="Header Char"/>
    <w:basedOn w:val="6"/>
    <w:link w:val="3"/>
    <w:semiHidden/>
    <w:qFormat/>
    <w:locked/>
    <w:uiPriority w:val="99"/>
    <w:rPr>
      <w:rFonts w:ascii="宋体" w:eastAsia="宋体" w:cs="宋体"/>
      <w:kern w:val="0"/>
      <w:sz w:val="18"/>
      <w:szCs w:val="18"/>
    </w:rPr>
  </w:style>
  <w:style w:type="character" w:customStyle="1" w:styleId="11">
    <w:name w:val="Footer Char1"/>
    <w:basedOn w:val="6"/>
    <w:link w:val="2"/>
    <w:semiHidden/>
    <w:qFormat/>
    <w:locked/>
    <w:uiPriority w:val="99"/>
    <w:rPr>
      <w:rFonts w:ascii="宋体" w:hAnsi="宋体" w:eastAsia="宋体" w:cs="宋体"/>
      <w:sz w:val="18"/>
      <w:szCs w:val="18"/>
    </w:rPr>
  </w:style>
  <w:style w:type="character" w:customStyle="1" w:styleId="12">
    <w:name w:val="Header Char1"/>
    <w:basedOn w:val="6"/>
    <w:link w:val="3"/>
    <w:semiHidden/>
    <w:qFormat/>
    <w:locked/>
    <w:uiPriority w:val="99"/>
    <w:rPr>
      <w:rFonts w:ascii="宋体" w:hAnsi="宋体" w:eastAsia="宋体" w:cs="宋体"/>
      <w:sz w:val="18"/>
      <w:szCs w:val="18"/>
    </w:rPr>
  </w:style>
  <w:style w:type="paragraph" w:customStyle="1" w:styleId="13">
    <w:name w:val="msolistparagraph"/>
    <w:basedOn w:val="1"/>
    <w:semiHidden/>
    <w:qFormat/>
    <w:uiPriority w:val="99"/>
    <w:pPr>
      <w:ind w:firstLine="420" w:firstLineChars="200"/>
    </w:pPr>
  </w:style>
  <w:style w:type="paragraph" w:customStyle="1" w:styleId="14">
    <w:name w:val="普通(网站) Char"/>
    <w:basedOn w:val="1"/>
    <w:semiHidden/>
    <w:qFormat/>
    <w:uiPriority w:val="99"/>
    <w:pPr>
      <w:spacing w:before="100" w:beforeAutospacing="1" w:after="100" w:afterAutospacing="1"/>
    </w:pPr>
  </w:style>
  <w:style w:type="character" w:customStyle="1" w:styleId="15">
    <w:name w:val="16"/>
    <w:basedOn w:val="6"/>
    <w:qFormat/>
    <w:uiPriority w:val="99"/>
    <w:rPr>
      <w:rFonts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34</Pages>
  <Words>3383</Words>
  <Characters>19288</Characters>
  <Lines>0</Lines>
  <Paragraphs>0</Paragraphs>
  <TotalTime>22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2023-03-22T02:10:00Z</dcterms:created>
  <dc:creator>AutoBVT</dc:creator>
  <cp:lastModifiedBy>司法局收文员</cp:lastModifiedBy>
  <dcterms:modified xsi:type="dcterms:W3CDTF">2023-03-20T19:08:36Z</dcterms:modified>
  <dc:title>公开报告模板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