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spacing w:before="0" w:beforeAutospacing="0" w:line="560" w:lineRule="exact"/>
        <w:jc w:val="center"/>
        <w:rPr>
          <w:rFonts w:hint="default" w:ascii="方正小标宋_GBK" w:hAnsi="方正小标宋_GBK" w:eastAsia="方正小标宋_GBK" w:cs="方正小标宋_GBK"/>
          <w:sz w:val="44"/>
          <w:szCs w:val="44"/>
        </w:rPr>
      </w:pPr>
      <w:r>
        <w:rPr>
          <w:rFonts w:ascii="方正小标宋_GBK" w:hAnsi="方正小标宋_GBK" w:eastAsia="方正小标宋_GBK" w:cs="方正小标宋_GBK"/>
          <w:sz w:val="44"/>
          <w:szCs w:val="44"/>
        </w:rPr>
        <w:t>垫江县水土保持站</w:t>
      </w:r>
    </w:p>
    <w:p>
      <w:pPr>
        <w:pStyle w:val="6"/>
        <w:spacing w:before="0" w:beforeAutospacing="0" w:line="560" w:lineRule="exact"/>
        <w:jc w:val="center"/>
        <w:rPr>
          <w:rFonts w:hint="default" w:ascii="方正小标宋_GBK" w:hAnsi="方正小标宋_GBK" w:eastAsia="方正小标宋_GBK" w:cs="方正小标宋_GBK"/>
          <w:sz w:val="44"/>
          <w:szCs w:val="44"/>
          <w:shd w:val="clear" w:color="auto" w:fill="FFFFFF"/>
        </w:rPr>
      </w:pPr>
      <w:r>
        <w:rPr>
          <w:rFonts w:ascii="方正小标宋_GBK" w:hAnsi="方正小标宋_GBK" w:eastAsia="方正小标宋_GBK" w:cs="方正小标宋_GBK"/>
          <w:sz w:val="44"/>
          <w:szCs w:val="44"/>
          <w:shd w:val="clear" w:color="auto" w:fill="FFFFFF"/>
        </w:rPr>
        <w:t>2023年度决算公开说明</w:t>
      </w:r>
    </w:p>
    <w:p>
      <w:pPr>
        <w:pStyle w:val="6"/>
        <w:snapToGrid w:val="0"/>
        <w:spacing w:before="0" w:beforeAutospacing="0" w:after="0" w:afterAutospacing="0" w:line="560" w:lineRule="exact"/>
        <w:ind w:firstLine="643" w:firstLineChars="200"/>
        <w:jc w:val="both"/>
        <w:rPr>
          <w:rFonts w:hint="default" w:ascii="黑体" w:hAnsi="黑体" w:eastAsia="黑体" w:cs="黑体"/>
          <w:b/>
          <w:bCs/>
          <w:sz w:val="32"/>
          <w:szCs w:val="32"/>
          <w:shd w:val="clear" w:color="auto" w:fill="FFFFFF"/>
        </w:rPr>
      </w:pPr>
      <w:r>
        <w:rPr>
          <w:rFonts w:ascii="黑体" w:hAnsi="黑体" w:eastAsia="黑体" w:cs="黑体"/>
          <w:b/>
          <w:bCs/>
          <w:sz w:val="32"/>
          <w:szCs w:val="32"/>
          <w:shd w:val="clear" w:color="auto" w:fill="FFFFFF"/>
        </w:rPr>
        <w:t>一、单位基本情况</w:t>
      </w:r>
    </w:p>
    <w:p>
      <w:pPr>
        <w:pStyle w:val="6"/>
        <w:snapToGrid w:val="0"/>
        <w:spacing w:before="0" w:beforeAutospacing="0" w:after="0" w:afterAutospacing="0" w:line="560" w:lineRule="exact"/>
        <w:ind w:firstLine="643" w:firstLineChars="200"/>
        <w:jc w:val="both"/>
        <w:rPr>
          <w:rFonts w:hint="default" w:ascii="楷体" w:hAnsi="楷体" w:eastAsia="楷体" w:cs="楷体"/>
          <w:b/>
          <w:bCs/>
          <w:sz w:val="32"/>
          <w:szCs w:val="32"/>
          <w:shd w:val="clear" w:color="auto" w:fill="FFFFFF"/>
        </w:rPr>
      </w:pPr>
      <w:r>
        <w:rPr>
          <w:rFonts w:ascii="楷体" w:hAnsi="楷体" w:eastAsia="楷体" w:cs="楷体"/>
          <w:b/>
          <w:bCs/>
          <w:sz w:val="32"/>
          <w:szCs w:val="32"/>
          <w:shd w:val="clear" w:color="auto" w:fill="FFFFFF"/>
        </w:rPr>
        <w:t>（一）职能职责</w:t>
      </w:r>
    </w:p>
    <w:p>
      <w:pPr>
        <w:pStyle w:val="12"/>
        <w:autoSpaceDE w:val="0"/>
        <w:spacing w:before="0" w:beforeAutospacing="0" w:after="0" w:afterAutospacing="0" w:line="560" w:lineRule="exact"/>
        <w:ind w:firstLine="640" w:firstLineChars="200"/>
        <w:jc w:val="both"/>
        <w:rPr>
          <w:rFonts w:ascii="楷体" w:hAnsi="楷体" w:eastAsia="楷体" w:cs="楷体"/>
          <w:b/>
          <w:bCs/>
          <w:sz w:val="32"/>
          <w:szCs w:val="32"/>
          <w:shd w:val="clear" w:color="auto" w:fill="FFFFFF"/>
        </w:rPr>
      </w:pPr>
      <w:r>
        <w:rPr>
          <w:rFonts w:hint="eastAsia" w:ascii="方正仿宋_GBK" w:hAnsi="方正仿宋_GBK" w:eastAsia="方正仿宋_GBK" w:cs="方正仿宋_GBK"/>
          <w:sz w:val="32"/>
          <w:szCs w:val="32"/>
          <w:shd w:val="clear" w:color="auto" w:fill="FFFFFF"/>
        </w:rPr>
        <w:t>本单位主要职能职责：1.负责全县水土流失综合防治工作。2.承担生产建设项目水土保持方案的审批、实施管理工作。3.负责全县水土保持补偿费的征收。4.承担全县水土流失动态监测和水土保持预防监督。5.组织开展全县水土保持规划和重点水保工程项目可行性研究报告、初步设计的编制工作。6.负责全县水土保持的宣传和教育工作。</w:t>
      </w:r>
    </w:p>
    <w:p>
      <w:pPr>
        <w:pStyle w:val="6"/>
        <w:numPr>
          <w:ilvl w:val="0"/>
          <w:numId w:val="1"/>
        </w:numPr>
        <w:snapToGrid w:val="0"/>
        <w:spacing w:before="0" w:beforeAutospacing="0" w:after="0" w:afterAutospacing="0" w:line="560" w:lineRule="exact"/>
        <w:ind w:firstLine="643" w:firstLineChars="200"/>
        <w:jc w:val="both"/>
        <w:rPr>
          <w:rFonts w:hint="default" w:ascii="楷体" w:hAnsi="楷体" w:eastAsia="楷体" w:cs="楷体"/>
          <w:b/>
          <w:bCs/>
          <w:sz w:val="32"/>
          <w:szCs w:val="32"/>
          <w:shd w:val="clear" w:color="auto" w:fill="FFFFFF"/>
        </w:rPr>
      </w:pPr>
      <w:r>
        <w:rPr>
          <w:rFonts w:ascii="楷体" w:hAnsi="楷体" w:eastAsia="楷体" w:cs="楷体"/>
          <w:b/>
          <w:bCs/>
          <w:sz w:val="32"/>
          <w:szCs w:val="32"/>
          <w:shd w:val="clear" w:color="auto" w:fill="FFFFFF"/>
        </w:rPr>
        <w:t>机构设置</w:t>
      </w:r>
    </w:p>
    <w:p>
      <w:pPr>
        <w:pStyle w:val="12"/>
        <w:autoSpaceDE w:val="0"/>
        <w:spacing w:before="0" w:beforeAutospacing="0" w:after="0" w:afterAutospacing="0" w:line="560" w:lineRule="exact"/>
        <w:ind w:firstLine="640" w:firstLineChars="200"/>
        <w:jc w:val="both"/>
        <w:rPr>
          <w:rFonts w:ascii="楷体" w:hAnsi="楷体" w:eastAsia="楷体" w:cs="楷体"/>
          <w:b/>
          <w:bCs/>
          <w:sz w:val="32"/>
          <w:szCs w:val="32"/>
          <w:shd w:val="clear" w:color="auto" w:fill="FFFFFF"/>
        </w:rPr>
      </w:pPr>
      <w:r>
        <w:rPr>
          <w:rFonts w:hint="eastAsia" w:ascii="方正仿宋_GBK" w:hAnsi="方正仿宋_GBK" w:eastAsia="方正仿宋_GBK" w:cs="方正仿宋_GBK"/>
          <w:sz w:val="32"/>
          <w:szCs w:val="32"/>
        </w:rPr>
        <w:t>本单位为公共预算财政补助独立核算单位，在职职工6人，内设办公室及项目室两个机构。</w:t>
      </w:r>
      <w:r>
        <w:rPr>
          <w:rStyle w:val="15"/>
          <w:rFonts w:hint="eastAsia" w:ascii="方正仿宋_GBK" w:hAnsi="方正仿宋_GBK" w:eastAsia="方正仿宋_GBK" w:cs="方正仿宋_GBK"/>
          <w:b w:val="0"/>
          <w:sz w:val="32"/>
          <w:szCs w:val="32"/>
          <w:shd w:val="clear" w:color="auto" w:fill="FFFFFF"/>
        </w:rPr>
        <w:t>本单位无下级预算单位。</w:t>
      </w:r>
    </w:p>
    <w:p>
      <w:pPr>
        <w:pStyle w:val="6"/>
        <w:snapToGrid w:val="0"/>
        <w:spacing w:before="0" w:beforeAutospacing="0" w:after="0" w:afterAutospacing="0" w:line="560" w:lineRule="exact"/>
        <w:ind w:firstLine="643" w:firstLineChars="200"/>
        <w:jc w:val="both"/>
        <w:rPr>
          <w:rFonts w:hint="default" w:ascii="黑体" w:hAnsi="黑体" w:eastAsia="黑体" w:cs="黑体"/>
          <w:b/>
          <w:bCs/>
          <w:sz w:val="32"/>
          <w:szCs w:val="32"/>
          <w:shd w:val="clear" w:color="auto" w:fill="FFFFFF"/>
        </w:rPr>
      </w:pPr>
      <w:r>
        <w:rPr>
          <w:rFonts w:ascii="黑体" w:hAnsi="黑体" w:eastAsia="黑体" w:cs="黑体"/>
          <w:b/>
          <w:bCs/>
          <w:sz w:val="32"/>
          <w:szCs w:val="32"/>
          <w:shd w:val="clear" w:color="auto" w:fill="FFFFFF"/>
        </w:rPr>
        <w:t>二、部门决算情况说明</w:t>
      </w:r>
    </w:p>
    <w:p>
      <w:pPr>
        <w:pStyle w:val="11"/>
        <w:autoSpaceDE w:val="0"/>
        <w:spacing w:line="560" w:lineRule="exact"/>
        <w:ind w:firstLine="643"/>
        <w:jc w:val="both"/>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（一）收入支出决算总体情况说明。</w:t>
      </w:r>
    </w:p>
    <w:p>
      <w:pPr>
        <w:pStyle w:val="6"/>
        <w:snapToGrid w:val="0"/>
        <w:spacing w:before="0" w:beforeAutospacing="0" w:after="0" w:afterAutospacing="0" w:line="560" w:lineRule="exact"/>
        <w:ind w:firstLine="643" w:firstLineChars="200"/>
        <w:jc w:val="both"/>
        <w:rPr>
          <w:rFonts w:hint="default" w:ascii="方正仿宋_GBK" w:hAnsi="方正仿宋_GBK" w:eastAsia="方正仿宋_GBK" w:cs="方正仿宋_GBK"/>
          <w:sz w:val="32"/>
          <w:szCs w:val="32"/>
          <w:shd w:val="clear" w:color="auto" w:fill="FFFFFF"/>
        </w:rPr>
      </w:pPr>
      <w:r>
        <w:rPr>
          <w:rStyle w:val="10"/>
          <w:rFonts w:ascii="方正仿宋_GBK" w:hAnsi="方正仿宋_GBK" w:eastAsia="方正仿宋_GBK" w:cs="方正仿宋_GBK"/>
          <w:sz w:val="32"/>
          <w:szCs w:val="32"/>
          <w:shd w:val="clear" w:color="auto" w:fill="FFFFFF"/>
        </w:rPr>
        <w:t>1.总体情况。</w:t>
      </w:r>
      <w:r>
        <w:rPr>
          <w:rFonts w:ascii="方正仿宋_GBK" w:hAnsi="方正仿宋_GBK" w:eastAsia="方正仿宋_GBK" w:cs="方正仿宋_GBK"/>
          <w:sz w:val="32"/>
          <w:szCs w:val="32"/>
          <w:shd w:val="clear" w:color="auto" w:fill="FFFFFF"/>
        </w:rPr>
        <w:t>2023年度收入总计167.56万元，支出总计167.56万元。收支较上年决算数增加4.31万元，增长2.64%，主要原因是超额绩效发放较上年增加、其他收入增加。</w:t>
      </w:r>
    </w:p>
    <w:p>
      <w:pPr>
        <w:pStyle w:val="6"/>
        <w:snapToGrid w:val="0"/>
        <w:spacing w:before="0" w:beforeAutospacing="0" w:after="0" w:afterAutospacing="0" w:line="560" w:lineRule="exact"/>
        <w:ind w:firstLine="643" w:firstLineChars="200"/>
        <w:jc w:val="both"/>
        <w:rPr>
          <w:rFonts w:hint="default" w:ascii="方正仿宋_GBK" w:hAnsi="方正仿宋_GBK" w:eastAsia="方正仿宋_GBK" w:cs="方正仿宋_GBK"/>
          <w:sz w:val="32"/>
          <w:szCs w:val="32"/>
          <w:shd w:val="clear" w:color="auto" w:fill="FFFFFF"/>
        </w:rPr>
      </w:pPr>
      <w:r>
        <w:rPr>
          <w:rStyle w:val="10"/>
          <w:rFonts w:ascii="方正仿宋_GBK" w:hAnsi="方正仿宋_GBK" w:eastAsia="方正仿宋_GBK" w:cs="方正仿宋_GBK"/>
          <w:sz w:val="32"/>
          <w:szCs w:val="32"/>
          <w:shd w:val="clear" w:color="auto" w:fill="FFFFFF"/>
        </w:rPr>
        <w:t>2.收入情况。</w:t>
      </w:r>
      <w:r>
        <w:rPr>
          <w:rFonts w:ascii="方正仿宋_GBK" w:hAnsi="方正仿宋_GBK" w:eastAsia="方正仿宋_GBK" w:cs="方正仿宋_GBK"/>
          <w:sz w:val="32"/>
          <w:szCs w:val="32"/>
          <w:shd w:val="clear" w:color="auto" w:fill="FFFFFF"/>
        </w:rPr>
        <w:t>2023年度收入合计167.19万元，较上年决算数增加11.12万元，增长7.13%，主要原因是超额绩效发放较上年增加、其他收入增加。其中：财政拨款收入</w:t>
      </w:r>
      <w:r>
        <w:rPr>
          <w:rFonts w:ascii="方正仿宋_GBK" w:hAnsi="方正仿宋_GBK" w:eastAsia="方正仿宋_GBK" w:cs="方正仿宋_GBK"/>
          <w:sz w:val="32"/>
          <w:szCs w:val="32"/>
        </w:rPr>
        <w:t>159.07</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95.14</w:t>
      </w:r>
      <w:r>
        <w:rPr>
          <w:rFonts w:ascii="方正仿宋_GBK" w:hAnsi="方正仿宋_GBK" w:eastAsia="方正仿宋_GBK" w:cs="方正仿宋_GBK"/>
          <w:sz w:val="32"/>
          <w:szCs w:val="32"/>
          <w:shd w:val="clear" w:color="auto" w:fill="FFFFFF"/>
        </w:rPr>
        <w:t>%；其他收入</w:t>
      </w:r>
      <w:r>
        <w:rPr>
          <w:rFonts w:ascii="方正仿宋_GBK" w:hAnsi="方正仿宋_GBK" w:eastAsia="方正仿宋_GBK" w:cs="方正仿宋_GBK"/>
          <w:sz w:val="32"/>
          <w:szCs w:val="32"/>
        </w:rPr>
        <w:t>8.12</w:t>
      </w:r>
      <w:r>
        <w:rPr>
          <w:rFonts w:ascii="方正仿宋_GBK" w:hAnsi="方正仿宋_GBK" w:eastAsia="方正仿宋_GBK" w:cs="方正仿宋_GBK"/>
          <w:sz w:val="32"/>
          <w:szCs w:val="32"/>
          <w:shd w:val="clear" w:color="auto" w:fill="FFFFFF"/>
        </w:rPr>
        <w:t>万元，占4.86%。此外，使用非财政拨款结余和专用结余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万元，年初结转和结余</w:t>
      </w:r>
      <w:r>
        <w:rPr>
          <w:rFonts w:ascii="方正仿宋_GBK" w:hAnsi="方正仿宋_GBK" w:eastAsia="方正仿宋_GBK" w:cs="方正仿宋_GBK"/>
          <w:sz w:val="32"/>
          <w:szCs w:val="32"/>
        </w:rPr>
        <w:t>0.38</w:t>
      </w:r>
      <w:r>
        <w:rPr>
          <w:rFonts w:ascii="方正仿宋_GBK" w:hAnsi="方正仿宋_GBK" w:eastAsia="方正仿宋_GBK" w:cs="方正仿宋_GBK"/>
          <w:sz w:val="32"/>
          <w:szCs w:val="32"/>
          <w:shd w:val="clear" w:color="auto" w:fill="FFFFFF"/>
        </w:rPr>
        <w:t>万元。</w:t>
      </w:r>
    </w:p>
    <w:p>
      <w:pPr>
        <w:pStyle w:val="6"/>
        <w:snapToGrid w:val="0"/>
        <w:spacing w:before="0" w:beforeAutospacing="0" w:after="0" w:afterAutospacing="0" w:line="560" w:lineRule="exact"/>
        <w:ind w:firstLine="643" w:firstLineChars="200"/>
        <w:jc w:val="both"/>
        <w:rPr>
          <w:rFonts w:hint="default" w:ascii="方正仿宋_GBK" w:hAnsi="方正仿宋_GBK" w:eastAsia="方正仿宋_GBK" w:cs="方正仿宋_GBK"/>
          <w:sz w:val="32"/>
          <w:szCs w:val="32"/>
          <w:shd w:val="clear" w:color="auto" w:fill="FFFFFF"/>
        </w:rPr>
      </w:pPr>
      <w:r>
        <w:rPr>
          <w:rStyle w:val="10"/>
          <w:rFonts w:ascii="方正仿宋_GBK" w:hAnsi="方正仿宋_GBK" w:eastAsia="方正仿宋_GBK" w:cs="方正仿宋_GBK"/>
          <w:sz w:val="32"/>
          <w:szCs w:val="32"/>
          <w:shd w:val="clear" w:color="auto" w:fill="FFFFFF"/>
        </w:rPr>
        <w:t>3.支出情况。</w:t>
      </w:r>
      <w:r>
        <w:rPr>
          <w:rFonts w:ascii="方正仿宋_GBK" w:hAnsi="方正仿宋_GBK" w:eastAsia="方正仿宋_GBK" w:cs="方正仿宋_GBK"/>
          <w:sz w:val="32"/>
          <w:szCs w:val="32"/>
          <w:shd w:val="clear" w:color="auto" w:fill="FFFFFF"/>
        </w:rPr>
        <w:t>2023年度支出合计</w:t>
      </w:r>
      <w:r>
        <w:rPr>
          <w:rFonts w:ascii="方正仿宋_GBK" w:hAnsi="方正仿宋_GBK" w:eastAsia="方正仿宋_GBK" w:cs="方正仿宋_GBK"/>
          <w:sz w:val="32"/>
          <w:szCs w:val="32"/>
        </w:rPr>
        <w:t>164.10</w:t>
      </w:r>
      <w:r>
        <w:rPr>
          <w:rFonts w:ascii="方正仿宋_GBK" w:hAnsi="方正仿宋_GBK" w:eastAsia="方正仿宋_GBK" w:cs="方正仿宋_GBK"/>
          <w:sz w:val="32"/>
          <w:szCs w:val="32"/>
          <w:shd w:val="clear" w:color="auto" w:fill="FFFFFF"/>
        </w:rPr>
        <w:t>万元，较上年决算数增加1.22万元，增长0.75%，主要原因是本年度清算发放以前年度超额绩效。其中：基本支出</w:t>
      </w:r>
      <w:r>
        <w:rPr>
          <w:rFonts w:ascii="方正仿宋_GBK" w:hAnsi="方正仿宋_GBK" w:eastAsia="方正仿宋_GBK" w:cs="方正仿宋_GBK"/>
          <w:sz w:val="32"/>
          <w:szCs w:val="32"/>
        </w:rPr>
        <w:t>159.16</w:t>
      </w:r>
      <w:r>
        <w:rPr>
          <w:rFonts w:ascii="方正仿宋_GBK" w:hAnsi="方正仿宋_GBK" w:eastAsia="方正仿宋_GBK" w:cs="方正仿宋_GBK"/>
          <w:sz w:val="32"/>
          <w:szCs w:val="32"/>
          <w:shd w:val="clear" w:color="auto" w:fill="FFFFFF"/>
        </w:rPr>
        <w:t>万元，占96.99%；项目支出</w:t>
      </w:r>
      <w:r>
        <w:rPr>
          <w:rFonts w:ascii="方正仿宋_GBK" w:hAnsi="方正仿宋_GBK" w:eastAsia="方正仿宋_GBK" w:cs="方正仿宋_GBK"/>
          <w:sz w:val="32"/>
          <w:szCs w:val="32"/>
        </w:rPr>
        <w:t>4.94</w:t>
      </w:r>
      <w:r>
        <w:rPr>
          <w:rFonts w:ascii="方正仿宋_GBK" w:hAnsi="方正仿宋_GBK" w:eastAsia="方正仿宋_GBK" w:cs="方正仿宋_GBK"/>
          <w:sz w:val="32"/>
          <w:szCs w:val="32"/>
          <w:shd w:val="clear" w:color="auto" w:fill="FFFFFF"/>
        </w:rPr>
        <w:t>万元，占3.01%。此外，结余分配</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w:t>
      </w:r>
    </w:p>
    <w:p>
      <w:pPr>
        <w:pStyle w:val="6"/>
        <w:snapToGrid w:val="0"/>
        <w:spacing w:before="0" w:beforeAutospacing="0" w:after="0" w:afterAutospacing="0" w:line="560" w:lineRule="exact"/>
        <w:ind w:firstLine="643" w:firstLineChars="200"/>
        <w:jc w:val="both"/>
        <w:rPr>
          <w:rFonts w:hint="default" w:ascii="方正仿宋_GBK" w:hAnsi="方正仿宋_GBK" w:eastAsia="方正仿宋_GBK" w:cs="方正仿宋_GBK"/>
          <w:sz w:val="32"/>
          <w:szCs w:val="32"/>
        </w:rPr>
      </w:pPr>
      <w:r>
        <w:rPr>
          <w:rStyle w:val="10"/>
          <w:rFonts w:ascii="方正仿宋_GBK" w:hAnsi="方正仿宋_GBK" w:eastAsia="方正仿宋_GBK" w:cs="方正仿宋_GBK"/>
          <w:sz w:val="32"/>
          <w:szCs w:val="32"/>
          <w:shd w:val="clear" w:color="auto" w:fill="FFFFFF"/>
        </w:rPr>
        <w:t>4.结转结余情况。</w:t>
      </w:r>
      <w:r>
        <w:rPr>
          <w:rFonts w:ascii="方正仿宋_GBK" w:hAnsi="方正仿宋_GBK" w:eastAsia="方正仿宋_GBK" w:cs="方正仿宋_GBK"/>
          <w:sz w:val="32"/>
          <w:szCs w:val="32"/>
          <w:shd w:val="clear" w:color="auto" w:fill="FFFFFF"/>
        </w:rPr>
        <w:t>2023年度年末结转和结余</w:t>
      </w:r>
      <w:r>
        <w:rPr>
          <w:rFonts w:ascii="方正仿宋_GBK" w:hAnsi="方正仿宋_GBK" w:eastAsia="方正仿宋_GBK" w:cs="方正仿宋_GBK"/>
          <w:sz w:val="32"/>
          <w:szCs w:val="32"/>
        </w:rPr>
        <w:t>3.46</w:t>
      </w:r>
      <w:r>
        <w:rPr>
          <w:rFonts w:ascii="方正仿宋_GBK" w:hAnsi="方正仿宋_GBK" w:eastAsia="方正仿宋_GBK" w:cs="方正仿宋_GBK"/>
          <w:sz w:val="32"/>
          <w:szCs w:val="32"/>
          <w:shd w:val="clear" w:color="auto" w:fill="FFFFFF"/>
        </w:rPr>
        <w:t>万元，较上年决算数增加3.08万元，增长810.53%，主要原因是根据人民法院调解书调整不需要支付保证金转为收入用于单位日常运转。</w:t>
      </w:r>
    </w:p>
    <w:p>
      <w:pPr>
        <w:pStyle w:val="11"/>
        <w:autoSpaceDE w:val="0"/>
        <w:spacing w:line="560" w:lineRule="exact"/>
        <w:ind w:firstLine="643"/>
        <w:jc w:val="both"/>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（二）财政拨款收入支出决算总体情况说明</w:t>
      </w:r>
    </w:p>
    <w:p>
      <w:pPr>
        <w:pStyle w:val="6"/>
        <w:snapToGrid w:val="0"/>
        <w:spacing w:before="0" w:beforeAutospacing="0" w:after="0" w:afterAutospacing="0" w:line="56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2023年度财政拨款收、支总计159.07万元。与2022年相比，财政拨款收、支总计各增加2.81万元，增长1.80%。主要原因是本年度清算补发以前年度超额绩效。</w:t>
      </w:r>
    </w:p>
    <w:p>
      <w:pPr>
        <w:pStyle w:val="11"/>
        <w:autoSpaceDE w:val="0"/>
        <w:spacing w:line="560" w:lineRule="exact"/>
        <w:ind w:firstLine="643"/>
        <w:jc w:val="both"/>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（三）一般公共预算财政拨款收入支出决算情况说明</w:t>
      </w:r>
    </w:p>
    <w:p>
      <w:pPr>
        <w:pStyle w:val="6"/>
        <w:snapToGrid w:val="0"/>
        <w:spacing w:before="0" w:beforeAutospacing="0" w:after="0" w:afterAutospacing="0" w:line="560" w:lineRule="exact"/>
        <w:ind w:firstLine="643" w:firstLineChars="200"/>
        <w:jc w:val="both"/>
        <w:rPr>
          <w:rFonts w:hint="default" w:ascii="方正仿宋_GBK" w:hAnsi="方正仿宋_GBK" w:eastAsia="方正仿宋_GBK" w:cs="方正仿宋_GBK"/>
          <w:sz w:val="32"/>
          <w:szCs w:val="32"/>
        </w:rPr>
      </w:pPr>
      <w:r>
        <w:rPr>
          <w:rStyle w:val="10"/>
          <w:rFonts w:ascii="方正仿宋_GBK" w:hAnsi="方正仿宋_GBK" w:eastAsia="方正仿宋_GBK" w:cs="方正仿宋_GBK"/>
          <w:sz w:val="32"/>
          <w:szCs w:val="32"/>
          <w:shd w:val="clear" w:color="auto" w:fill="FFFFFF"/>
        </w:rPr>
        <w:t>1.收入情况。</w:t>
      </w:r>
      <w:r>
        <w:rPr>
          <w:rFonts w:ascii="方正仿宋_GBK" w:hAnsi="方正仿宋_GBK" w:eastAsia="方正仿宋_GBK" w:cs="方正仿宋_GBK"/>
          <w:sz w:val="32"/>
          <w:szCs w:val="32"/>
          <w:shd w:val="clear" w:color="auto" w:fill="FFFFFF"/>
        </w:rPr>
        <w:t>2023年度一般公共预算财政拨款收入</w:t>
      </w:r>
      <w:r>
        <w:rPr>
          <w:rFonts w:ascii="方正仿宋_GBK" w:hAnsi="方正仿宋_GBK" w:eastAsia="方正仿宋_GBK" w:cs="方正仿宋_GBK"/>
          <w:sz w:val="32"/>
          <w:szCs w:val="32"/>
        </w:rPr>
        <w:t>159.07</w:t>
      </w:r>
      <w:r>
        <w:rPr>
          <w:rFonts w:ascii="方正仿宋_GBK" w:hAnsi="方正仿宋_GBK" w:eastAsia="方正仿宋_GBK" w:cs="方正仿宋_GBK"/>
          <w:sz w:val="32"/>
          <w:szCs w:val="32"/>
          <w:shd w:val="clear" w:color="auto" w:fill="FFFFFF"/>
        </w:rPr>
        <w:t>万元，较上年决算数增加3.02万元，增长1.94%。主要原因是超额绩效发放较上年增加。较年初预算数减少2.44万元，下降1.51%。主要原因是年中退休1人，人员经费减少。此外，年初财政拨款结转和结余</w:t>
      </w:r>
      <w:r>
        <w:rPr>
          <w:rFonts w:ascii="方正仿宋_GBK" w:hAnsi="方正仿宋_GBK" w:eastAsia="方正仿宋_GBK" w:cs="方正仿宋_GBK"/>
          <w:sz w:val="32"/>
          <w:szCs w:val="32"/>
        </w:rPr>
        <w:t>0.01</w:t>
      </w:r>
      <w:r>
        <w:rPr>
          <w:rFonts w:ascii="方正仿宋_GBK" w:hAnsi="方正仿宋_GBK" w:eastAsia="方正仿宋_GBK" w:cs="方正仿宋_GBK"/>
          <w:sz w:val="32"/>
          <w:szCs w:val="32"/>
          <w:shd w:val="clear" w:color="auto" w:fill="FFFFFF"/>
        </w:rPr>
        <w:t>万元。</w:t>
      </w:r>
    </w:p>
    <w:p>
      <w:pPr>
        <w:pStyle w:val="6"/>
        <w:snapToGrid w:val="0"/>
        <w:spacing w:before="0" w:beforeAutospacing="0" w:after="0" w:afterAutospacing="0" w:line="560" w:lineRule="exact"/>
        <w:ind w:firstLine="643" w:firstLineChars="200"/>
        <w:jc w:val="both"/>
        <w:rPr>
          <w:rFonts w:hint="default" w:ascii="方正仿宋_GBK" w:hAnsi="方正仿宋_GBK" w:eastAsia="方正仿宋_GBK" w:cs="方正仿宋_GBK"/>
          <w:sz w:val="32"/>
          <w:szCs w:val="32"/>
          <w:shd w:val="clear" w:color="auto" w:fill="FFFFFF"/>
        </w:rPr>
      </w:pPr>
      <w:r>
        <w:rPr>
          <w:rStyle w:val="10"/>
          <w:rFonts w:ascii="方正仿宋_GBK" w:hAnsi="方正仿宋_GBK" w:eastAsia="方正仿宋_GBK" w:cs="方正仿宋_GBK"/>
          <w:sz w:val="32"/>
          <w:szCs w:val="32"/>
          <w:shd w:val="clear" w:color="auto" w:fill="FFFFFF"/>
        </w:rPr>
        <w:t>2.支出情况。</w:t>
      </w:r>
      <w:r>
        <w:rPr>
          <w:rFonts w:ascii="方正仿宋_GBK" w:hAnsi="方正仿宋_GBK" w:eastAsia="方正仿宋_GBK" w:cs="方正仿宋_GBK"/>
          <w:sz w:val="32"/>
          <w:szCs w:val="32"/>
          <w:shd w:val="clear" w:color="auto" w:fill="FFFFFF"/>
        </w:rPr>
        <w:t>2023年度一般公共预算财政拨款支出</w:t>
      </w:r>
      <w:r>
        <w:rPr>
          <w:rFonts w:ascii="方正仿宋_GBK" w:hAnsi="方正仿宋_GBK" w:eastAsia="方正仿宋_GBK" w:cs="方正仿宋_GBK"/>
          <w:sz w:val="32"/>
          <w:szCs w:val="32"/>
        </w:rPr>
        <w:t>159.07</w:t>
      </w:r>
      <w:r>
        <w:rPr>
          <w:rFonts w:ascii="方正仿宋_GBK" w:hAnsi="方正仿宋_GBK" w:eastAsia="方正仿宋_GBK" w:cs="方正仿宋_GBK"/>
          <w:sz w:val="32"/>
          <w:szCs w:val="32"/>
          <w:shd w:val="clear" w:color="auto" w:fill="FFFFFF"/>
        </w:rPr>
        <w:t>万元，较上年决算数增加2.82万元，增长1.80%。主要原因是超额绩效发放较上年增加。较年初预算数减少2.44万元，下降1.51%。主要原因是年中退休1人，人员经费减少。</w:t>
      </w:r>
    </w:p>
    <w:p>
      <w:pPr>
        <w:pStyle w:val="6"/>
        <w:snapToGrid w:val="0"/>
        <w:spacing w:before="0" w:beforeAutospacing="0" w:after="0" w:afterAutospacing="0" w:line="560" w:lineRule="exact"/>
        <w:ind w:firstLine="643" w:firstLineChars="200"/>
        <w:jc w:val="both"/>
        <w:rPr>
          <w:rFonts w:hint="default" w:ascii="方正仿宋_GBK" w:hAnsi="方正仿宋_GBK" w:eastAsia="方正仿宋_GBK" w:cs="方正仿宋_GBK"/>
          <w:sz w:val="32"/>
          <w:szCs w:val="32"/>
        </w:rPr>
      </w:pPr>
      <w:r>
        <w:rPr>
          <w:rStyle w:val="10"/>
          <w:rFonts w:ascii="方正仿宋_GBK" w:hAnsi="方正仿宋_GBK" w:eastAsia="方正仿宋_GBK" w:cs="方正仿宋_GBK"/>
          <w:sz w:val="32"/>
          <w:szCs w:val="32"/>
          <w:shd w:val="clear" w:color="auto" w:fill="FFFFFF"/>
        </w:rPr>
        <w:t>3.结转结余情况。</w:t>
      </w:r>
      <w:r>
        <w:rPr>
          <w:rFonts w:ascii="方正仿宋_GBK" w:hAnsi="方正仿宋_GBK" w:eastAsia="方正仿宋_GBK" w:cs="方正仿宋_GBK"/>
          <w:sz w:val="32"/>
          <w:szCs w:val="32"/>
          <w:shd w:val="clear" w:color="auto" w:fill="FFFFFF"/>
        </w:rPr>
        <w:t>2023年度年末一般公共预算财政拨款结转和结余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万元，较上年决算数减少0.01万元，下降100.00%，主要原因是上年结转数在本年全部支出。</w:t>
      </w:r>
    </w:p>
    <w:p>
      <w:pPr>
        <w:pStyle w:val="6"/>
        <w:snapToGrid w:val="0"/>
        <w:spacing w:before="0" w:beforeAutospacing="0" w:after="0" w:afterAutospacing="0" w:line="560" w:lineRule="exact"/>
        <w:ind w:firstLine="643" w:firstLineChars="200"/>
        <w:jc w:val="both"/>
        <w:rPr>
          <w:rFonts w:hint="default" w:ascii="方正仿宋_GBK" w:hAnsi="方正仿宋_GBK" w:eastAsia="方正仿宋_GBK" w:cs="方正仿宋_GBK"/>
          <w:color w:val="FF0000"/>
          <w:sz w:val="32"/>
          <w:szCs w:val="32"/>
          <w:highlight w:val="cyan"/>
          <w:shd w:val="clear" w:color="auto" w:fill="FFFFFF"/>
        </w:rPr>
      </w:pPr>
      <w:r>
        <w:rPr>
          <w:rStyle w:val="10"/>
          <w:rFonts w:ascii="方正仿宋_GBK" w:hAnsi="方正仿宋_GBK" w:eastAsia="方正仿宋_GBK" w:cs="方正仿宋_GBK"/>
          <w:sz w:val="32"/>
          <w:szCs w:val="32"/>
          <w:shd w:val="clear" w:color="auto" w:fill="FFFFFF"/>
        </w:rPr>
        <w:t xml:space="preserve"> 4.比较情况。</w:t>
      </w:r>
      <w:r>
        <w:rPr>
          <w:rFonts w:ascii="方正仿宋_GBK" w:hAnsi="方正仿宋_GBK" w:eastAsia="方正仿宋_GBK" w:cs="方正仿宋_GBK"/>
          <w:sz w:val="32"/>
          <w:szCs w:val="32"/>
          <w:shd w:val="clear" w:color="auto" w:fill="FFFFFF"/>
        </w:rPr>
        <w:t>本部门2023年度一般公共预算财政拨款支出主要用于以下几个方面：</w:t>
      </w:r>
    </w:p>
    <w:p>
      <w:pPr>
        <w:pStyle w:val="6"/>
        <w:snapToGrid w:val="0"/>
        <w:spacing w:before="0" w:beforeAutospacing="0" w:after="0" w:afterAutospacing="0" w:line="56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（1）教育支出</w:t>
      </w:r>
      <w:r>
        <w:rPr>
          <w:rFonts w:ascii="方正仿宋_GBK" w:hAnsi="方正仿宋_GBK" w:eastAsia="方正仿宋_GBK" w:cs="方正仿宋_GBK"/>
          <w:sz w:val="32"/>
          <w:szCs w:val="32"/>
        </w:rPr>
        <w:t>0.12</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0.07</w:t>
      </w:r>
      <w:r>
        <w:rPr>
          <w:rFonts w:ascii="方正仿宋_GBK" w:hAnsi="方正仿宋_GBK" w:eastAsia="方正仿宋_GBK" w:cs="方正仿宋_GBK"/>
          <w:sz w:val="32"/>
          <w:szCs w:val="32"/>
          <w:shd w:val="clear" w:color="auto" w:fill="FFFFFF"/>
        </w:rPr>
        <w:t>%，较年初预算数减少0.31万元，下降72.09%，主要原因是参加业务培训次数减少。</w:t>
      </w:r>
    </w:p>
    <w:p>
      <w:pPr>
        <w:pStyle w:val="6"/>
        <w:snapToGrid w:val="0"/>
        <w:spacing w:before="0" w:beforeAutospacing="0" w:after="0" w:afterAutospacing="0" w:line="560" w:lineRule="exact"/>
        <w:jc w:val="both"/>
        <w:rPr>
          <w:rFonts w:hint="default"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 xml:space="preserve">    （2）社会保障与就业支出</w:t>
      </w:r>
      <w:r>
        <w:rPr>
          <w:rFonts w:ascii="方正仿宋_GBK" w:hAnsi="方正仿宋_GBK" w:eastAsia="方正仿宋_GBK" w:cs="方正仿宋_GBK"/>
          <w:sz w:val="32"/>
          <w:szCs w:val="32"/>
        </w:rPr>
        <w:t>16.75</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10.53</w:t>
      </w:r>
      <w:r>
        <w:rPr>
          <w:rFonts w:ascii="方正仿宋_GBK" w:hAnsi="方正仿宋_GBK" w:eastAsia="方正仿宋_GBK" w:cs="方正仿宋_GBK"/>
          <w:sz w:val="32"/>
          <w:szCs w:val="32"/>
          <w:shd w:val="clear" w:color="auto" w:fill="FFFFFF"/>
        </w:rPr>
        <w:t>%，较年初预算数增加1.34万元，增长8.70%，主要原因是年中追加退休人员一次性补贴。</w:t>
      </w:r>
    </w:p>
    <w:p>
      <w:pPr>
        <w:pStyle w:val="6"/>
        <w:numPr>
          <w:ilvl w:val="0"/>
          <w:numId w:val="2"/>
        </w:numPr>
        <w:snapToGrid w:val="0"/>
        <w:spacing w:before="0" w:beforeAutospacing="0" w:after="0" w:afterAutospacing="0" w:line="560" w:lineRule="exact"/>
        <w:ind w:firstLine="640" w:firstLineChars="200"/>
        <w:jc w:val="both"/>
        <w:rPr>
          <w:rFonts w:hint="default"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卫生健康支出</w:t>
      </w:r>
      <w:r>
        <w:rPr>
          <w:rFonts w:ascii="方正仿宋_GBK" w:hAnsi="方正仿宋_GBK" w:eastAsia="方正仿宋_GBK" w:cs="方正仿宋_GBK"/>
          <w:sz w:val="32"/>
          <w:szCs w:val="32"/>
        </w:rPr>
        <w:t>4.41</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2.77</w:t>
      </w:r>
      <w:r>
        <w:rPr>
          <w:rFonts w:ascii="方正仿宋_GBK" w:hAnsi="方正仿宋_GBK" w:eastAsia="方正仿宋_GBK" w:cs="方正仿宋_GBK"/>
          <w:sz w:val="32"/>
          <w:szCs w:val="32"/>
          <w:shd w:val="clear" w:color="auto" w:fill="FFFFFF"/>
        </w:rPr>
        <w:t>%，较年初预算数减少0.82万元，下降15.68%，主要原因是人员退休，医疗保险缴费减少。</w:t>
      </w:r>
    </w:p>
    <w:p>
      <w:pPr>
        <w:pStyle w:val="6"/>
        <w:snapToGrid w:val="0"/>
        <w:spacing w:before="0" w:beforeAutospacing="0" w:after="0" w:afterAutospacing="0" w:line="560" w:lineRule="exact"/>
        <w:jc w:val="both"/>
        <w:rPr>
          <w:rFonts w:hint="default"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 xml:space="preserve">    （4）农林水支出</w:t>
      </w:r>
      <w:r>
        <w:rPr>
          <w:rFonts w:ascii="方正仿宋_GBK" w:hAnsi="方正仿宋_GBK" w:eastAsia="方正仿宋_GBK" w:cs="方正仿宋_GBK"/>
          <w:sz w:val="32"/>
          <w:szCs w:val="32"/>
        </w:rPr>
        <w:t>130.07</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81.77</w:t>
      </w:r>
      <w:r>
        <w:rPr>
          <w:rFonts w:ascii="方正仿宋_GBK" w:hAnsi="方正仿宋_GBK" w:eastAsia="方正仿宋_GBK" w:cs="方正仿宋_GBK"/>
          <w:sz w:val="32"/>
          <w:szCs w:val="32"/>
          <w:shd w:val="clear" w:color="auto" w:fill="FFFFFF"/>
        </w:rPr>
        <w:t>%，较年初预算数减少4.09万元，下降3.05%，主要原因是人员退休，追减人员经费。</w:t>
      </w:r>
    </w:p>
    <w:p>
      <w:pPr>
        <w:spacing w:line="560" w:lineRule="exact"/>
        <w:ind w:firstLine="640" w:firstLineChars="200"/>
        <w:jc w:val="both"/>
        <w:rPr>
          <w:rFonts w:hint="default" w:ascii="方正仿宋_GBK" w:hAnsi="方正仿宋_GBK" w:eastAsia="方正仿宋_GBK" w:cs="方正仿宋_GBK"/>
          <w:color w:val="FF0000"/>
          <w:sz w:val="32"/>
          <w:szCs w:val="32"/>
          <w:shd w:val="clear" w:color="auto" w:fill="FFFFFF"/>
        </w:rPr>
      </w:pPr>
      <w:r>
        <w:rPr>
          <w:rFonts w:ascii="方正仿宋_GBK" w:hAnsi="方正仿宋_GBK" w:eastAsia="方正仿宋_GBK" w:cs="方正仿宋_GBK"/>
          <w:sz w:val="32"/>
          <w:szCs w:val="32"/>
          <w:shd w:val="clear" w:color="auto" w:fill="FFFFFF"/>
        </w:rPr>
        <w:t>（5）</w:t>
      </w:r>
      <w:r>
        <w:rPr>
          <w:rFonts w:ascii="方正仿宋_GBK" w:hAnsi="方正仿宋_GBK" w:eastAsia="方正仿宋_GBK" w:cs="方正仿宋_GBK"/>
          <w:sz w:val="32"/>
          <w:szCs w:val="32"/>
        </w:rPr>
        <w:t>住房保障支出7.73</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4.86</w:t>
      </w:r>
      <w:r>
        <w:rPr>
          <w:rFonts w:ascii="方正仿宋_GBK" w:hAnsi="方正仿宋_GBK" w:eastAsia="方正仿宋_GBK" w:cs="方正仿宋_GBK"/>
          <w:sz w:val="32"/>
          <w:szCs w:val="32"/>
          <w:shd w:val="clear" w:color="auto" w:fill="FFFFFF"/>
        </w:rPr>
        <w:t>%，较年初预算数增加1.46万元，增长23.29%，主要原因是职工工资调整，增大了住房公积金缴费基数。</w:t>
      </w:r>
    </w:p>
    <w:p>
      <w:pPr>
        <w:pStyle w:val="11"/>
        <w:autoSpaceDE w:val="0"/>
        <w:spacing w:line="560" w:lineRule="exact"/>
        <w:ind w:firstLine="643"/>
        <w:jc w:val="both"/>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（四）一般公共预算财政拨款基本支出决算情况说明</w:t>
      </w:r>
    </w:p>
    <w:p>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jc w:val="both"/>
        <w:textAlignment w:val="auto"/>
        <w:rPr>
          <w:rFonts w:hint="default" w:ascii="方正仿宋_GBK" w:hAnsi="方正仿宋_GBK" w:eastAsia="方正仿宋_GBK" w:cs="方正仿宋_GBK"/>
          <w:sz w:val="32"/>
          <w:szCs w:val="32"/>
        </w:rPr>
      </w:pPr>
      <w:bookmarkStart w:id="0" w:name="_GoBack"/>
      <w:r>
        <w:rPr>
          <w:rFonts w:ascii="方正仿宋_GBK" w:hAnsi="方正仿宋_GBK" w:eastAsia="方正仿宋_GBK" w:cs="方正仿宋_GBK"/>
          <w:sz w:val="32"/>
          <w:szCs w:val="32"/>
          <w:shd w:val="clear" w:color="auto" w:fill="FFFFFF"/>
        </w:rPr>
        <w:t> 2023年度一般公共财政拨款基本支出</w:t>
      </w:r>
      <w:r>
        <w:rPr>
          <w:rFonts w:ascii="方正仿宋_GBK" w:hAnsi="方正仿宋_GBK" w:eastAsia="方正仿宋_GBK" w:cs="方正仿宋_GBK"/>
          <w:sz w:val="32"/>
          <w:szCs w:val="32"/>
        </w:rPr>
        <w:t>154.13</w:t>
      </w:r>
      <w:r>
        <w:rPr>
          <w:rFonts w:ascii="方正仿宋_GBK" w:hAnsi="方正仿宋_GBK" w:eastAsia="方正仿宋_GBK" w:cs="方正仿宋_GBK"/>
          <w:sz w:val="32"/>
          <w:szCs w:val="32"/>
          <w:shd w:val="clear" w:color="auto" w:fill="FFFFFF"/>
        </w:rPr>
        <w:t>万元。其中：人员经费</w:t>
      </w:r>
      <w:r>
        <w:rPr>
          <w:rFonts w:ascii="方正仿宋_GBK" w:hAnsi="方正仿宋_GBK" w:eastAsia="方正仿宋_GBK" w:cs="方正仿宋_GBK"/>
          <w:sz w:val="32"/>
          <w:szCs w:val="32"/>
        </w:rPr>
        <w:t>133.27</w:t>
      </w:r>
      <w:r>
        <w:rPr>
          <w:rFonts w:ascii="方正仿宋_GBK" w:hAnsi="方正仿宋_GBK" w:eastAsia="方正仿宋_GBK" w:cs="方正仿宋_GBK"/>
          <w:sz w:val="32"/>
          <w:szCs w:val="32"/>
          <w:shd w:val="clear" w:color="auto" w:fill="FFFFFF"/>
        </w:rPr>
        <w:t>万元，较上年决算数增加7.71万元，增长6.14%，主要原因是本年度清算发放以前年度超额绩效。人员经费用途主要包括基本工资、津贴补贴、绩效工资、养老保险、职业年金、医疗保险、住房公积金等。公用经费</w:t>
      </w:r>
      <w:r>
        <w:rPr>
          <w:rFonts w:ascii="方正仿宋_GBK" w:hAnsi="方正仿宋_GBK" w:eastAsia="方正仿宋_GBK" w:cs="方正仿宋_GBK"/>
          <w:sz w:val="32"/>
          <w:szCs w:val="32"/>
        </w:rPr>
        <w:t>20.86</w:t>
      </w:r>
      <w:r>
        <w:rPr>
          <w:rFonts w:ascii="方正仿宋_GBK" w:hAnsi="方正仿宋_GBK" w:eastAsia="方正仿宋_GBK" w:cs="方正仿宋_GBK"/>
          <w:sz w:val="32"/>
          <w:szCs w:val="32"/>
          <w:shd w:val="clear" w:color="auto" w:fill="FFFFFF"/>
        </w:rPr>
        <w:t>万元，较上年决算数增加1.17万元，增长5.94%，主要原因是电费、差旅费增加。公用经费用途主要包括办公费、电费、邮电费、差旅费、公务用车运行费维护费、工会经费、其他商品和服务支出等。</w:t>
      </w:r>
    </w:p>
    <w:bookmarkEnd w:id="0"/>
    <w:p>
      <w:pPr>
        <w:pStyle w:val="11"/>
        <w:autoSpaceDE w:val="0"/>
        <w:spacing w:line="560" w:lineRule="exact"/>
        <w:ind w:firstLine="643"/>
        <w:jc w:val="both"/>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（五）政府性基金预算收支决算情况说明</w:t>
      </w:r>
    </w:p>
    <w:p>
      <w:pPr>
        <w:pStyle w:val="6"/>
        <w:snapToGrid w:val="0"/>
        <w:spacing w:before="0" w:beforeAutospacing="0" w:after="0" w:afterAutospacing="0" w:line="560" w:lineRule="exact"/>
        <w:ind w:firstLine="640" w:firstLineChars="200"/>
        <w:jc w:val="both"/>
        <w:rPr>
          <w:rFonts w:hint="default" w:ascii="方正仿宋_GBK" w:hAnsi="方正仿宋_GBK" w:eastAsia="方正仿宋_GBK" w:cs="方正仿宋_GBK"/>
          <w:sz w:val="32"/>
          <w:szCs w:val="32"/>
          <w:shd w:val="clear" w:color="auto" w:fill="FFFFFF"/>
        </w:rPr>
      </w:pPr>
      <w:r>
        <w:rPr>
          <w:rFonts w:ascii="Times New Roman" w:hAnsi="Times New Roman" w:eastAsia="方正仿宋_GBK"/>
          <w:color w:val="000000" w:themeColor="text1"/>
          <w:sz w:val="32"/>
          <w:szCs w:val="32"/>
          <w:shd w:val="clear" w:color="auto" w:fill="FFFFFF"/>
        </w:rPr>
        <w:t>2023年度政府性基金预算财政拨款年初结转结余0.00万元，年末结转结余0.00万元。本年收入0.00万元，较上年决算数无增减，主要原因是本年度无政府性基金预算财政拨款收入。本年支出0.00万元，较上年决算数无增减，主要原因是本年度无政府性基金预算财政拨款支出。本单位2023年度无政府性基金预算财政拨款收支。</w:t>
      </w:r>
    </w:p>
    <w:p>
      <w:pPr>
        <w:pStyle w:val="11"/>
        <w:autoSpaceDE w:val="0"/>
        <w:spacing w:line="560" w:lineRule="exact"/>
        <w:ind w:firstLine="643"/>
        <w:jc w:val="both"/>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（六）国有资本经营预算财政拨款支出决算情况说明</w:t>
      </w:r>
    </w:p>
    <w:p>
      <w:pPr>
        <w:pStyle w:val="6"/>
        <w:snapToGrid w:val="0"/>
        <w:spacing w:before="0" w:beforeAutospacing="0" w:after="0" w:afterAutospacing="0" w:line="560" w:lineRule="exact"/>
        <w:ind w:firstLine="640" w:firstLineChars="200"/>
        <w:jc w:val="both"/>
        <w:rPr>
          <w:rFonts w:hint="default"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本单位2023年度无国有资本经营预算财政拨款支出。</w:t>
      </w:r>
    </w:p>
    <w:p>
      <w:pPr>
        <w:pStyle w:val="6"/>
        <w:snapToGrid w:val="0"/>
        <w:spacing w:before="0" w:beforeAutospacing="0" w:after="0" w:afterAutospacing="0" w:line="560" w:lineRule="exact"/>
        <w:ind w:firstLine="643" w:firstLineChars="200"/>
        <w:jc w:val="both"/>
        <w:rPr>
          <w:rFonts w:hint="default" w:ascii="黑体" w:hAnsi="黑体" w:eastAsia="黑体" w:cs="黑体"/>
          <w:b/>
          <w:bCs/>
          <w:sz w:val="32"/>
          <w:szCs w:val="32"/>
          <w:shd w:val="clear" w:color="auto" w:fill="FFFFFF"/>
        </w:rPr>
      </w:pPr>
      <w:r>
        <w:rPr>
          <w:rFonts w:ascii="黑体" w:hAnsi="黑体" w:eastAsia="黑体" w:cs="黑体"/>
          <w:b/>
          <w:bCs/>
          <w:sz w:val="32"/>
          <w:szCs w:val="32"/>
          <w:shd w:val="clear" w:color="auto" w:fill="FFFFFF"/>
        </w:rPr>
        <w:t xml:space="preserve">  三、“三公”经费情况说明</w:t>
      </w:r>
    </w:p>
    <w:p>
      <w:pPr>
        <w:pStyle w:val="11"/>
        <w:autoSpaceDE w:val="0"/>
        <w:spacing w:line="560" w:lineRule="exact"/>
        <w:ind w:firstLine="643"/>
        <w:jc w:val="both"/>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（一）“三公”经费支出总体情况说明</w:t>
      </w:r>
    </w:p>
    <w:p>
      <w:pPr>
        <w:pStyle w:val="6"/>
        <w:snapToGrid w:val="0"/>
        <w:spacing w:before="0" w:beforeAutospacing="0" w:after="0" w:afterAutospacing="0" w:line="560" w:lineRule="exact"/>
        <w:ind w:firstLine="640" w:firstLineChars="200"/>
        <w:jc w:val="both"/>
        <w:rPr>
          <w:rFonts w:hint="default"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2023年度“三公”经费支出共计</w:t>
      </w:r>
      <w:r>
        <w:rPr>
          <w:rFonts w:ascii="方正仿宋_GBK" w:hAnsi="方正仿宋_GBK" w:eastAsia="方正仿宋_GBK" w:cs="方正仿宋_GBK"/>
          <w:sz w:val="32"/>
          <w:szCs w:val="32"/>
        </w:rPr>
        <w:t>3.07</w:t>
      </w:r>
      <w:r>
        <w:rPr>
          <w:rFonts w:ascii="方正仿宋_GBK" w:hAnsi="方正仿宋_GBK" w:eastAsia="方正仿宋_GBK" w:cs="方正仿宋_GBK"/>
          <w:sz w:val="32"/>
          <w:szCs w:val="32"/>
          <w:shd w:val="clear" w:color="auto" w:fill="FFFFFF"/>
        </w:rPr>
        <w:t>万元，较年初预算数减少1.35万元，下降30.54%，主要原因是严控“三公”经费支出。较上年支出数减少0.55万元，下降15.19%，主要原因是严控“三公”经费支出。</w:t>
      </w:r>
    </w:p>
    <w:p>
      <w:pPr>
        <w:pStyle w:val="11"/>
        <w:autoSpaceDE w:val="0"/>
        <w:spacing w:line="560" w:lineRule="exact"/>
        <w:ind w:firstLine="643"/>
        <w:jc w:val="both"/>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（二）“三公”经费分项支出情况</w:t>
      </w:r>
    </w:p>
    <w:p>
      <w:pPr>
        <w:adjustRightInd w:val="0"/>
        <w:snapToGrid w:val="0"/>
        <w:spacing w:line="600" w:lineRule="exact"/>
        <w:ind w:firstLine="640" w:firstLineChars="200"/>
        <w:rPr>
          <w:rFonts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2023年度本部门因公出国（境）费用0.00万元。费用支出较年初预算数无增减，主要原因是年初预算数未安排因公出国（境）费用，也未发生因公出国（境）费用。较上年支出数无增减，主要原因是上年和本年均未发生因公出国（境）费用。</w:t>
      </w:r>
    </w:p>
    <w:p>
      <w:pPr>
        <w:pStyle w:val="6"/>
        <w:snapToGrid w:val="0"/>
        <w:spacing w:before="0" w:beforeAutospacing="0" w:after="0" w:afterAutospacing="0" w:line="560" w:lineRule="exact"/>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 xml:space="preserve"> </w:t>
      </w:r>
      <w:r>
        <w:rPr>
          <w:rFonts w:hint="eastAsia" w:ascii="方正仿宋_GBK" w:hAnsi="方正仿宋_GBK" w:eastAsia="方正仿宋_GBK" w:cs="方正仿宋_GBK"/>
          <w:sz w:val="32"/>
          <w:szCs w:val="32"/>
          <w:shd w:val="clear" w:color="auto" w:fill="FFFFFF"/>
          <w:lang w:val="en-US" w:eastAsia="zh-CN"/>
        </w:rPr>
        <w:t xml:space="preserve">  </w:t>
      </w:r>
      <w:r>
        <w:rPr>
          <w:rFonts w:ascii="方正仿宋_GBK" w:hAnsi="方正仿宋_GBK" w:eastAsia="方正仿宋_GBK" w:cs="方正仿宋_GBK"/>
          <w:sz w:val="32"/>
          <w:szCs w:val="32"/>
          <w:shd w:val="clear" w:color="auto" w:fill="FFFFFF"/>
        </w:rPr>
        <w:t>公务车购置费0.00万元。费用支出较年初预算数无增减，主要原因是年初预算数未安排且本年未发生公务车购置费用。较上年支出数无增减，主要原因是上年和本年均未发生公务车购置费用。</w:t>
      </w:r>
    </w:p>
    <w:p>
      <w:pPr>
        <w:pStyle w:val="6"/>
        <w:snapToGrid w:val="0"/>
        <w:spacing w:before="0" w:beforeAutospacing="0" w:after="0" w:afterAutospacing="0" w:line="560" w:lineRule="exact"/>
        <w:ind w:firstLine="640" w:firstLineChars="200"/>
        <w:jc w:val="both"/>
        <w:rPr>
          <w:rFonts w:hint="default"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公务车运行维护费</w:t>
      </w:r>
      <w:r>
        <w:rPr>
          <w:rFonts w:ascii="方正仿宋_GBK" w:hAnsi="方正仿宋_GBK" w:eastAsia="方正仿宋_GBK" w:cs="方正仿宋_GBK"/>
          <w:sz w:val="32"/>
          <w:szCs w:val="32"/>
        </w:rPr>
        <w:t>2.87</w:t>
      </w:r>
      <w:r>
        <w:rPr>
          <w:rFonts w:ascii="方正仿宋_GBK" w:hAnsi="方正仿宋_GBK" w:eastAsia="方正仿宋_GBK" w:cs="方正仿宋_GBK"/>
          <w:sz w:val="32"/>
          <w:szCs w:val="32"/>
          <w:shd w:val="clear" w:color="auto" w:fill="FFFFFF"/>
        </w:rPr>
        <w:t>万元，主要用于车辆运行、维修、保险等费用。支出较年初预算数减少1.13万元，下降28.25%，主要原因是厉行节约，提高车辆使用效率。较上年支出数减少0.36万元，下降11.15%，主要原因是厉行节约，提高车辆使用效率。</w:t>
      </w:r>
    </w:p>
    <w:p>
      <w:pPr>
        <w:pStyle w:val="6"/>
        <w:snapToGrid w:val="0"/>
        <w:spacing w:before="0" w:beforeAutospacing="0" w:after="0" w:afterAutospacing="0" w:line="560" w:lineRule="exact"/>
        <w:jc w:val="both"/>
        <w:rPr>
          <w:rFonts w:hint="default"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 xml:space="preserve">    公务接待费</w:t>
      </w:r>
      <w:r>
        <w:rPr>
          <w:rFonts w:ascii="方正仿宋_GBK" w:hAnsi="方正仿宋_GBK" w:eastAsia="方正仿宋_GBK" w:cs="方正仿宋_GBK"/>
          <w:sz w:val="32"/>
          <w:szCs w:val="32"/>
        </w:rPr>
        <w:t>0.21</w:t>
      </w:r>
      <w:r>
        <w:rPr>
          <w:rFonts w:ascii="方正仿宋_GBK" w:hAnsi="方正仿宋_GBK" w:eastAsia="方正仿宋_GBK" w:cs="方正仿宋_GBK"/>
          <w:sz w:val="32"/>
          <w:szCs w:val="32"/>
          <w:shd w:val="clear" w:color="auto" w:fill="FFFFFF"/>
        </w:rPr>
        <w:t>万元，主要用于接待上级部门及周边区县水保预防监督检查、工作交流及水保项目规划指导。费用支出较年初预算数减少0.21万元，下降50.00%，主要原因是按照文件精神，合理压减公务接待支出。较上年支出数减少0.17万元，下降44.74%，主要原因是按照文件精神，合理压减公务接待支出。</w:t>
      </w:r>
    </w:p>
    <w:p>
      <w:pPr>
        <w:pStyle w:val="11"/>
        <w:autoSpaceDE w:val="0"/>
        <w:spacing w:line="560" w:lineRule="exact"/>
        <w:ind w:firstLine="643"/>
        <w:jc w:val="both"/>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（三）“三公”经费实物量情况</w:t>
      </w:r>
    </w:p>
    <w:p>
      <w:pPr>
        <w:pStyle w:val="6"/>
        <w:snapToGrid w:val="0"/>
        <w:spacing w:before="0" w:beforeAutospacing="0" w:after="0" w:afterAutospacing="0" w:line="56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 2023年度本部门因公出国（境）共计</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个团组，</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人；公务用车购置</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辆，公务车保有量为</w:t>
      </w:r>
      <w:r>
        <w:rPr>
          <w:rFonts w:ascii="方正仿宋_GBK" w:hAnsi="方正仿宋_GBK" w:eastAsia="方正仿宋_GBK" w:cs="方正仿宋_GBK"/>
          <w:sz w:val="32"/>
          <w:szCs w:val="32"/>
        </w:rPr>
        <w:t>1</w:t>
      </w:r>
      <w:r>
        <w:rPr>
          <w:rFonts w:ascii="方正仿宋_GBK" w:hAnsi="方正仿宋_GBK" w:eastAsia="方正仿宋_GBK" w:cs="方正仿宋_GBK"/>
          <w:sz w:val="32"/>
          <w:szCs w:val="32"/>
          <w:shd w:val="clear" w:color="auto" w:fill="FFFFFF"/>
        </w:rPr>
        <w:t>辆；国内公务接待</w:t>
      </w:r>
      <w:r>
        <w:rPr>
          <w:rFonts w:ascii="方正仿宋_GBK" w:hAnsi="方正仿宋_GBK" w:eastAsia="方正仿宋_GBK" w:cs="方正仿宋_GBK"/>
          <w:sz w:val="32"/>
          <w:szCs w:val="32"/>
        </w:rPr>
        <w:t>3</w:t>
      </w:r>
      <w:r>
        <w:rPr>
          <w:rFonts w:ascii="方正仿宋_GBK" w:hAnsi="方正仿宋_GBK" w:eastAsia="方正仿宋_GBK" w:cs="方正仿宋_GBK"/>
          <w:sz w:val="32"/>
          <w:szCs w:val="32"/>
          <w:shd w:val="clear" w:color="auto" w:fill="FFFFFF"/>
        </w:rPr>
        <w:t>批次</w:t>
      </w:r>
      <w:r>
        <w:rPr>
          <w:rFonts w:ascii="方正仿宋_GBK" w:hAnsi="方正仿宋_GBK" w:eastAsia="方正仿宋_GBK" w:cs="方正仿宋_GBK"/>
          <w:sz w:val="32"/>
          <w:szCs w:val="32"/>
        </w:rPr>
        <w:t>28</w:t>
      </w:r>
      <w:r>
        <w:rPr>
          <w:rFonts w:ascii="方正仿宋_GBK" w:hAnsi="方正仿宋_GBK" w:eastAsia="方正仿宋_GBK" w:cs="方正仿宋_GBK"/>
          <w:sz w:val="32"/>
          <w:szCs w:val="32"/>
          <w:shd w:val="clear" w:color="auto" w:fill="FFFFFF"/>
        </w:rPr>
        <w:t>人，其中：国内外事接待</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批次，</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人；国（境）外公务接待</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批次，</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人。2023年本部门人均接待费</w:t>
      </w:r>
      <w:r>
        <w:rPr>
          <w:rFonts w:ascii="方正仿宋_GBK" w:hAnsi="方正仿宋_GBK" w:eastAsia="方正仿宋_GBK" w:cs="方正仿宋_GBK"/>
          <w:sz w:val="32"/>
          <w:szCs w:val="32"/>
        </w:rPr>
        <w:t>74.07</w:t>
      </w:r>
      <w:r>
        <w:rPr>
          <w:rFonts w:ascii="方正仿宋_GBK" w:hAnsi="方正仿宋_GBK" w:eastAsia="方正仿宋_GBK" w:cs="方正仿宋_GBK"/>
          <w:sz w:val="32"/>
          <w:szCs w:val="32"/>
          <w:shd w:val="clear" w:color="auto" w:fill="FFFFFF"/>
        </w:rPr>
        <w:t>元，车均购置费</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万元，车均维护费</w:t>
      </w:r>
      <w:r>
        <w:rPr>
          <w:rFonts w:ascii="方正仿宋_GBK" w:hAnsi="方正仿宋_GBK" w:eastAsia="方正仿宋_GBK" w:cs="方正仿宋_GBK"/>
          <w:sz w:val="32"/>
          <w:szCs w:val="32"/>
        </w:rPr>
        <w:t>2.87</w:t>
      </w:r>
      <w:r>
        <w:rPr>
          <w:rFonts w:ascii="方正仿宋_GBK" w:hAnsi="方正仿宋_GBK" w:eastAsia="方正仿宋_GBK" w:cs="方正仿宋_GBK"/>
          <w:sz w:val="32"/>
          <w:szCs w:val="32"/>
          <w:shd w:val="clear" w:color="auto" w:fill="FFFFFF"/>
        </w:rPr>
        <w:t>万元。</w:t>
      </w:r>
    </w:p>
    <w:p>
      <w:pPr>
        <w:pStyle w:val="6"/>
        <w:numPr>
          <w:ilvl w:val="0"/>
          <w:numId w:val="3"/>
        </w:numPr>
        <w:snapToGrid w:val="0"/>
        <w:spacing w:before="0" w:beforeAutospacing="0" w:after="0" w:afterAutospacing="0" w:line="560" w:lineRule="exact"/>
        <w:ind w:firstLine="643" w:firstLineChars="200"/>
        <w:jc w:val="both"/>
        <w:rPr>
          <w:rFonts w:hint="default" w:ascii="楷体" w:hAnsi="楷体" w:eastAsia="楷体" w:cs="楷体"/>
          <w:b/>
          <w:bCs/>
          <w:sz w:val="32"/>
          <w:szCs w:val="32"/>
          <w:shd w:val="clear" w:color="auto" w:fill="FFFFFF"/>
        </w:rPr>
      </w:pPr>
      <w:r>
        <w:rPr>
          <w:rFonts w:ascii="黑体" w:hAnsi="黑体" w:eastAsia="黑体" w:cs="黑体"/>
          <w:b/>
          <w:bCs/>
          <w:sz w:val="32"/>
          <w:szCs w:val="32"/>
          <w:shd w:val="clear" w:color="auto" w:fill="FFFFFF"/>
        </w:rPr>
        <w:t>其他需要说明的事项</w:t>
      </w:r>
    </w:p>
    <w:p>
      <w:pPr>
        <w:pStyle w:val="6"/>
        <w:snapToGrid w:val="0"/>
        <w:spacing w:before="0" w:beforeAutospacing="0" w:after="0" w:afterAutospacing="0" w:line="560" w:lineRule="exact"/>
        <w:ind w:left="480" w:leftChars="200"/>
        <w:jc w:val="both"/>
        <w:rPr>
          <w:rFonts w:hint="default" w:ascii="楷体" w:hAnsi="楷体" w:eastAsia="楷体" w:cs="楷体"/>
          <w:b/>
          <w:bCs/>
          <w:sz w:val="32"/>
          <w:szCs w:val="32"/>
          <w:shd w:val="clear" w:color="auto" w:fill="FFFFFF"/>
        </w:rPr>
      </w:pPr>
      <w:r>
        <w:rPr>
          <w:rFonts w:ascii="楷体" w:hAnsi="楷体" w:eastAsia="楷体" w:cs="楷体"/>
          <w:b/>
          <w:bCs/>
          <w:sz w:val="32"/>
          <w:szCs w:val="32"/>
          <w:shd w:val="clear" w:color="auto" w:fill="FFFFFF"/>
        </w:rPr>
        <w:t>（一）财政拨款会议费和培训费情况说明</w:t>
      </w:r>
    </w:p>
    <w:p>
      <w:pPr>
        <w:pStyle w:val="6"/>
        <w:snapToGrid w:val="0"/>
        <w:spacing w:before="0" w:beforeAutospacing="0" w:after="0" w:afterAutospacing="0" w:line="560" w:lineRule="exact"/>
        <w:jc w:val="both"/>
        <w:rPr>
          <w:rFonts w:hint="default"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 xml:space="preserve">    本年度会议费支出</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万元，较上年决算数无增减，</w:t>
      </w:r>
      <w:r>
        <w:rPr>
          <w:rFonts w:ascii="方正仿宋_GBK" w:eastAsia="方正仿宋_GBK"/>
          <w:sz w:val="32"/>
          <w:szCs w:val="32"/>
        </w:rPr>
        <w:t>主要原因是上年和本年均未发生会议费支出</w:t>
      </w:r>
      <w:r>
        <w:rPr>
          <w:rFonts w:ascii="方正仿宋_GBK" w:hAnsi="方正仿宋_GBK" w:eastAsia="方正仿宋_GBK" w:cs="方正仿宋_GBK"/>
          <w:sz w:val="32"/>
          <w:szCs w:val="32"/>
          <w:shd w:val="clear" w:color="auto" w:fill="FFFFFF"/>
        </w:rPr>
        <w:t>。本年度培训费支出</w:t>
      </w:r>
      <w:r>
        <w:rPr>
          <w:rFonts w:ascii="方正仿宋_GBK" w:hAnsi="方正仿宋_GBK" w:eastAsia="方正仿宋_GBK" w:cs="方正仿宋_GBK"/>
          <w:sz w:val="32"/>
          <w:szCs w:val="32"/>
        </w:rPr>
        <w:t>0.12</w:t>
      </w:r>
      <w:r>
        <w:rPr>
          <w:rFonts w:ascii="方正仿宋_GBK" w:hAnsi="方正仿宋_GBK" w:eastAsia="方正仿宋_GBK" w:cs="方正仿宋_GBK"/>
          <w:sz w:val="32"/>
          <w:szCs w:val="32"/>
          <w:shd w:val="clear" w:color="auto" w:fill="FFFFFF"/>
        </w:rPr>
        <w:t>万元，较上年决算数增加0.09万元，增长300.00%，主要原因是参加行政执法人员法律知识培训增大了培训费用。</w:t>
      </w:r>
    </w:p>
    <w:p>
      <w:pPr>
        <w:pStyle w:val="6"/>
        <w:snapToGrid w:val="0"/>
        <w:spacing w:before="0" w:beforeAutospacing="0" w:after="0" w:afterAutospacing="0" w:line="560" w:lineRule="exact"/>
        <w:jc w:val="both"/>
        <w:rPr>
          <w:rFonts w:hint="default" w:ascii="楷体" w:hAnsi="楷体" w:eastAsia="楷体" w:cs="楷体"/>
          <w:b/>
          <w:bCs/>
          <w:sz w:val="32"/>
          <w:szCs w:val="32"/>
          <w:shd w:val="clear" w:color="auto" w:fill="FFFFFF"/>
        </w:rPr>
      </w:pPr>
      <w:r>
        <w:rPr>
          <w:rFonts w:ascii="楷体" w:hAnsi="楷体" w:eastAsia="楷体" w:cs="楷体"/>
          <w:b/>
          <w:bCs/>
          <w:sz w:val="32"/>
          <w:szCs w:val="32"/>
          <w:shd w:val="clear" w:color="auto" w:fill="FFFFFF"/>
        </w:rPr>
        <w:t xml:space="preserve">  </w:t>
      </w:r>
      <w:r>
        <w:rPr>
          <w:rFonts w:hint="eastAsia" w:ascii="楷体" w:hAnsi="楷体" w:eastAsia="楷体" w:cs="楷体"/>
          <w:b/>
          <w:bCs/>
          <w:sz w:val="32"/>
          <w:szCs w:val="32"/>
          <w:shd w:val="clear" w:color="auto" w:fill="FFFFFF"/>
          <w:lang w:val="en-US" w:eastAsia="zh-CN"/>
        </w:rPr>
        <w:t xml:space="preserve"> </w:t>
      </w:r>
      <w:r>
        <w:rPr>
          <w:rFonts w:ascii="楷体" w:hAnsi="楷体" w:eastAsia="楷体" w:cs="楷体"/>
          <w:b/>
          <w:bCs/>
          <w:sz w:val="32"/>
          <w:szCs w:val="32"/>
          <w:shd w:val="clear" w:color="auto" w:fill="FFFFFF"/>
        </w:rPr>
        <w:t>（二）机关运行经费情况说明</w:t>
      </w:r>
    </w:p>
    <w:p>
      <w:pPr>
        <w:pStyle w:val="6"/>
        <w:snapToGrid w:val="0"/>
        <w:spacing w:before="0" w:beforeAutospacing="0" w:after="0" w:afterAutospacing="0" w:line="560" w:lineRule="exact"/>
        <w:jc w:val="both"/>
        <w:rPr>
          <w:rFonts w:hint="default"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 xml:space="preserve">  </w:t>
      </w:r>
      <w:r>
        <w:rPr>
          <w:rFonts w:hint="default" w:ascii="方正仿宋_GBK" w:hAnsi="方正仿宋_GBK" w:eastAsia="方正仿宋_GBK" w:cs="方正仿宋_GBK"/>
          <w:sz w:val="32"/>
          <w:szCs w:val="32"/>
          <w:shd w:val="clear" w:color="auto" w:fill="FFFFFF"/>
        </w:rPr>
        <w:t xml:space="preserve">  </w:t>
      </w:r>
      <w:r>
        <w:rPr>
          <w:rFonts w:ascii="方正仿宋_GBK" w:hAnsi="方正仿宋_GBK" w:eastAsia="方正仿宋_GBK" w:cs="方正仿宋_GBK"/>
          <w:sz w:val="32"/>
          <w:szCs w:val="32"/>
          <w:shd w:val="clear" w:color="auto" w:fill="FFFFFF"/>
        </w:rPr>
        <w:t>2023年度本部门机关运行经费支出</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万元，机关运行经费较上年支出数无增减，</w:t>
      </w:r>
      <w:r>
        <w:rPr>
          <w:rFonts w:ascii="方正仿宋_GBK" w:eastAsia="方正仿宋_GBK"/>
          <w:bCs/>
          <w:sz w:val="32"/>
          <w:szCs w:val="32"/>
        </w:rPr>
        <w:t>主要原因是按照部门决算列报口径，我单位不在机关运行经费统计范围之内。</w:t>
      </w:r>
    </w:p>
    <w:p>
      <w:pPr>
        <w:pStyle w:val="6"/>
        <w:snapToGrid w:val="0"/>
        <w:spacing w:before="0" w:beforeAutospacing="0" w:after="0" w:afterAutospacing="0" w:line="560" w:lineRule="exact"/>
        <w:jc w:val="both"/>
        <w:rPr>
          <w:rFonts w:hint="default" w:ascii="楷体" w:hAnsi="楷体" w:eastAsia="楷体" w:cs="楷体"/>
          <w:b/>
          <w:bCs/>
          <w:sz w:val="32"/>
          <w:szCs w:val="32"/>
          <w:shd w:val="clear" w:color="auto" w:fill="FFFFFF"/>
        </w:rPr>
      </w:pPr>
      <w:r>
        <w:rPr>
          <w:rFonts w:ascii="楷体" w:hAnsi="楷体" w:eastAsia="楷体" w:cs="楷体"/>
          <w:b/>
          <w:bCs/>
          <w:sz w:val="32"/>
          <w:szCs w:val="32"/>
          <w:shd w:val="clear" w:color="auto" w:fill="FFFFFF"/>
        </w:rPr>
        <w:t xml:space="preserve">  （三）国有资产占用情况说明</w:t>
      </w:r>
    </w:p>
    <w:p>
      <w:pPr>
        <w:pStyle w:val="6"/>
        <w:snapToGrid w:val="0"/>
        <w:spacing w:before="0" w:beforeAutospacing="0" w:after="0" w:afterAutospacing="0" w:line="560" w:lineRule="exact"/>
        <w:jc w:val="both"/>
        <w:rPr>
          <w:rFonts w:hint="default"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 xml:space="preserve">   截至2023年12月31日，本部门共有车辆</w:t>
      </w:r>
      <w:r>
        <w:rPr>
          <w:rFonts w:ascii="方正仿宋_GBK" w:hAnsi="方正仿宋_GBK" w:eastAsia="方正仿宋_GBK" w:cs="方正仿宋_GBK"/>
          <w:sz w:val="32"/>
          <w:szCs w:val="32"/>
        </w:rPr>
        <w:t>1</w:t>
      </w:r>
      <w:r>
        <w:rPr>
          <w:rFonts w:ascii="方正仿宋_GBK" w:hAnsi="方正仿宋_GBK" w:eastAsia="方正仿宋_GBK" w:cs="方正仿宋_GBK"/>
          <w:sz w:val="32"/>
          <w:szCs w:val="32"/>
          <w:shd w:val="clear" w:color="auto" w:fill="FFFFFF"/>
        </w:rPr>
        <w:t>辆，其中，副部（省）级及以上领导用车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辆、主要负责人用车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辆、机要通信用车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辆、应急保障用车</w:t>
      </w:r>
      <w:r>
        <w:rPr>
          <w:rFonts w:ascii="方正仿宋_GBK" w:hAnsi="方正仿宋_GBK" w:eastAsia="方正仿宋_GBK" w:cs="方正仿宋_GBK"/>
          <w:sz w:val="32"/>
          <w:szCs w:val="32"/>
        </w:rPr>
        <w:t>1</w:t>
      </w:r>
      <w:r>
        <w:rPr>
          <w:rFonts w:ascii="方正仿宋_GBK" w:hAnsi="方正仿宋_GBK" w:eastAsia="方正仿宋_GBK" w:cs="方正仿宋_GBK"/>
          <w:sz w:val="32"/>
          <w:szCs w:val="32"/>
          <w:shd w:val="clear" w:color="auto" w:fill="FFFFFF"/>
        </w:rPr>
        <w:t>辆、执法执勤用车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辆，特种专业技术用车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辆，离退休干部用车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辆。单价100万元（含）以上专用设备</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台（套）。</w:t>
      </w:r>
    </w:p>
    <w:p>
      <w:pPr>
        <w:pStyle w:val="6"/>
        <w:snapToGrid w:val="0"/>
        <w:spacing w:before="0" w:beforeAutospacing="0" w:after="0" w:afterAutospacing="0" w:line="560" w:lineRule="exact"/>
        <w:jc w:val="both"/>
        <w:rPr>
          <w:rFonts w:hint="default" w:ascii="楷体" w:hAnsi="楷体" w:eastAsia="楷体" w:cs="楷体"/>
          <w:b/>
          <w:bCs/>
          <w:sz w:val="32"/>
          <w:szCs w:val="32"/>
          <w:shd w:val="clear" w:color="auto" w:fill="FFFFFF"/>
        </w:rPr>
      </w:pPr>
      <w:r>
        <w:rPr>
          <w:rFonts w:ascii="楷体" w:hAnsi="楷体" w:eastAsia="楷体" w:cs="楷体"/>
          <w:b/>
          <w:bCs/>
          <w:sz w:val="32"/>
          <w:szCs w:val="32"/>
          <w:shd w:val="clear" w:color="auto" w:fill="FFFFFF"/>
        </w:rPr>
        <w:t xml:space="preserve">   （四）政府采购支出情况说明</w:t>
      </w:r>
    </w:p>
    <w:p>
      <w:pPr>
        <w:pStyle w:val="6"/>
        <w:snapToGrid w:val="0"/>
        <w:spacing w:before="0" w:beforeAutospacing="0" w:after="0" w:afterAutospacing="0" w:line="560" w:lineRule="exact"/>
        <w:jc w:val="both"/>
        <w:rPr>
          <w:rFonts w:hint="default" w:ascii="方正仿宋_GBK" w:hAnsi="方正仿宋_GBK" w:eastAsia="方正仿宋_GBK" w:cs="方正仿宋_GBK"/>
          <w:color w:val="FF0000"/>
          <w:sz w:val="32"/>
          <w:szCs w:val="32"/>
          <w:shd w:val="clear" w:color="auto" w:fill="FFFFFF"/>
        </w:rPr>
      </w:pPr>
      <w:r>
        <w:rPr>
          <w:rFonts w:ascii="楷体" w:hAnsi="楷体" w:eastAsia="楷体" w:cs="楷体"/>
          <w:b/>
          <w:bCs/>
          <w:sz w:val="32"/>
          <w:szCs w:val="32"/>
          <w:shd w:val="clear" w:color="auto" w:fill="FFFFFF"/>
        </w:rPr>
        <w:t xml:space="preserve">    </w:t>
      </w:r>
      <w:r>
        <w:rPr>
          <w:rFonts w:ascii="方正仿宋_GBK" w:hAnsi="方正仿宋_GBK" w:eastAsia="方正仿宋_GBK" w:cs="方正仿宋_GBK"/>
          <w:sz w:val="32"/>
          <w:szCs w:val="32"/>
          <w:shd w:val="clear" w:color="auto" w:fill="FFFFFF"/>
        </w:rPr>
        <w:t>2023年度本部门政府采购支出总额</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万元，其中：政府采购货物支出</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万元、政府采购工程支出</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万元、政府采购服务支出</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万元。授予中小企业合同金额</w:t>
      </w:r>
      <w:r>
        <w:rPr>
          <w:rFonts w:ascii="方正仿宋_GBK" w:hAnsi="方正仿宋_GBK" w:eastAsia="方正仿宋_GBK" w:cs="方正仿宋_GBK"/>
          <w:sz w:val="32"/>
          <w:szCs w:val="32"/>
        </w:rPr>
        <w:t>0.00万</w:t>
      </w:r>
      <w:r>
        <w:rPr>
          <w:rFonts w:ascii="方正仿宋_GBK" w:hAnsi="方正仿宋_GBK" w:eastAsia="方正仿宋_GBK" w:cs="方正仿宋_GBK"/>
          <w:sz w:val="32"/>
          <w:szCs w:val="32"/>
          <w:shd w:val="clear" w:color="auto" w:fill="FFFFFF"/>
        </w:rPr>
        <w:t>元，占政府采购支出总额的</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%，其中：授予小微企业合同金额</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万元，占政府采购支出总额的</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 xml:space="preserve"> %。2023年度我单位未发生政府采购事项，无相关经费支出。</w:t>
      </w:r>
    </w:p>
    <w:p>
      <w:pPr>
        <w:pStyle w:val="6"/>
        <w:snapToGrid w:val="0"/>
        <w:spacing w:before="0" w:beforeAutospacing="0" w:after="0" w:afterAutospacing="0" w:line="560" w:lineRule="exact"/>
        <w:jc w:val="both"/>
        <w:rPr>
          <w:rFonts w:hint="default" w:ascii="黑体" w:hAnsi="黑体" w:eastAsia="黑体" w:cs="黑体"/>
          <w:sz w:val="32"/>
          <w:szCs w:val="32"/>
          <w:shd w:val="clear" w:color="auto" w:fill="FFFFFF"/>
        </w:rPr>
      </w:pPr>
      <w:r>
        <w:rPr>
          <w:rFonts w:ascii="黑体" w:hAnsi="黑体" w:eastAsia="黑体" w:cs="黑体"/>
          <w:sz w:val="32"/>
          <w:szCs w:val="32"/>
          <w:shd w:val="clear" w:color="auto" w:fill="FFFFFF"/>
        </w:rPr>
        <w:t xml:space="preserve">    </w:t>
      </w:r>
      <w:r>
        <w:rPr>
          <w:rFonts w:ascii="黑体" w:hAnsi="黑体" w:eastAsia="黑体" w:cs="黑体"/>
          <w:b/>
          <w:bCs/>
          <w:sz w:val="32"/>
          <w:szCs w:val="32"/>
          <w:shd w:val="clear" w:color="auto" w:fill="FFFFFF"/>
        </w:rPr>
        <w:t xml:space="preserve"> 五、预算绩效管理情况说明</w:t>
      </w:r>
    </w:p>
    <w:p>
      <w:pPr>
        <w:pStyle w:val="11"/>
        <w:autoSpaceDE w:val="0"/>
        <w:spacing w:line="560" w:lineRule="exact"/>
        <w:ind w:firstLine="643"/>
        <w:jc w:val="both"/>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（一）单位自评情况</w:t>
      </w:r>
    </w:p>
    <w:p>
      <w:pPr>
        <w:pStyle w:val="12"/>
        <w:autoSpaceDE w:val="0"/>
        <w:spacing w:before="0" w:beforeAutospacing="0" w:after="0" w:afterAutospacing="0" w:line="560" w:lineRule="exact"/>
        <w:ind w:firstLine="640" w:firstLineChars="200"/>
        <w:jc w:val="both"/>
        <w:rPr>
          <w:rFonts w:ascii="方正仿宋_GBK" w:hAnsi="方正仿宋_GBK" w:eastAsia="方正仿宋_GBK" w:cs="方正仿宋_GBK"/>
          <w:sz w:val="32"/>
          <w:szCs w:val="32"/>
          <w:shd w:val="clear" w:color="auto" w:fill="FFFFFF"/>
        </w:rPr>
      </w:pPr>
      <w:r>
        <w:rPr>
          <w:rFonts w:hint="eastAsia" w:ascii="方正仿宋_GBK" w:hAnsi="方正仿宋_GBK" w:eastAsia="方正仿宋_GBK" w:cs="方正仿宋_GBK"/>
          <w:sz w:val="32"/>
          <w:szCs w:val="32"/>
          <w:shd w:val="clear" w:color="auto" w:fill="FFFFFF"/>
        </w:rPr>
        <w:t>根据预算绩效管理要求，我单位对1个二级项目开展了绩效自评，涉及财政拨款项目支出资金4.94万元。</w:t>
      </w:r>
    </w:p>
    <w:tbl>
      <w:tblPr>
        <w:tblStyle w:val="7"/>
        <w:tblW w:w="8530" w:type="dxa"/>
        <w:tblInd w:w="0" w:type="dxa"/>
        <w:tblLayout w:type="fixed"/>
        <w:tblCellMar>
          <w:top w:w="15" w:type="dxa"/>
          <w:left w:w="15" w:type="dxa"/>
          <w:bottom w:w="15" w:type="dxa"/>
          <w:right w:w="15" w:type="dxa"/>
        </w:tblCellMar>
      </w:tblPr>
      <w:tblGrid>
        <w:gridCol w:w="670"/>
        <w:gridCol w:w="315"/>
        <w:gridCol w:w="225"/>
        <w:gridCol w:w="480"/>
        <w:gridCol w:w="120"/>
        <w:gridCol w:w="502"/>
        <w:gridCol w:w="218"/>
        <w:gridCol w:w="495"/>
        <w:gridCol w:w="870"/>
        <w:gridCol w:w="803"/>
        <w:gridCol w:w="97"/>
        <w:gridCol w:w="600"/>
        <w:gridCol w:w="240"/>
        <w:gridCol w:w="435"/>
        <w:gridCol w:w="285"/>
        <w:gridCol w:w="300"/>
        <w:gridCol w:w="360"/>
        <w:gridCol w:w="240"/>
        <w:gridCol w:w="720"/>
        <w:gridCol w:w="555"/>
      </w:tblGrid>
      <w:tr>
        <w:tblPrEx>
          <w:tblCellMar>
            <w:top w:w="15" w:type="dxa"/>
            <w:left w:w="15" w:type="dxa"/>
            <w:bottom w:w="15" w:type="dxa"/>
            <w:right w:w="15" w:type="dxa"/>
          </w:tblCellMar>
        </w:tblPrEx>
        <w:trPr>
          <w:trHeight w:val="495" w:hRule="atLeast"/>
        </w:trPr>
        <w:tc>
          <w:tcPr>
            <w:tcW w:w="8530" w:type="dxa"/>
            <w:gridSpan w:val="20"/>
            <w:tcBorders>
              <w:top w:val="single" w:color="000000" w:sz="4" w:space="0"/>
              <w:left w:val="single" w:color="000000" w:sz="4" w:space="0"/>
              <w:bottom w:val="single" w:color="000000" w:sz="4" w:space="0"/>
              <w:right w:val="single" w:color="000000" w:sz="4" w:space="0"/>
            </w:tcBorders>
            <w:vAlign w:val="center"/>
          </w:tcPr>
          <w:p>
            <w:pPr>
              <w:ind w:firstLine="221" w:firstLineChars="100"/>
              <w:jc w:val="right"/>
              <w:textAlignment w:val="center"/>
              <w:rPr>
                <w:rFonts w:hint="default" w:cs="宋体"/>
                <w:b/>
                <w:color w:val="FF0000"/>
                <w:sz w:val="22"/>
                <w:szCs w:val="22"/>
              </w:rPr>
            </w:pPr>
            <w:r>
              <w:rPr>
                <w:rFonts w:cs="宋体"/>
                <w:b/>
                <w:color w:val="FF0000"/>
                <w:sz w:val="22"/>
                <w:szCs w:val="22"/>
              </w:rPr>
              <w:t>状态：绩效审核已审</w:t>
            </w:r>
          </w:p>
        </w:tc>
      </w:tr>
      <w:tr>
        <w:tblPrEx>
          <w:tblCellMar>
            <w:top w:w="15" w:type="dxa"/>
            <w:left w:w="15" w:type="dxa"/>
            <w:bottom w:w="15" w:type="dxa"/>
            <w:right w:w="15" w:type="dxa"/>
          </w:tblCellMar>
        </w:tblPrEx>
        <w:trPr>
          <w:trHeight w:val="660" w:hRule="atLeast"/>
        </w:trPr>
        <w:tc>
          <w:tcPr>
            <w:tcW w:w="670" w:type="dxa"/>
            <w:tcBorders>
              <w:top w:val="single" w:color="000000" w:sz="4" w:space="0"/>
              <w:left w:val="single" w:color="000000" w:sz="4" w:space="0"/>
              <w:bottom w:val="single" w:color="000000" w:sz="4" w:space="0"/>
              <w:right w:val="single" w:color="000000" w:sz="4" w:space="0"/>
            </w:tcBorders>
            <w:vAlign w:val="center"/>
          </w:tcPr>
          <w:p>
            <w:pPr>
              <w:textAlignment w:val="center"/>
              <w:rPr>
                <w:rFonts w:hint="default" w:cs="宋体"/>
                <w:b/>
                <w:color w:val="000000"/>
                <w:sz w:val="22"/>
                <w:szCs w:val="22"/>
              </w:rPr>
            </w:pPr>
            <w:r>
              <w:rPr>
                <w:rFonts w:cs="宋体"/>
                <w:b/>
                <w:color w:val="000000"/>
                <w:sz w:val="22"/>
                <w:szCs w:val="22"/>
              </w:rPr>
              <w:t>项目名称：</w:t>
            </w:r>
          </w:p>
        </w:tc>
        <w:tc>
          <w:tcPr>
            <w:tcW w:w="1020" w:type="dxa"/>
            <w:gridSpan w:val="3"/>
            <w:tcBorders>
              <w:top w:val="single" w:color="000000" w:sz="4" w:space="0"/>
              <w:left w:val="single" w:color="000000" w:sz="4" w:space="0"/>
              <w:bottom w:val="single" w:color="000000" w:sz="4" w:space="0"/>
              <w:right w:val="single" w:color="000000" w:sz="4" w:space="0"/>
            </w:tcBorders>
            <w:vAlign w:val="center"/>
          </w:tcPr>
          <w:p>
            <w:pPr>
              <w:textAlignment w:val="center"/>
              <w:rPr>
                <w:rFonts w:hint="default" w:cs="宋体"/>
                <w:color w:val="000000"/>
                <w:sz w:val="22"/>
                <w:szCs w:val="22"/>
              </w:rPr>
            </w:pPr>
            <w:r>
              <w:rPr>
                <w:rFonts w:cs="宋体"/>
                <w:color w:val="000000"/>
                <w:sz w:val="22"/>
                <w:szCs w:val="22"/>
              </w:rPr>
              <w:t>水土保持项目预防监督工作经费</w:t>
            </w:r>
          </w:p>
        </w:tc>
        <w:tc>
          <w:tcPr>
            <w:tcW w:w="622" w:type="dxa"/>
            <w:gridSpan w:val="2"/>
            <w:tcBorders>
              <w:top w:val="single" w:color="000000" w:sz="4" w:space="0"/>
              <w:left w:val="single" w:color="000000" w:sz="4" w:space="0"/>
              <w:bottom w:val="single" w:color="000000" w:sz="4" w:space="0"/>
              <w:right w:val="single" w:color="000000" w:sz="4" w:space="0"/>
            </w:tcBorders>
            <w:vAlign w:val="center"/>
          </w:tcPr>
          <w:p>
            <w:pPr>
              <w:textAlignment w:val="center"/>
              <w:rPr>
                <w:rFonts w:hint="default" w:cs="宋体"/>
                <w:b/>
                <w:color w:val="000000"/>
                <w:sz w:val="22"/>
                <w:szCs w:val="22"/>
              </w:rPr>
            </w:pPr>
            <w:r>
              <w:rPr>
                <w:rFonts w:cs="宋体"/>
                <w:b/>
                <w:color w:val="000000"/>
                <w:sz w:val="22"/>
                <w:szCs w:val="22"/>
              </w:rPr>
              <w:t>项目编码：</w:t>
            </w:r>
          </w:p>
        </w:tc>
        <w:tc>
          <w:tcPr>
            <w:tcW w:w="2386" w:type="dxa"/>
            <w:gridSpan w:val="4"/>
            <w:tcBorders>
              <w:top w:val="single" w:color="000000" w:sz="4" w:space="0"/>
              <w:left w:val="single" w:color="000000" w:sz="4" w:space="0"/>
              <w:bottom w:val="single" w:color="000000" w:sz="4" w:space="0"/>
              <w:right w:val="single" w:color="000000" w:sz="4" w:space="0"/>
            </w:tcBorders>
            <w:vAlign w:val="center"/>
          </w:tcPr>
          <w:p>
            <w:pPr>
              <w:textAlignment w:val="center"/>
              <w:rPr>
                <w:rFonts w:hint="default" w:cs="宋体"/>
                <w:color w:val="000000"/>
                <w:sz w:val="22"/>
                <w:szCs w:val="22"/>
              </w:rPr>
            </w:pPr>
            <w:r>
              <w:rPr>
                <w:rFonts w:cs="宋体"/>
                <w:color w:val="000000"/>
                <w:sz w:val="22"/>
                <w:szCs w:val="22"/>
              </w:rPr>
              <w:t>50023122T000000091409</w:t>
            </w:r>
          </w:p>
        </w:tc>
        <w:tc>
          <w:tcPr>
            <w:tcW w:w="697" w:type="dxa"/>
            <w:gridSpan w:val="2"/>
            <w:tcBorders>
              <w:top w:val="single" w:color="000000" w:sz="4" w:space="0"/>
              <w:left w:val="single" w:color="000000" w:sz="4" w:space="0"/>
              <w:bottom w:val="single" w:color="000000" w:sz="4" w:space="0"/>
              <w:right w:val="single" w:color="000000" w:sz="4" w:space="0"/>
            </w:tcBorders>
            <w:vAlign w:val="center"/>
          </w:tcPr>
          <w:p>
            <w:pPr>
              <w:textAlignment w:val="center"/>
              <w:rPr>
                <w:rFonts w:hint="default" w:cs="宋体"/>
                <w:b/>
                <w:color w:val="000000"/>
                <w:sz w:val="22"/>
                <w:szCs w:val="22"/>
              </w:rPr>
            </w:pPr>
            <w:r>
              <w:rPr>
                <w:rFonts w:cs="宋体"/>
                <w:b/>
                <w:color w:val="000000"/>
                <w:sz w:val="22"/>
                <w:szCs w:val="22"/>
              </w:rPr>
              <w:t>自评总分：</w:t>
            </w:r>
          </w:p>
        </w:tc>
        <w:tc>
          <w:tcPr>
            <w:tcW w:w="1260" w:type="dxa"/>
            <w:gridSpan w:val="4"/>
            <w:tcBorders>
              <w:top w:val="single" w:color="000000" w:sz="4" w:space="0"/>
              <w:left w:val="single" w:color="000000" w:sz="4" w:space="0"/>
              <w:bottom w:val="single" w:color="000000" w:sz="4" w:space="0"/>
              <w:right w:val="single" w:color="000000" w:sz="4" w:space="0"/>
            </w:tcBorders>
            <w:vAlign w:val="center"/>
          </w:tcPr>
          <w:p>
            <w:pPr>
              <w:ind w:firstLine="220" w:firstLineChars="100"/>
              <w:textAlignment w:val="center"/>
              <w:rPr>
                <w:rFonts w:hint="default" w:cs="宋体"/>
                <w:color w:val="000000"/>
                <w:sz w:val="22"/>
                <w:szCs w:val="22"/>
              </w:rPr>
            </w:pPr>
            <w:r>
              <w:rPr>
                <w:rFonts w:cs="宋体"/>
                <w:color w:val="000000"/>
                <w:sz w:val="22"/>
                <w:szCs w:val="22"/>
              </w:rPr>
              <w:t>100.00</w:t>
            </w:r>
          </w:p>
        </w:tc>
        <w:tc>
          <w:tcPr>
            <w:tcW w:w="600" w:type="dxa"/>
            <w:gridSpan w:val="2"/>
            <w:tcBorders>
              <w:top w:val="single" w:color="000000" w:sz="4" w:space="0"/>
              <w:left w:val="single" w:color="000000" w:sz="4" w:space="0"/>
              <w:bottom w:val="single" w:color="000000" w:sz="4" w:space="0"/>
              <w:right w:val="single" w:color="000000" w:sz="4" w:space="0"/>
            </w:tcBorders>
            <w:vAlign w:val="center"/>
          </w:tcPr>
          <w:p>
            <w:pPr>
              <w:jc w:val="right"/>
              <w:rPr>
                <w:rFonts w:hint="default" w:cs="宋体"/>
                <w:b/>
                <w:color w:val="000000"/>
                <w:sz w:val="22"/>
                <w:szCs w:val="22"/>
              </w:rPr>
            </w:pPr>
          </w:p>
        </w:tc>
        <w:tc>
          <w:tcPr>
            <w:tcW w:w="1275" w:type="dxa"/>
            <w:gridSpan w:val="2"/>
            <w:tcBorders>
              <w:top w:val="single" w:color="000000" w:sz="4" w:space="0"/>
              <w:left w:val="single" w:color="000000" w:sz="4" w:space="0"/>
              <w:bottom w:val="single" w:color="000000" w:sz="4" w:space="0"/>
              <w:right w:val="single" w:color="000000" w:sz="4" w:space="0"/>
            </w:tcBorders>
            <w:vAlign w:val="center"/>
          </w:tcPr>
          <w:p>
            <w:pPr>
              <w:rPr>
                <w:rFonts w:hint="default" w:cs="宋体"/>
                <w:color w:val="000000"/>
                <w:sz w:val="22"/>
                <w:szCs w:val="22"/>
              </w:rPr>
            </w:pPr>
          </w:p>
        </w:tc>
      </w:tr>
      <w:tr>
        <w:tblPrEx>
          <w:tblCellMar>
            <w:top w:w="15" w:type="dxa"/>
            <w:left w:w="15" w:type="dxa"/>
            <w:bottom w:w="15" w:type="dxa"/>
            <w:right w:w="15" w:type="dxa"/>
          </w:tblCellMar>
        </w:tblPrEx>
        <w:trPr>
          <w:trHeight w:val="495" w:hRule="atLeast"/>
        </w:trPr>
        <w:tc>
          <w:tcPr>
            <w:tcW w:w="670" w:type="dxa"/>
            <w:tcBorders>
              <w:top w:val="single" w:color="000000" w:sz="4" w:space="0"/>
              <w:left w:val="single" w:color="000000" w:sz="4" w:space="0"/>
              <w:bottom w:val="single" w:color="000000" w:sz="4" w:space="0"/>
              <w:right w:val="single" w:color="000000" w:sz="4" w:space="0"/>
            </w:tcBorders>
            <w:vAlign w:val="center"/>
          </w:tcPr>
          <w:p>
            <w:pPr>
              <w:textAlignment w:val="center"/>
              <w:rPr>
                <w:rFonts w:hint="default" w:cs="宋体"/>
                <w:b/>
                <w:color w:val="000000"/>
                <w:sz w:val="22"/>
                <w:szCs w:val="22"/>
              </w:rPr>
            </w:pPr>
            <w:r>
              <w:rPr>
                <w:rFonts w:cs="宋体"/>
                <w:b/>
                <w:color w:val="000000"/>
                <w:sz w:val="22"/>
                <w:szCs w:val="22"/>
              </w:rPr>
              <w:t>项目主管部门：</w:t>
            </w:r>
          </w:p>
        </w:tc>
        <w:tc>
          <w:tcPr>
            <w:tcW w:w="1020" w:type="dxa"/>
            <w:gridSpan w:val="3"/>
            <w:tcBorders>
              <w:top w:val="single" w:color="000000" w:sz="4" w:space="0"/>
              <w:left w:val="single" w:color="000000" w:sz="4" w:space="0"/>
              <w:bottom w:val="single" w:color="000000" w:sz="4" w:space="0"/>
              <w:right w:val="single" w:color="000000" w:sz="4" w:space="0"/>
            </w:tcBorders>
            <w:vAlign w:val="center"/>
          </w:tcPr>
          <w:p>
            <w:pPr>
              <w:textAlignment w:val="center"/>
              <w:rPr>
                <w:rFonts w:hint="default" w:cs="宋体"/>
                <w:color w:val="000000"/>
                <w:sz w:val="22"/>
                <w:szCs w:val="22"/>
              </w:rPr>
            </w:pPr>
            <w:r>
              <w:rPr>
                <w:rFonts w:cs="宋体"/>
                <w:color w:val="000000"/>
                <w:sz w:val="22"/>
                <w:szCs w:val="22"/>
              </w:rPr>
              <w:t>403-垫江县水利局</w:t>
            </w:r>
          </w:p>
        </w:tc>
        <w:tc>
          <w:tcPr>
            <w:tcW w:w="622" w:type="dxa"/>
            <w:gridSpan w:val="2"/>
            <w:tcBorders>
              <w:top w:val="single" w:color="000000" w:sz="4" w:space="0"/>
              <w:left w:val="single" w:color="000000" w:sz="4" w:space="0"/>
              <w:bottom w:val="single" w:color="000000" w:sz="4" w:space="0"/>
              <w:right w:val="single" w:color="000000" w:sz="4" w:space="0"/>
            </w:tcBorders>
            <w:vAlign w:val="center"/>
          </w:tcPr>
          <w:p>
            <w:pPr>
              <w:textAlignment w:val="center"/>
              <w:rPr>
                <w:rFonts w:hint="default" w:cs="宋体"/>
                <w:b/>
                <w:color w:val="000000"/>
                <w:sz w:val="22"/>
                <w:szCs w:val="22"/>
              </w:rPr>
            </w:pPr>
            <w:r>
              <w:rPr>
                <w:rFonts w:cs="宋体"/>
                <w:b/>
                <w:color w:val="000000"/>
                <w:sz w:val="22"/>
                <w:szCs w:val="22"/>
              </w:rPr>
              <w:t>财政归口处室：</w:t>
            </w:r>
          </w:p>
        </w:tc>
        <w:tc>
          <w:tcPr>
            <w:tcW w:w="2386" w:type="dxa"/>
            <w:gridSpan w:val="4"/>
            <w:tcBorders>
              <w:top w:val="single" w:color="000000" w:sz="4" w:space="0"/>
              <w:left w:val="single" w:color="000000" w:sz="4" w:space="0"/>
              <w:bottom w:val="single" w:color="000000" w:sz="4" w:space="0"/>
              <w:right w:val="single" w:color="000000" w:sz="4" w:space="0"/>
            </w:tcBorders>
            <w:vAlign w:val="center"/>
          </w:tcPr>
          <w:p>
            <w:pPr>
              <w:ind w:firstLine="220" w:firstLineChars="100"/>
              <w:textAlignment w:val="center"/>
              <w:rPr>
                <w:rFonts w:hint="default" w:cs="宋体"/>
                <w:color w:val="000000"/>
                <w:sz w:val="22"/>
                <w:szCs w:val="22"/>
              </w:rPr>
            </w:pPr>
            <w:r>
              <w:rPr>
                <w:rFonts w:cs="宋体"/>
                <w:color w:val="000000"/>
                <w:sz w:val="22"/>
                <w:szCs w:val="22"/>
              </w:rPr>
              <w:t>007-农业科</w:t>
            </w:r>
          </w:p>
        </w:tc>
        <w:tc>
          <w:tcPr>
            <w:tcW w:w="697" w:type="dxa"/>
            <w:gridSpan w:val="2"/>
            <w:tcBorders>
              <w:top w:val="single" w:color="000000" w:sz="4" w:space="0"/>
              <w:left w:val="single" w:color="000000" w:sz="4" w:space="0"/>
              <w:bottom w:val="single" w:color="000000" w:sz="4" w:space="0"/>
              <w:right w:val="single" w:color="000000" w:sz="4" w:space="0"/>
            </w:tcBorders>
            <w:vAlign w:val="center"/>
          </w:tcPr>
          <w:p>
            <w:pPr>
              <w:jc w:val="right"/>
              <w:textAlignment w:val="center"/>
              <w:rPr>
                <w:rFonts w:hint="default" w:cs="宋体"/>
                <w:b/>
                <w:color w:val="000000"/>
                <w:sz w:val="22"/>
                <w:szCs w:val="22"/>
              </w:rPr>
            </w:pPr>
            <w:r>
              <w:rPr>
                <w:rFonts w:cs="宋体"/>
                <w:b/>
                <w:color w:val="000000"/>
                <w:sz w:val="22"/>
                <w:szCs w:val="22"/>
              </w:rPr>
              <w:t>部门联系人：</w:t>
            </w:r>
          </w:p>
        </w:tc>
        <w:tc>
          <w:tcPr>
            <w:tcW w:w="1260" w:type="dxa"/>
            <w:gridSpan w:val="4"/>
            <w:tcBorders>
              <w:top w:val="single" w:color="000000" w:sz="4" w:space="0"/>
              <w:left w:val="single" w:color="000000" w:sz="4" w:space="0"/>
              <w:bottom w:val="single" w:color="000000" w:sz="4" w:space="0"/>
              <w:right w:val="single" w:color="000000" w:sz="4" w:space="0"/>
            </w:tcBorders>
            <w:vAlign w:val="center"/>
          </w:tcPr>
          <w:p>
            <w:pPr>
              <w:ind w:firstLine="220" w:firstLineChars="100"/>
              <w:textAlignment w:val="center"/>
              <w:rPr>
                <w:rFonts w:hint="default" w:cs="宋体"/>
                <w:color w:val="000000"/>
                <w:sz w:val="22"/>
                <w:szCs w:val="22"/>
              </w:rPr>
            </w:pPr>
            <w:r>
              <w:rPr>
                <w:rFonts w:cs="宋体"/>
                <w:color w:val="000000"/>
                <w:sz w:val="22"/>
                <w:szCs w:val="22"/>
              </w:rPr>
              <w:t>李老师</w:t>
            </w:r>
          </w:p>
        </w:tc>
        <w:tc>
          <w:tcPr>
            <w:tcW w:w="600" w:type="dxa"/>
            <w:gridSpan w:val="2"/>
            <w:tcBorders>
              <w:top w:val="single" w:color="000000" w:sz="4" w:space="0"/>
              <w:left w:val="single" w:color="000000" w:sz="4" w:space="0"/>
              <w:bottom w:val="single" w:color="000000" w:sz="4" w:space="0"/>
              <w:right w:val="single" w:color="000000" w:sz="4" w:space="0"/>
            </w:tcBorders>
            <w:vAlign w:val="center"/>
          </w:tcPr>
          <w:p>
            <w:pPr>
              <w:textAlignment w:val="center"/>
              <w:rPr>
                <w:rFonts w:hint="default" w:cs="宋体"/>
                <w:b/>
                <w:color w:val="000000"/>
                <w:sz w:val="22"/>
                <w:szCs w:val="22"/>
              </w:rPr>
            </w:pPr>
            <w:r>
              <w:rPr>
                <w:rFonts w:cs="宋体"/>
                <w:b/>
                <w:color w:val="000000"/>
                <w:sz w:val="22"/>
                <w:szCs w:val="22"/>
              </w:rPr>
              <w:t>联系电话：</w:t>
            </w:r>
          </w:p>
        </w:tc>
        <w:tc>
          <w:tcPr>
            <w:tcW w:w="1275" w:type="dxa"/>
            <w:gridSpan w:val="2"/>
            <w:tcBorders>
              <w:top w:val="single" w:color="000000" w:sz="4" w:space="0"/>
              <w:left w:val="single" w:color="000000" w:sz="4" w:space="0"/>
              <w:bottom w:val="single" w:color="000000" w:sz="4" w:space="0"/>
              <w:right w:val="single" w:color="000000" w:sz="4" w:space="0"/>
            </w:tcBorders>
            <w:vAlign w:val="center"/>
          </w:tcPr>
          <w:p>
            <w:pPr>
              <w:textAlignment w:val="center"/>
              <w:rPr>
                <w:rFonts w:hint="default" w:cs="宋体"/>
                <w:color w:val="000000"/>
                <w:sz w:val="22"/>
                <w:szCs w:val="22"/>
              </w:rPr>
            </w:pPr>
            <w:r>
              <w:rPr>
                <w:rFonts w:cs="宋体"/>
                <w:color w:val="000000"/>
                <w:sz w:val="22"/>
                <w:szCs w:val="22"/>
              </w:rPr>
              <w:t>13509466796</w:t>
            </w:r>
          </w:p>
        </w:tc>
      </w:tr>
      <w:tr>
        <w:tblPrEx>
          <w:tblCellMar>
            <w:top w:w="15" w:type="dxa"/>
            <w:left w:w="15" w:type="dxa"/>
            <w:bottom w:w="15" w:type="dxa"/>
            <w:right w:w="15" w:type="dxa"/>
          </w:tblCellMar>
        </w:tblPrEx>
        <w:trPr>
          <w:trHeight w:val="90" w:hRule="atLeast"/>
        </w:trPr>
        <w:tc>
          <w:tcPr>
            <w:tcW w:w="8530" w:type="dxa"/>
            <w:gridSpan w:val="20"/>
            <w:tcBorders>
              <w:top w:val="single" w:color="000000" w:sz="4" w:space="0"/>
              <w:left w:val="single" w:color="000000" w:sz="4" w:space="0"/>
              <w:bottom w:val="single" w:color="000000" w:sz="4" w:space="0"/>
              <w:right w:val="single" w:color="000000" w:sz="4" w:space="0"/>
            </w:tcBorders>
            <w:vAlign w:val="center"/>
          </w:tcPr>
          <w:p>
            <w:pPr>
              <w:jc w:val="center"/>
              <w:textAlignment w:val="center"/>
              <w:rPr>
                <w:rFonts w:hint="default" w:ascii="微软雅黑" w:hAnsi="微软雅黑" w:eastAsia="微软雅黑" w:cs="微软雅黑"/>
                <w:b/>
                <w:color w:val="808080"/>
                <w:sz w:val="28"/>
                <w:szCs w:val="28"/>
              </w:rPr>
            </w:pPr>
            <w:r>
              <w:rPr>
                <w:rFonts w:ascii="微软雅黑" w:hAnsi="微软雅黑" w:eastAsia="微软雅黑" w:cs="微软雅黑"/>
                <w:b/>
                <w:color w:val="808080"/>
                <w:sz w:val="28"/>
                <w:szCs w:val="28"/>
              </w:rPr>
              <w:t>资金情况</w:t>
            </w:r>
          </w:p>
        </w:tc>
      </w:tr>
      <w:tr>
        <w:tblPrEx>
          <w:tblCellMar>
            <w:top w:w="15" w:type="dxa"/>
            <w:left w:w="15" w:type="dxa"/>
            <w:bottom w:w="15" w:type="dxa"/>
            <w:right w:w="15" w:type="dxa"/>
          </w:tblCellMar>
        </w:tblPrEx>
        <w:trPr>
          <w:trHeight w:val="806" w:hRule="atLeast"/>
        </w:trPr>
        <w:tc>
          <w:tcPr>
            <w:tcW w:w="985"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color w:val="000000"/>
                <w:sz w:val="22"/>
                <w:szCs w:val="22"/>
              </w:rPr>
            </w:pPr>
          </w:p>
        </w:tc>
        <w:tc>
          <w:tcPr>
            <w:tcW w:w="1327" w:type="dxa"/>
            <w:gridSpan w:val="4"/>
            <w:tcBorders>
              <w:top w:val="single" w:color="000000" w:sz="4" w:space="0"/>
              <w:left w:val="single" w:color="000000" w:sz="4" w:space="0"/>
              <w:bottom w:val="single" w:color="000000" w:sz="4" w:space="0"/>
              <w:right w:val="single" w:color="000000" w:sz="4" w:space="0"/>
            </w:tcBorders>
            <w:vAlign w:val="center"/>
          </w:tcPr>
          <w:p>
            <w:pPr>
              <w:jc w:val="center"/>
              <w:textAlignment w:val="center"/>
              <w:rPr>
                <w:rFonts w:hint="default" w:cs="宋体"/>
                <w:b/>
                <w:color w:val="000000"/>
                <w:sz w:val="22"/>
                <w:szCs w:val="22"/>
              </w:rPr>
            </w:pPr>
            <w:r>
              <w:rPr>
                <w:rFonts w:cs="宋体"/>
                <w:b/>
                <w:color w:val="000000"/>
                <w:sz w:val="22"/>
                <w:szCs w:val="22"/>
              </w:rPr>
              <w:t>年初预算数</w:t>
            </w:r>
          </w:p>
        </w:tc>
        <w:tc>
          <w:tcPr>
            <w:tcW w:w="2386" w:type="dxa"/>
            <w:gridSpan w:val="4"/>
            <w:tcBorders>
              <w:top w:val="single" w:color="000000" w:sz="4" w:space="0"/>
              <w:left w:val="single" w:color="000000" w:sz="4" w:space="0"/>
              <w:bottom w:val="single" w:color="000000" w:sz="4" w:space="0"/>
              <w:right w:val="single" w:color="000000" w:sz="4" w:space="0"/>
            </w:tcBorders>
            <w:vAlign w:val="center"/>
          </w:tcPr>
          <w:p>
            <w:pPr>
              <w:jc w:val="center"/>
              <w:textAlignment w:val="center"/>
              <w:rPr>
                <w:rFonts w:hint="default" w:cs="宋体"/>
                <w:b/>
                <w:color w:val="000000"/>
                <w:sz w:val="22"/>
                <w:szCs w:val="22"/>
              </w:rPr>
            </w:pPr>
            <w:r>
              <w:rPr>
                <w:rFonts w:cs="宋体"/>
                <w:b/>
                <w:color w:val="000000"/>
                <w:sz w:val="22"/>
                <w:szCs w:val="22"/>
              </w:rPr>
              <w:t>全年（调整）预算数</w:t>
            </w:r>
          </w:p>
        </w:tc>
        <w:tc>
          <w:tcPr>
            <w:tcW w:w="1372" w:type="dxa"/>
            <w:gridSpan w:val="4"/>
            <w:tcBorders>
              <w:top w:val="single" w:color="000000" w:sz="4" w:space="0"/>
              <w:left w:val="single" w:color="000000" w:sz="4" w:space="0"/>
              <w:bottom w:val="single" w:color="000000" w:sz="4" w:space="0"/>
              <w:right w:val="single" w:color="000000" w:sz="4" w:space="0"/>
            </w:tcBorders>
            <w:vAlign w:val="center"/>
          </w:tcPr>
          <w:p>
            <w:pPr>
              <w:jc w:val="center"/>
              <w:textAlignment w:val="center"/>
              <w:rPr>
                <w:rFonts w:hint="default" w:cs="宋体"/>
                <w:b/>
                <w:color w:val="000000"/>
                <w:sz w:val="22"/>
                <w:szCs w:val="22"/>
              </w:rPr>
            </w:pPr>
            <w:r>
              <w:rPr>
                <w:rFonts w:cs="宋体"/>
                <w:b/>
                <w:color w:val="000000"/>
                <w:sz w:val="22"/>
                <w:szCs w:val="22"/>
              </w:rPr>
              <w:t>全年执行数</w:t>
            </w:r>
          </w:p>
        </w:tc>
        <w:tc>
          <w:tcPr>
            <w:tcW w:w="585" w:type="dxa"/>
            <w:gridSpan w:val="2"/>
            <w:tcBorders>
              <w:top w:val="single" w:color="000000" w:sz="4" w:space="0"/>
              <w:left w:val="single" w:color="000000" w:sz="4" w:space="0"/>
              <w:bottom w:val="single" w:color="000000" w:sz="4" w:space="0"/>
              <w:right w:val="single" w:color="000000" w:sz="4" w:space="0"/>
            </w:tcBorders>
            <w:vAlign w:val="center"/>
          </w:tcPr>
          <w:p>
            <w:pPr>
              <w:jc w:val="center"/>
              <w:textAlignment w:val="center"/>
              <w:rPr>
                <w:rFonts w:hint="default" w:cs="宋体"/>
                <w:b/>
                <w:color w:val="000000"/>
                <w:sz w:val="22"/>
                <w:szCs w:val="22"/>
              </w:rPr>
            </w:pPr>
            <w:r>
              <w:rPr>
                <w:rFonts w:cs="宋体"/>
                <w:b/>
                <w:color w:val="000000"/>
                <w:sz w:val="22"/>
                <w:szCs w:val="22"/>
              </w:rPr>
              <w:t>执行率</w:t>
            </w:r>
          </w:p>
        </w:tc>
        <w:tc>
          <w:tcPr>
            <w:tcW w:w="600" w:type="dxa"/>
            <w:gridSpan w:val="2"/>
            <w:tcBorders>
              <w:top w:val="single" w:color="000000" w:sz="4" w:space="0"/>
              <w:left w:val="single" w:color="000000" w:sz="4" w:space="0"/>
              <w:bottom w:val="single" w:color="000000" w:sz="4" w:space="0"/>
              <w:right w:val="single" w:color="000000" w:sz="4" w:space="0"/>
            </w:tcBorders>
            <w:vAlign w:val="center"/>
          </w:tcPr>
          <w:p>
            <w:pPr>
              <w:textAlignment w:val="center"/>
              <w:rPr>
                <w:rFonts w:hint="default" w:cs="宋体"/>
                <w:b/>
                <w:color w:val="000000"/>
                <w:sz w:val="22"/>
                <w:szCs w:val="22"/>
              </w:rPr>
            </w:pPr>
            <w:r>
              <w:rPr>
                <w:rFonts w:cs="宋体"/>
                <w:b/>
                <w:color w:val="000000"/>
                <w:sz w:val="22"/>
                <w:szCs w:val="22"/>
              </w:rPr>
              <w:t>执行率权重</w:t>
            </w:r>
          </w:p>
        </w:tc>
        <w:tc>
          <w:tcPr>
            <w:tcW w:w="1275" w:type="dxa"/>
            <w:gridSpan w:val="2"/>
            <w:tcBorders>
              <w:top w:val="single" w:color="000000" w:sz="4" w:space="0"/>
              <w:left w:val="single" w:color="000000" w:sz="4" w:space="0"/>
              <w:bottom w:val="single" w:color="000000" w:sz="4" w:space="0"/>
              <w:right w:val="single" w:color="000000" w:sz="4" w:space="0"/>
            </w:tcBorders>
            <w:vAlign w:val="center"/>
          </w:tcPr>
          <w:p>
            <w:pPr>
              <w:jc w:val="center"/>
              <w:textAlignment w:val="center"/>
              <w:rPr>
                <w:rFonts w:hint="default" w:cs="宋体"/>
                <w:b/>
                <w:color w:val="000000"/>
                <w:sz w:val="22"/>
                <w:szCs w:val="22"/>
              </w:rPr>
            </w:pPr>
            <w:r>
              <w:rPr>
                <w:rFonts w:cs="宋体"/>
                <w:b/>
                <w:color w:val="000000"/>
                <w:sz w:val="22"/>
                <w:szCs w:val="22"/>
              </w:rPr>
              <w:t>执行率得分</w:t>
            </w:r>
          </w:p>
        </w:tc>
      </w:tr>
      <w:tr>
        <w:tblPrEx>
          <w:tblCellMar>
            <w:top w:w="15" w:type="dxa"/>
            <w:left w:w="15" w:type="dxa"/>
            <w:bottom w:w="15" w:type="dxa"/>
            <w:right w:w="15" w:type="dxa"/>
          </w:tblCellMar>
        </w:tblPrEx>
        <w:trPr>
          <w:trHeight w:val="495" w:hRule="atLeast"/>
        </w:trPr>
        <w:tc>
          <w:tcPr>
            <w:tcW w:w="985" w:type="dxa"/>
            <w:gridSpan w:val="2"/>
            <w:tcBorders>
              <w:top w:val="single" w:color="000000" w:sz="4" w:space="0"/>
              <w:left w:val="single" w:color="000000" w:sz="4" w:space="0"/>
              <w:bottom w:val="single" w:color="000000" w:sz="4" w:space="0"/>
              <w:right w:val="single" w:color="000000" w:sz="4" w:space="0"/>
            </w:tcBorders>
            <w:vAlign w:val="center"/>
          </w:tcPr>
          <w:p>
            <w:pPr>
              <w:rPr>
                <w:rFonts w:hint="default" w:cs="宋体"/>
                <w:color w:val="000000"/>
                <w:sz w:val="22"/>
                <w:szCs w:val="22"/>
              </w:rPr>
            </w:pPr>
            <w:r>
              <w:rPr>
                <w:rFonts w:cs="宋体"/>
                <w:color w:val="000000"/>
                <w:sz w:val="22"/>
                <w:szCs w:val="22"/>
              </w:rPr>
              <w:t>年度总金额</w:t>
            </w:r>
          </w:p>
        </w:tc>
        <w:tc>
          <w:tcPr>
            <w:tcW w:w="1327" w:type="dxa"/>
            <w:gridSpan w:val="4"/>
            <w:tcBorders>
              <w:top w:val="single" w:color="000000" w:sz="4" w:space="0"/>
              <w:left w:val="single" w:color="000000" w:sz="4" w:space="0"/>
              <w:bottom w:val="single" w:color="000000" w:sz="4" w:space="0"/>
              <w:right w:val="single" w:color="000000" w:sz="4" w:space="0"/>
            </w:tcBorders>
            <w:vAlign w:val="center"/>
          </w:tcPr>
          <w:p>
            <w:pPr>
              <w:jc w:val="center"/>
              <w:textAlignment w:val="center"/>
              <w:rPr>
                <w:rFonts w:hint="default" w:cs="宋体"/>
                <w:color w:val="000000"/>
                <w:sz w:val="22"/>
                <w:szCs w:val="22"/>
              </w:rPr>
            </w:pPr>
            <w:r>
              <w:rPr>
                <w:rFonts w:cs="宋体"/>
                <w:color w:val="000000"/>
                <w:sz w:val="22"/>
                <w:szCs w:val="22"/>
              </w:rPr>
              <w:t>50,000.00</w:t>
            </w:r>
          </w:p>
        </w:tc>
        <w:tc>
          <w:tcPr>
            <w:tcW w:w="2386" w:type="dxa"/>
            <w:gridSpan w:val="4"/>
            <w:tcBorders>
              <w:top w:val="single" w:color="000000" w:sz="4" w:space="0"/>
              <w:left w:val="single" w:color="000000" w:sz="4" w:space="0"/>
              <w:bottom w:val="single" w:color="000000" w:sz="4" w:space="0"/>
              <w:right w:val="single" w:color="000000" w:sz="4" w:space="0"/>
            </w:tcBorders>
            <w:vAlign w:val="center"/>
          </w:tcPr>
          <w:p>
            <w:pPr>
              <w:jc w:val="center"/>
              <w:textAlignment w:val="center"/>
              <w:rPr>
                <w:rFonts w:hint="default" w:cs="宋体"/>
                <w:color w:val="000000"/>
                <w:sz w:val="22"/>
                <w:szCs w:val="22"/>
              </w:rPr>
            </w:pPr>
            <w:r>
              <w:rPr>
                <w:rFonts w:cs="宋体"/>
                <w:color w:val="000000"/>
                <w:sz w:val="22"/>
                <w:szCs w:val="22"/>
              </w:rPr>
              <w:t>49,400.00</w:t>
            </w:r>
          </w:p>
        </w:tc>
        <w:tc>
          <w:tcPr>
            <w:tcW w:w="1372" w:type="dxa"/>
            <w:gridSpan w:val="4"/>
            <w:tcBorders>
              <w:top w:val="single" w:color="000000" w:sz="4" w:space="0"/>
              <w:left w:val="single" w:color="000000" w:sz="4" w:space="0"/>
              <w:bottom w:val="single" w:color="000000" w:sz="4" w:space="0"/>
              <w:right w:val="single" w:color="000000" w:sz="4" w:space="0"/>
            </w:tcBorders>
            <w:vAlign w:val="center"/>
          </w:tcPr>
          <w:p>
            <w:pPr>
              <w:jc w:val="center"/>
              <w:textAlignment w:val="center"/>
              <w:rPr>
                <w:rFonts w:hint="default" w:cs="宋体"/>
                <w:color w:val="000000"/>
                <w:sz w:val="22"/>
                <w:szCs w:val="22"/>
              </w:rPr>
            </w:pPr>
            <w:r>
              <w:rPr>
                <w:rFonts w:cs="宋体"/>
                <w:color w:val="000000"/>
                <w:sz w:val="22"/>
                <w:szCs w:val="22"/>
              </w:rPr>
              <w:t>49,400.00</w:t>
            </w:r>
          </w:p>
        </w:tc>
        <w:tc>
          <w:tcPr>
            <w:tcW w:w="585"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color w:val="000000"/>
                <w:sz w:val="22"/>
                <w:szCs w:val="22"/>
              </w:rPr>
            </w:pPr>
          </w:p>
        </w:tc>
        <w:tc>
          <w:tcPr>
            <w:tcW w:w="600"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color w:val="000000"/>
                <w:sz w:val="22"/>
                <w:szCs w:val="22"/>
              </w:rPr>
            </w:pPr>
          </w:p>
        </w:tc>
        <w:tc>
          <w:tcPr>
            <w:tcW w:w="1275"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color w:val="000000"/>
                <w:sz w:val="22"/>
                <w:szCs w:val="22"/>
              </w:rPr>
            </w:pPr>
          </w:p>
        </w:tc>
      </w:tr>
      <w:tr>
        <w:tblPrEx>
          <w:tblCellMar>
            <w:top w:w="15" w:type="dxa"/>
            <w:left w:w="15" w:type="dxa"/>
            <w:bottom w:w="15" w:type="dxa"/>
            <w:right w:w="15" w:type="dxa"/>
          </w:tblCellMar>
        </w:tblPrEx>
        <w:trPr>
          <w:trHeight w:val="495" w:hRule="atLeast"/>
        </w:trPr>
        <w:tc>
          <w:tcPr>
            <w:tcW w:w="985" w:type="dxa"/>
            <w:gridSpan w:val="2"/>
            <w:tcBorders>
              <w:top w:val="single" w:color="000000" w:sz="4" w:space="0"/>
              <w:left w:val="single" w:color="000000" w:sz="4" w:space="0"/>
              <w:bottom w:val="single" w:color="000000" w:sz="4" w:space="0"/>
              <w:right w:val="single" w:color="000000" w:sz="4" w:space="0"/>
            </w:tcBorders>
            <w:vAlign w:val="center"/>
          </w:tcPr>
          <w:p>
            <w:pPr>
              <w:rPr>
                <w:rFonts w:hint="default" w:cs="宋体"/>
                <w:color w:val="000000"/>
                <w:sz w:val="22"/>
                <w:szCs w:val="22"/>
              </w:rPr>
            </w:pPr>
            <w:r>
              <w:rPr>
                <w:rFonts w:cs="宋体"/>
                <w:color w:val="000000"/>
                <w:sz w:val="22"/>
                <w:szCs w:val="22"/>
              </w:rPr>
              <w:t>其中：财政拨款</w:t>
            </w:r>
          </w:p>
        </w:tc>
        <w:tc>
          <w:tcPr>
            <w:tcW w:w="1327" w:type="dxa"/>
            <w:gridSpan w:val="4"/>
            <w:tcBorders>
              <w:top w:val="single" w:color="000000" w:sz="4" w:space="0"/>
              <w:left w:val="single" w:color="000000" w:sz="4" w:space="0"/>
              <w:bottom w:val="single" w:color="000000" w:sz="4" w:space="0"/>
              <w:right w:val="single" w:color="000000" w:sz="4" w:space="0"/>
            </w:tcBorders>
            <w:vAlign w:val="center"/>
          </w:tcPr>
          <w:p>
            <w:pPr>
              <w:jc w:val="center"/>
              <w:textAlignment w:val="center"/>
              <w:rPr>
                <w:rFonts w:hint="default" w:cs="宋体"/>
                <w:color w:val="000000"/>
                <w:sz w:val="22"/>
                <w:szCs w:val="22"/>
              </w:rPr>
            </w:pPr>
            <w:r>
              <w:rPr>
                <w:rFonts w:cs="宋体"/>
                <w:color w:val="000000"/>
                <w:sz w:val="22"/>
                <w:szCs w:val="22"/>
              </w:rPr>
              <w:t>50,000.00</w:t>
            </w:r>
          </w:p>
        </w:tc>
        <w:tc>
          <w:tcPr>
            <w:tcW w:w="2386" w:type="dxa"/>
            <w:gridSpan w:val="4"/>
            <w:tcBorders>
              <w:top w:val="single" w:color="000000" w:sz="4" w:space="0"/>
              <w:left w:val="single" w:color="000000" w:sz="4" w:space="0"/>
              <w:bottom w:val="single" w:color="000000" w:sz="4" w:space="0"/>
              <w:right w:val="single" w:color="000000" w:sz="4" w:space="0"/>
            </w:tcBorders>
            <w:vAlign w:val="center"/>
          </w:tcPr>
          <w:p>
            <w:pPr>
              <w:jc w:val="center"/>
              <w:textAlignment w:val="center"/>
              <w:rPr>
                <w:rFonts w:hint="default" w:cs="宋体"/>
                <w:color w:val="000000"/>
                <w:sz w:val="22"/>
                <w:szCs w:val="22"/>
              </w:rPr>
            </w:pPr>
            <w:r>
              <w:rPr>
                <w:rFonts w:cs="宋体"/>
                <w:color w:val="000000"/>
                <w:sz w:val="22"/>
                <w:szCs w:val="22"/>
              </w:rPr>
              <w:t>49,400.00</w:t>
            </w:r>
          </w:p>
        </w:tc>
        <w:tc>
          <w:tcPr>
            <w:tcW w:w="1372" w:type="dxa"/>
            <w:gridSpan w:val="4"/>
            <w:tcBorders>
              <w:top w:val="single" w:color="000000" w:sz="4" w:space="0"/>
              <w:left w:val="single" w:color="000000" w:sz="4" w:space="0"/>
              <w:bottom w:val="single" w:color="000000" w:sz="4" w:space="0"/>
              <w:right w:val="single" w:color="000000" w:sz="4" w:space="0"/>
            </w:tcBorders>
            <w:vAlign w:val="center"/>
          </w:tcPr>
          <w:p>
            <w:pPr>
              <w:jc w:val="center"/>
              <w:textAlignment w:val="center"/>
              <w:rPr>
                <w:rFonts w:hint="default" w:cs="宋体"/>
                <w:color w:val="000000"/>
                <w:sz w:val="22"/>
                <w:szCs w:val="22"/>
              </w:rPr>
            </w:pPr>
            <w:r>
              <w:rPr>
                <w:rFonts w:cs="宋体"/>
                <w:color w:val="000000"/>
                <w:sz w:val="22"/>
                <w:szCs w:val="22"/>
              </w:rPr>
              <w:t>49,400.00</w:t>
            </w:r>
          </w:p>
        </w:tc>
        <w:tc>
          <w:tcPr>
            <w:tcW w:w="585" w:type="dxa"/>
            <w:gridSpan w:val="2"/>
            <w:tcBorders>
              <w:top w:val="single" w:color="000000" w:sz="4" w:space="0"/>
              <w:left w:val="single" w:color="000000" w:sz="4" w:space="0"/>
              <w:bottom w:val="single" w:color="000000" w:sz="4" w:space="0"/>
              <w:right w:val="single" w:color="000000" w:sz="4" w:space="0"/>
            </w:tcBorders>
            <w:vAlign w:val="center"/>
          </w:tcPr>
          <w:p>
            <w:pPr>
              <w:jc w:val="center"/>
              <w:textAlignment w:val="center"/>
              <w:rPr>
                <w:rFonts w:hint="default" w:cs="宋体"/>
                <w:color w:val="000000"/>
                <w:sz w:val="22"/>
                <w:szCs w:val="22"/>
              </w:rPr>
            </w:pPr>
            <w:r>
              <w:rPr>
                <w:rFonts w:cs="宋体"/>
                <w:color w:val="000000"/>
                <w:sz w:val="22"/>
                <w:szCs w:val="22"/>
              </w:rPr>
              <w:t>100</w:t>
            </w:r>
          </w:p>
        </w:tc>
        <w:tc>
          <w:tcPr>
            <w:tcW w:w="600" w:type="dxa"/>
            <w:gridSpan w:val="2"/>
            <w:tcBorders>
              <w:top w:val="single" w:color="000000" w:sz="4" w:space="0"/>
              <w:left w:val="single" w:color="000000" w:sz="4" w:space="0"/>
              <w:bottom w:val="single" w:color="000000" w:sz="4" w:space="0"/>
              <w:right w:val="single" w:color="000000" w:sz="4" w:space="0"/>
            </w:tcBorders>
            <w:vAlign w:val="center"/>
          </w:tcPr>
          <w:p>
            <w:pPr>
              <w:jc w:val="center"/>
              <w:textAlignment w:val="center"/>
              <w:rPr>
                <w:rFonts w:hint="default" w:cs="宋体"/>
                <w:color w:val="000000"/>
                <w:sz w:val="22"/>
                <w:szCs w:val="22"/>
              </w:rPr>
            </w:pPr>
            <w:r>
              <w:rPr>
                <w:rFonts w:cs="宋体"/>
                <w:color w:val="000000"/>
                <w:sz w:val="22"/>
                <w:szCs w:val="22"/>
              </w:rPr>
              <w:t>10.00</w:t>
            </w:r>
          </w:p>
        </w:tc>
        <w:tc>
          <w:tcPr>
            <w:tcW w:w="1275" w:type="dxa"/>
            <w:gridSpan w:val="2"/>
            <w:tcBorders>
              <w:top w:val="single" w:color="000000" w:sz="4" w:space="0"/>
              <w:left w:val="single" w:color="000000" w:sz="4" w:space="0"/>
              <w:bottom w:val="single" w:color="000000" w:sz="4" w:space="0"/>
              <w:right w:val="single" w:color="000000" w:sz="4" w:space="0"/>
            </w:tcBorders>
            <w:vAlign w:val="center"/>
          </w:tcPr>
          <w:p>
            <w:pPr>
              <w:jc w:val="center"/>
              <w:textAlignment w:val="center"/>
              <w:rPr>
                <w:rFonts w:hint="default" w:cs="宋体"/>
                <w:color w:val="000000"/>
                <w:sz w:val="22"/>
                <w:szCs w:val="22"/>
              </w:rPr>
            </w:pPr>
            <w:r>
              <w:rPr>
                <w:rFonts w:cs="宋体"/>
                <w:color w:val="000000"/>
                <w:sz w:val="22"/>
                <w:szCs w:val="22"/>
              </w:rPr>
              <w:t>10.00</w:t>
            </w:r>
          </w:p>
        </w:tc>
      </w:tr>
      <w:tr>
        <w:tblPrEx>
          <w:tblCellMar>
            <w:top w:w="15" w:type="dxa"/>
            <w:left w:w="15" w:type="dxa"/>
            <w:bottom w:w="15" w:type="dxa"/>
            <w:right w:w="15" w:type="dxa"/>
          </w:tblCellMar>
        </w:tblPrEx>
        <w:trPr>
          <w:trHeight w:val="495" w:hRule="atLeast"/>
        </w:trPr>
        <w:tc>
          <w:tcPr>
            <w:tcW w:w="985" w:type="dxa"/>
            <w:gridSpan w:val="2"/>
            <w:tcBorders>
              <w:top w:val="single" w:color="000000" w:sz="4" w:space="0"/>
              <w:left w:val="single" w:color="000000" w:sz="4" w:space="0"/>
              <w:bottom w:val="single" w:color="000000" w:sz="4" w:space="0"/>
              <w:right w:val="single" w:color="000000" w:sz="4" w:space="0"/>
            </w:tcBorders>
            <w:vAlign w:val="center"/>
          </w:tcPr>
          <w:p>
            <w:pPr>
              <w:rPr>
                <w:rFonts w:hint="default" w:cs="宋体"/>
                <w:color w:val="000000"/>
                <w:sz w:val="22"/>
                <w:szCs w:val="22"/>
              </w:rPr>
            </w:pPr>
            <w:r>
              <w:rPr>
                <w:rFonts w:cs="宋体"/>
                <w:color w:val="000000"/>
                <w:sz w:val="22"/>
                <w:szCs w:val="22"/>
              </w:rPr>
              <w:t>一般公共预算</w:t>
            </w:r>
          </w:p>
        </w:tc>
        <w:tc>
          <w:tcPr>
            <w:tcW w:w="1327" w:type="dxa"/>
            <w:gridSpan w:val="4"/>
            <w:tcBorders>
              <w:top w:val="single" w:color="000000" w:sz="4" w:space="0"/>
              <w:left w:val="single" w:color="000000" w:sz="4" w:space="0"/>
              <w:bottom w:val="single" w:color="000000" w:sz="4" w:space="0"/>
              <w:right w:val="single" w:color="000000" w:sz="4" w:space="0"/>
            </w:tcBorders>
            <w:vAlign w:val="center"/>
          </w:tcPr>
          <w:p>
            <w:pPr>
              <w:jc w:val="center"/>
              <w:textAlignment w:val="center"/>
              <w:rPr>
                <w:rFonts w:hint="default" w:cs="宋体"/>
                <w:color w:val="000000"/>
                <w:sz w:val="22"/>
                <w:szCs w:val="22"/>
              </w:rPr>
            </w:pPr>
            <w:r>
              <w:rPr>
                <w:rFonts w:cs="宋体"/>
                <w:color w:val="000000"/>
                <w:sz w:val="22"/>
                <w:szCs w:val="22"/>
              </w:rPr>
              <w:t>50,000.00</w:t>
            </w:r>
          </w:p>
        </w:tc>
        <w:tc>
          <w:tcPr>
            <w:tcW w:w="2386" w:type="dxa"/>
            <w:gridSpan w:val="4"/>
            <w:tcBorders>
              <w:top w:val="single" w:color="000000" w:sz="4" w:space="0"/>
              <w:left w:val="single" w:color="000000" w:sz="4" w:space="0"/>
              <w:bottom w:val="single" w:color="000000" w:sz="4" w:space="0"/>
              <w:right w:val="single" w:color="000000" w:sz="4" w:space="0"/>
            </w:tcBorders>
            <w:vAlign w:val="center"/>
          </w:tcPr>
          <w:p>
            <w:pPr>
              <w:jc w:val="center"/>
              <w:textAlignment w:val="center"/>
              <w:rPr>
                <w:rFonts w:hint="default" w:cs="宋体"/>
                <w:color w:val="000000"/>
                <w:sz w:val="22"/>
                <w:szCs w:val="22"/>
              </w:rPr>
            </w:pPr>
            <w:r>
              <w:rPr>
                <w:rFonts w:cs="宋体"/>
                <w:color w:val="000000"/>
                <w:sz w:val="22"/>
                <w:szCs w:val="22"/>
              </w:rPr>
              <w:t>49,400.00</w:t>
            </w:r>
          </w:p>
        </w:tc>
        <w:tc>
          <w:tcPr>
            <w:tcW w:w="1372" w:type="dxa"/>
            <w:gridSpan w:val="4"/>
            <w:tcBorders>
              <w:top w:val="single" w:color="000000" w:sz="4" w:space="0"/>
              <w:left w:val="single" w:color="000000" w:sz="4" w:space="0"/>
              <w:bottom w:val="single" w:color="000000" w:sz="4" w:space="0"/>
              <w:right w:val="single" w:color="000000" w:sz="4" w:space="0"/>
            </w:tcBorders>
            <w:vAlign w:val="center"/>
          </w:tcPr>
          <w:p>
            <w:pPr>
              <w:jc w:val="center"/>
              <w:textAlignment w:val="center"/>
              <w:rPr>
                <w:rFonts w:hint="default" w:cs="宋体"/>
                <w:color w:val="000000"/>
                <w:sz w:val="22"/>
                <w:szCs w:val="22"/>
              </w:rPr>
            </w:pPr>
            <w:r>
              <w:rPr>
                <w:rFonts w:cs="宋体"/>
                <w:color w:val="000000"/>
                <w:sz w:val="22"/>
                <w:szCs w:val="22"/>
              </w:rPr>
              <w:t>49,400.00</w:t>
            </w:r>
          </w:p>
        </w:tc>
        <w:tc>
          <w:tcPr>
            <w:tcW w:w="585" w:type="dxa"/>
            <w:gridSpan w:val="2"/>
            <w:tcBorders>
              <w:top w:val="single" w:color="000000" w:sz="4" w:space="0"/>
              <w:left w:val="single" w:color="000000" w:sz="4" w:space="0"/>
              <w:bottom w:val="single" w:color="000000" w:sz="4" w:space="0"/>
              <w:right w:val="single" w:color="000000" w:sz="4" w:space="0"/>
            </w:tcBorders>
            <w:vAlign w:val="center"/>
          </w:tcPr>
          <w:p>
            <w:pPr>
              <w:jc w:val="center"/>
              <w:textAlignment w:val="center"/>
              <w:rPr>
                <w:rFonts w:hint="default" w:cs="宋体"/>
                <w:color w:val="000000"/>
                <w:sz w:val="22"/>
                <w:szCs w:val="22"/>
              </w:rPr>
            </w:pPr>
            <w:r>
              <w:rPr>
                <w:rFonts w:cs="宋体"/>
                <w:color w:val="000000"/>
                <w:sz w:val="22"/>
                <w:szCs w:val="22"/>
              </w:rPr>
              <w:t>100</w:t>
            </w:r>
          </w:p>
        </w:tc>
        <w:tc>
          <w:tcPr>
            <w:tcW w:w="600"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color w:val="000000"/>
                <w:sz w:val="22"/>
                <w:szCs w:val="22"/>
              </w:rPr>
            </w:pPr>
          </w:p>
        </w:tc>
        <w:tc>
          <w:tcPr>
            <w:tcW w:w="1275"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color w:val="000000"/>
                <w:sz w:val="22"/>
                <w:szCs w:val="22"/>
              </w:rPr>
            </w:pPr>
          </w:p>
        </w:tc>
      </w:tr>
      <w:tr>
        <w:tblPrEx>
          <w:tblCellMar>
            <w:top w:w="15" w:type="dxa"/>
            <w:left w:w="15" w:type="dxa"/>
            <w:bottom w:w="15" w:type="dxa"/>
            <w:right w:w="15" w:type="dxa"/>
          </w:tblCellMar>
        </w:tblPrEx>
        <w:trPr>
          <w:trHeight w:val="479" w:hRule="atLeast"/>
        </w:trPr>
        <w:tc>
          <w:tcPr>
            <w:tcW w:w="8530" w:type="dxa"/>
            <w:gridSpan w:val="20"/>
            <w:tcBorders>
              <w:top w:val="single" w:color="000000" w:sz="4" w:space="0"/>
              <w:left w:val="single" w:color="000000" w:sz="4" w:space="0"/>
              <w:bottom w:val="single" w:color="000000" w:sz="4" w:space="0"/>
              <w:right w:val="single" w:color="000000" w:sz="4" w:space="0"/>
            </w:tcBorders>
            <w:vAlign w:val="center"/>
          </w:tcPr>
          <w:p>
            <w:pPr>
              <w:jc w:val="center"/>
              <w:textAlignment w:val="center"/>
              <w:rPr>
                <w:rFonts w:hint="default" w:ascii="微软雅黑" w:hAnsi="微软雅黑" w:eastAsia="微软雅黑" w:cs="微软雅黑"/>
                <w:b/>
                <w:color w:val="808080"/>
                <w:sz w:val="28"/>
                <w:szCs w:val="28"/>
              </w:rPr>
            </w:pPr>
            <w:r>
              <w:rPr>
                <w:rFonts w:ascii="微软雅黑" w:hAnsi="微软雅黑" w:eastAsia="微软雅黑" w:cs="微软雅黑"/>
                <w:b/>
                <w:color w:val="808080"/>
                <w:sz w:val="28"/>
                <w:szCs w:val="28"/>
              </w:rPr>
              <w:t>绩效目标</w:t>
            </w:r>
          </w:p>
        </w:tc>
      </w:tr>
      <w:tr>
        <w:tblPrEx>
          <w:tblCellMar>
            <w:top w:w="15" w:type="dxa"/>
            <w:left w:w="15" w:type="dxa"/>
            <w:bottom w:w="15" w:type="dxa"/>
            <w:right w:w="15" w:type="dxa"/>
          </w:tblCellMar>
        </w:tblPrEx>
        <w:trPr>
          <w:trHeight w:val="495" w:hRule="atLeast"/>
        </w:trPr>
        <w:tc>
          <w:tcPr>
            <w:tcW w:w="2312" w:type="dxa"/>
            <w:gridSpan w:val="6"/>
            <w:tcBorders>
              <w:top w:val="single" w:color="000000" w:sz="4" w:space="0"/>
              <w:left w:val="single" w:color="000000" w:sz="4" w:space="0"/>
              <w:bottom w:val="single" w:color="000000" w:sz="4" w:space="0"/>
              <w:right w:val="single" w:color="000000" w:sz="4" w:space="0"/>
            </w:tcBorders>
            <w:vAlign w:val="center"/>
          </w:tcPr>
          <w:p>
            <w:pPr>
              <w:jc w:val="center"/>
              <w:textAlignment w:val="center"/>
              <w:rPr>
                <w:rFonts w:hint="default" w:cs="宋体"/>
                <w:b/>
                <w:color w:val="000000"/>
                <w:sz w:val="22"/>
                <w:szCs w:val="22"/>
              </w:rPr>
            </w:pPr>
            <w:r>
              <w:rPr>
                <w:rFonts w:cs="宋体"/>
                <w:b/>
                <w:color w:val="000000"/>
                <w:sz w:val="22"/>
                <w:szCs w:val="22"/>
              </w:rPr>
              <w:t>年初绩效目标</w:t>
            </w:r>
          </w:p>
        </w:tc>
        <w:tc>
          <w:tcPr>
            <w:tcW w:w="3758" w:type="dxa"/>
            <w:gridSpan w:val="8"/>
            <w:tcBorders>
              <w:top w:val="single" w:color="000000" w:sz="4" w:space="0"/>
              <w:left w:val="single" w:color="000000" w:sz="4" w:space="0"/>
              <w:bottom w:val="single" w:color="000000" w:sz="4" w:space="0"/>
              <w:right w:val="single" w:color="000000" w:sz="4" w:space="0"/>
            </w:tcBorders>
            <w:vAlign w:val="center"/>
          </w:tcPr>
          <w:p>
            <w:pPr>
              <w:jc w:val="center"/>
              <w:textAlignment w:val="center"/>
              <w:rPr>
                <w:rFonts w:hint="default" w:cs="宋体"/>
                <w:b/>
                <w:color w:val="000000"/>
                <w:sz w:val="22"/>
                <w:szCs w:val="22"/>
              </w:rPr>
            </w:pPr>
            <w:r>
              <w:rPr>
                <w:rFonts w:cs="宋体"/>
                <w:b/>
                <w:color w:val="000000"/>
                <w:sz w:val="22"/>
                <w:szCs w:val="22"/>
              </w:rPr>
              <w:t>全年（调整）绩效目标</w:t>
            </w:r>
          </w:p>
        </w:tc>
        <w:tc>
          <w:tcPr>
            <w:tcW w:w="2460" w:type="dxa"/>
            <w:gridSpan w:val="6"/>
            <w:tcBorders>
              <w:top w:val="single" w:color="000000" w:sz="4" w:space="0"/>
              <w:left w:val="single" w:color="000000" w:sz="4" w:space="0"/>
              <w:bottom w:val="single" w:color="000000" w:sz="4" w:space="0"/>
              <w:right w:val="single" w:color="000000" w:sz="4" w:space="0"/>
            </w:tcBorders>
            <w:vAlign w:val="center"/>
          </w:tcPr>
          <w:p>
            <w:pPr>
              <w:jc w:val="center"/>
              <w:textAlignment w:val="center"/>
              <w:rPr>
                <w:rFonts w:hint="default" w:cs="宋体"/>
                <w:b/>
                <w:color w:val="000000"/>
                <w:sz w:val="22"/>
                <w:szCs w:val="22"/>
              </w:rPr>
            </w:pPr>
            <w:r>
              <w:rPr>
                <w:rFonts w:cs="宋体"/>
                <w:b/>
                <w:color w:val="000000"/>
                <w:sz w:val="22"/>
                <w:szCs w:val="22"/>
              </w:rPr>
              <w:t>全年目标实际完成情况</w:t>
            </w:r>
          </w:p>
        </w:tc>
      </w:tr>
      <w:tr>
        <w:tblPrEx>
          <w:tblCellMar>
            <w:top w:w="15" w:type="dxa"/>
            <w:left w:w="15" w:type="dxa"/>
            <w:bottom w:w="15" w:type="dxa"/>
            <w:right w:w="15" w:type="dxa"/>
          </w:tblCellMar>
        </w:tblPrEx>
        <w:trPr>
          <w:trHeight w:val="2040" w:hRule="atLeast"/>
        </w:trPr>
        <w:tc>
          <w:tcPr>
            <w:tcW w:w="2312" w:type="dxa"/>
            <w:gridSpan w:val="6"/>
            <w:tcBorders>
              <w:top w:val="single" w:color="000000" w:sz="4" w:space="0"/>
              <w:left w:val="single" w:color="000000" w:sz="4" w:space="0"/>
              <w:bottom w:val="single" w:color="000000" w:sz="4" w:space="0"/>
              <w:right w:val="single" w:color="000000" w:sz="4" w:space="0"/>
            </w:tcBorders>
          </w:tcPr>
          <w:p>
            <w:pPr>
              <w:textAlignment w:val="top"/>
              <w:rPr>
                <w:rFonts w:hint="default" w:cs="宋体"/>
                <w:color w:val="000000"/>
                <w:sz w:val="22"/>
                <w:szCs w:val="22"/>
              </w:rPr>
            </w:pPr>
            <w:r>
              <w:rPr>
                <w:rFonts w:cs="宋体"/>
                <w:color w:val="000000"/>
                <w:sz w:val="22"/>
                <w:szCs w:val="22"/>
              </w:rPr>
              <w:t>对当年新增发现的“未批先建”“未批先弃”等违法项目做到100%覆盖，发现一例处理一例，采取限期整改销号制度；当年审批的生产建设项目，100%的覆盖面进行施工现场监督检查，每个项目每年现场检查次数不少于2次；深入乡镇、社区、学校宣传，提高水土保持法律法规认知。</w:t>
            </w:r>
          </w:p>
        </w:tc>
        <w:tc>
          <w:tcPr>
            <w:tcW w:w="3758" w:type="dxa"/>
            <w:gridSpan w:val="8"/>
            <w:tcBorders>
              <w:top w:val="single" w:color="000000" w:sz="4" w:space="0"/>
              <w:left w:val="single" w:color="000000" w:sz="4" w:space="0"/>
              <w:bottom w:val="single" w:color="000000" w:sz="4" w:space="0"/>
              <w:right w:val="single" w:color="000000" w:sz="4" w:space="0"/>
            </w:tcBorders>
          </w:tcPr>
          <w:p>
            <w:pPr>
              <w:textAlignment w:val="top"/>
              <w:rPr>
                <w:rFonts w:hint="default" w:cs="宋体"/>
                <w:color w:val="000000"/>
                <w:sz w:val="22"/>
                <w:szCs w:val="22"/>
              </w:rPr>
            </w:pPr>
            <w:r>
              <w:rPr>
                <w:rFonts w:cs="宋体"/>
                <w:color w:val="000000"/>
                <w:sz w:val="22"/>
                <w:szCs w:val="22"/>
              </w:rPr>
              <w:t>对当年新增发现的“未批先建”“未批先弃”等违法项目做到100%覆盖，发现一例处理一例，采取限期整改销号制度；当年审批的生产建设项目，100%的覆盖面进行施工现场监督检查，每个项目每年现场检查次数不少于2次；深入乡镇、社区、学校宣传，提高水土保持法律法规认知。</w:t>
            </w:r>
          </w:p>
        </w:tc>
        <w:tc>
          <w:tcPr>
            <w:tcW w:w="2460" w:type="dxa"/>
            <w:gridSpan w:val="6"/>
            <w:tcBorders>
              <w:top w:val="single" w:color="000000" w:sz="4" w:space="0"/>
              <w:left w:val="single" w:color="000000" w:sz="4" w:space="0"/>
              <w:bottom w:val="single" w:color="000000" w:sz="4" w:space="0"/>
              <w:right w:val="single" w:color="000000" w:sz="4" w:space="0"/>
            </w:tcBorders>
          </w:tcPr>
          <w:p>
            <w:pPr>
              <w:textAlignment w:val="top"/>
              <w:rPr>
                <w:rFonts w:hint="default" w:cs="宋体"/>
                <w:color w:val="000000"/>
                <w:sz w:val="22"/>
                <w:szCs w:val="22"/>
              </w:rPr>
            </w:pPr>
            <w:r>
              <w:rPr>
                <w:rFonts w:cs="宋体"/>
                <w:color w:val="000000"/>
                <w:sz w:val="22"/>
                <w:szCs w:val="22"/>
              </w:rPr>
              <w:t>对当年新增发现的“未批先建”“未批先弃”等违法项目做到100%覆盖，发现一例处理一例，采取限期整改销号制度；当年审批的生产建设项目，100%的覆盖面进行施工现场监督检查，每个项目每年现场检查次数不少于2次；深入乡镇、社区、学校宣传，提高水土保持法律法规认知。</w:t>
            </w:r>
          </w:p>
        </w:tc>
      </w:tr>
      <w:tr>
        <w:tblPrEx>
          <w:tblCellMar>
            <w:top w:w="15" w:type="dxa"/>
            <w:left w:w="15" w:type="dxa"/>
            <w:bottom w:w="15" w:type="dxa"/>
            <w:right w:w="15" w:type="dxa"/>
          </w:tblCellMar>
        </w:tblPrEx>
        <w:trPr>
          <w:trHeight w:val="450" w:hRule="atLeast"/>
        </w:trPr>
        <w:tc>
          <w:tcPr>
            <w:tcW w:w="8530" w:type="dxa"/>
            <w:gridSpan w:val="20"/>
            <w:tcBorders>
              <w:top w:val="single" w:color="000000" w:sz="4" w:space="0"/>
              <w:left w:val="single" w:color="000000" w:sz="4" w:space="0"/>
              <w:bottom w:val="single" w:color="000000" w:sz="4" w:space="0"/>
              <w:right w:val="single" w:color="000000" w:sz="4" w:space="0"/>
            </w:tcBorders>
            <w:vAlign w:val="center"/>
          </w:tcPr>
          <w:p>
            <w:pPr>
              <w:jc w:val="center"/>
              <w:textAlignment w:val="center"/>
              <w:rPr>
                <w:rFonts w:hint="default" w:ascii="微软雅黑" w:hAnsi="微软雅黑" w:eastAsia="微软雅黑" w:cs="微软雅黑"/>
                <w:b/>
                <w:color w:val="808080"/>
                <w:sz w:val="28"/>
                <w:szCs w:val="28"/>
              </w:rPr>
            </w:pPr>
            <w:r>
              <w:rPr>
                <w:rFonts w:ascii="微软雅黑" w:hAnsi="微软雅黑" w:eastAsia="微软雅黑" w:cs="微软雅黑"/>
                <w:b/>
                <w:color w:val="808080"/>
                <w:sz w:val="28"/>
                <w:szCs w:val="28"/>
              </w:rPr>
              <w:t>绩效指标</w:t>
            </w:r>
          </w:p>
        </w:tc>
      </w:tr>
      <w:tr>
        <w:tblPrEx>
          <w:tblCellMar>
            <w:top w:w="15" w:type="dxa"/>
            <w:left w:w="15" w:type="dxa"/>
            <w:bottom w:w="15" w:type="dxa"/>
            <w:right w:w="15" w:type="dxa"/>
          </w:tblCellMar>
        </w:tblPrEx>
        <w:trPr>
          <w:trHeight w:val="540" w:hRule="atLeast"/>
        </w:trPr>
        <w:tc>
          <w:tcPr>
            <w:tcW w:w="1210" w:type="dxa"/>
            <w:gridSpan w:val="3"/>
            <w:tcBorders>
              <w:top w:val="single" w:color="000000" w:sz="4" w:space="0"/>
              <w:left w:val="single" w:color="000000" w:sz="4" w:space="0"/>
              <w:bottom w:val="single" w:color="000000" w:sz="4" w:space="0"/>
              <w:right w:val="single" w:color="000000" w:sz="4" w:space="0"/>
            </w:tcBorders>
            <w:vAlign w:val="center"/>
          </w:tcPr>
          <w:p>
            <w:pPr>
              <w:jc w:val="center"/>
              <w:textAlignment w:val="center"/>
              <w:rPr>
                <w:rFonts w:hint="default" w:cs="宋体"/>
                <w:b/>
                <w:color w:val="000000"/>
                <w:sz w:val="22"/>
                <w:szCs w:val="22"/>
              </w:rPr>
            </w:pPr>
            <w:r>
              <w:rPr>
                <w:rFonts w:cs="宋体"/>
                <w:b/>
                <w:color w:val="000000"/>
                <w:sz w:val="22"/>
                <w:szCs w:val="22"/>
              </w:rPr>
              <w:t>指标名称</w:t>
            </w:r>
          </w:p>
        </w:tc>
        <w:tc>
          <w:tcPr>
            <w:tcW w:w="600" w:type="dxa"/>
            <w:gridSpan w:val="2"/>
            <w:tcBorders>
              <w:top w:val="single" w:color="000000" w:sz="4" w:space="0"/>
              <w:left w:val="single" w:color="000000" w:sz="4" w:space="0"/>
              <w:bottom w:val="single" w:color="000000" w:sz="4" w:space="0"/>
              <w:right w:val="single" w:color="000000" w:sz="4" w:space="0"/>
            </w:tcBorders>
            <w:vAlign w:val="center"/>
          </w:tcPr>
          <w:p>
            <w:pPr>
              <w:jc w:val="center"/>
              <w:textAlignment w:val="center"/>
              <w:rPr>
                <w:rFonts w:hint="default" w:cs="宋体"/>
                <w:b/>
                <w:color w:val="000000"/>
                <w:sz w:val="22"/>
                <w:szCs w:val="22"/>
              </w:rPr>
            </w:pPr>
            <w:r>
              <w:rPr>
                <w:rFonts w:cs="宋体"/>
                <w:b/>
                <w:color w:val="000000"/>
                <w:sz w:val="22"/>
                <w:szCs w:val="22"/>
              </w:rPr>
              <w:t>计量单位</w:t>
            </w:r>
          </w:p>
        </w:tc>
        <w:tc>
          <w:tcPr>
            <w:tcW w:w="720" w:type="dxa"/>
            <w:gridSpan w:val="2"/>
            <w:tcBorders>
              <w:top w:val="single" w:color="000000" w:sz="4" w:space="0"/>
              <w:left w:val="single" w:color="000000" w:sz="4" w:space="0"/>
              <w:bottom w:val="single" w:color="000000" w:sz="4" w:space="0"/>
              <w:right w:val="single" w:color="000000" w:sz="4" w:space="0"/>
            </w:tcBorders>
            <w:vAlign w:val="center"/>
          </w:tcPr>
          <w:p>
            <w:pPr>
              <w:jc w:val="center"/>
              <w:textAlignment w:val="center"/>
              <w:rPr>
                <w:rFonts w:hint="default" w:cs="宋体"/>
                <w:b/>
                <w:color w:val="000000"/>
                <w:sz w:val="22"/>
                <w:szCs w:val="22"/>
              </w:rPr>
            </w:pPr>
            <w:r>
              <w:rPr>
                <w:rFonts w:cs="宋体"/>
                <w:b/>
                <w:color w:val="000000"/>
                <w:sz w:val="22"/>
                <w:szCs w:val="22"/>
              </w:rPr>
              <w:t>指标性质</w:t>
            </w:r>
          </w:p>
        </w:tc>
        <w:tc>
          <w:tcPr>
            <w:tcW w:w="495" w:type="dxa"/>
            <w:tcBorders>
              <w:top w:val="single" w:color="000000" w:sz="4" w:space="0"/>
              <w:left w:val="single" w:color="000000" w:sz="4" w:space="0"/>
              <w:bottom w:val="single" w:color="000000" w:sz="4" w:space="0"/>
              <w:right w:val="single" w:color="000000" w:sz="4" w:space="0"/>
            </w:tcBorders>
            <w:vAlign w:val="center"/>
          </w:tcPr>
          <w:p>
            <w:pPr>
              <w:jc w:val="center"/>
              <w:textAlignment w:val="center"/>
              <w:rPr>
                <w:rFonts w:hint="default" w:cs="宋体"/>
                <w:b/>
                <w:color w:val="000000"/>
                <w:sz w:val="22"/>
                <w:szCs w:val="22"/>
              </w:rPr>
            </w:pPr>
            <w:r>
              <w:rPr>
                <w:rFonts w:cs="宋体"/>
                <w:b/>
                <w:color w:val="000000"/>
                <w:sz w:val="22"/>
                <w:szCs w:val="22"/>
              </w:rPr>
              <w:t>指标值</w:t>
            </w:r>
          </w:p>
        </w:tc>
        <w:tc>
          <w:tcPr>
            <w:tcW w:w="870" w:type="dxa"/>
            <w:tcBorders>
              <w:top w:val="single" w:color="000000" w:sz="4" w:space="0"/>
              <w:left w:val="single" w:color="000000" w:sz="4" w:space="0"/>
              <w:bottom w:val="single" w:color="000000" w:sz="4" w:space="0"/>
              <w:right w:val="single" w:color="000000" w:sz="4" w:space="0"/>
            </w:tcBorders>
            <w:vAlign w:val="center"/>
          </w:tcPr>
          <w:p>
            <w:pPr>
              <w:jc w:val="center"/>
              <w:textAlignment w:val="center"/>
              <w:rPr>
                <w:rFonts w:hint="default" w:cs="宋体"/>
                <w:b/>
                <w:color w:val="000000"/>
                <w:sz w:val="22"/>
                <w:szCs w:val="22"/>
              </w:rPr>
            </w:pPr>
            <w:r>
              <w:rPr>
                <w:rFonts w:cs="宋体"/>
                <w:b/>
                <w:color w:val="000000"/>
                <w:sz w:val="22"/>
                <w:szCs w:val="22"/>
              </w:rPr>
              <w:t>全年完成值</w:t>
            </w:r>
          </w:p>
        </w:tc>
        <w:tc>
          <w:tcPr>
            <w:tcW w:w="900" w:type="dxa"/>
            <w:gridSpan w:val="2"/>
            <w:tcBorders>
              <w:top w:val="single" w:color="000000" w:sz="4" w:space="0"/>
              <w:left w:val="single" w:color="000000" w:sz="4" w:space="0"/>
              <w:bottom w:val="single" w:color="000000" w:sz="4" w:space="0"/>
              <w:right w:val="single" w:color="000000" w:sz="4" w:space="0"/>
            </w:tcBorders>
            <w:vAlign w:val="center"/>
          </w:tcPr>
          <w:p>
            <w:pPr>
              <w:jc w:val="center"/>
              <w:textAlignment w:val="center"/>
              <w:rPr>
                <w:rFonts w:hint="default" w:cs="宋体"/>
                <w:b/>
                <w:color w:val="000000"/>
                <w:sz w:val="22"/>
                <w:szCs w:val="22"/>
              </w:rPr>
            </w:pPr>
            <w:r>
              <w:rPr>
                <w:rFonts w:cs="宋体"/>
                <w:b/>
                <w:color w:val="000000"/>
                <w:sz w:val="22"/>
                <w:szCs w:val="22"/>
              </w:rPr>
              <w:t>偏离度（%）</w:t>
            </w:r>
          </w:p>
        </w:tc>
        <w:tc>
          <w:tcPr>
            <w:tcW w:w="840" w:type="dxa"/>
            <w:gridSpan w:val="2"/>
            <w:tcBorders>
              <w:top w:val="single" w:color="000000" w:sz="4" w:space="0"/>
              <w:left w:val="single" w:color="000000" w:sz="4" w:space="0"/>
              <w:bottom w:val="single" w:color="000000" w:sz="4" w:space="0"/>
              <w:right w:val="single" w:color="000000" w:sz="4" w:space="0"/>
            </w:tcBorders>
            <w:vAlign w:val="center"/>
          </w:tcPr>
          <w:p>
            <w:pPr>
              <w:jc w:val="center"/>
              <w:textAlignment w:val="center"/>
              <w:rPr>
                <w:rFonts w:hint="default" w:cs="宋体"/>
                <w:b/>
                <w:color w:val="000000"/>
                <w:sz w:val="22"/>
                <w:szCs w:val="22"/>
              </w:rPr>
            </w:pPr>
            <w:r>
              <w:rPr>
                <w:rFonts w:cs="宋体"/>
                <w:b/>
                <w:color w:val="000000"/>
                <w:sz w:val="22"/>
                <w:szCs w:val="22"/>
              </w:rPr>
              <w:t>得分系数（%）</w:t>
            </w:r>
          </w:p>
        </w:tc>
        <w:tc>
          <w:tcPr>
            <w:tcW w:w="720" w:type="dxa"/>
            <w:gridSpan w:val="2"/>
            <w:tcBorders>
              <w:top w:val="single" w:color="000000" w:sz="4" w:space="0"/>
              <w:left w:val="single" w:color="000000" w:sz="4" w:space="0"/>
              <w:bottom w:val="single" w:color="000000" w:sz="4" w:space="0"/>
              <w:right w:val="single" w:color="000000" w:sz="4" w:space="0"/>
            </w:tcBorders>
            <w:vAlign w:val="center"/>
          </w:tcPr>
          <w:p>
            <w:pPr>
              <w:jc w:val="center"/>
              <w:textAlignment w:val="center"/>
              <w:rPr>
                <w:rFonts w:hint="default" w:cs="宋体"/>
                <w:b/>
                <w:color w:val="000000"/>
                <w:sz w:val="22"/>
                <w:szCs w:val="22"/>
              </w:rPr>
            </w:pPr>
            <w:r>
              <w:rPr>
                <w:rFonts w:cs="宋体"/>
                <w:b/>
                <w:color w:val="000000"/>
                <w:sz w:val="22"/>
                <w:szCs w:val="22"/>
              </w:rPr>
              <w:t>指标权重</w:t>
            </w:r>
          </w:p>
        </w:tc>
        <w:tc>
          <w:tcPr>
            <w:tcW w:w="660" w:type="dxa"/>
            <w:gridSpan w:val="2"/>
            <w:tcBorders>
              <w:top w:val="single" w:color="000000" w:sz="4" w:space="0"/>
              <w:left w:val="single" w:color="000000" w:sz="4" w:space="0"/>
              <w:bottom w:val="single" w:color="000000" w:sz="4" w:space="0"/>
              <w:right w:val="single" w:color="000000" w:sz="4" w:space="0"/>
            </w:tcBorders>
            <w:vAlign w:val="center"/>
          </w:tcPr>
          <w:p>
            <w:pPr>
              <w:jc w:val="center"/>
              <w:textAlignment w:val="center"/>
              <w:rPr>
                <w:rFonts w:hint="default" w:cs="宋体"/>
                <w:b/>
                <w:color w:val="000000"/>
                <w:sz w:val="22"/>
                <w:szCs w:val="22"/>
              </w:rPr>
            </w:pPr>
            <w:r>
              <w:rPr>
                <w:rFonts w:cs="宋体"/>
                <w:b/>
                <w:color w:val="000000"/>
                <w:sz w:val="22"/>
                <w:szCs w:val="22"/>
              </w:rPr>
              <w:t>指标得分</w:t>
            </w:r>
          </w:p>
        </w:tc>
        <w:tc>
          <w:tcPr>
            <w:tcW w:w="960" w:type="dxa"/>
            <w:gridSpan w:val="2"/>
            <w:tcBorders>
              <w:top w:val="single" w:color="000000" w:sz="4" w:space="0"/>
              <w:left w:val="single" w:color="000000" w:sz="4" w:space="0"/>
              <w:bottom w:val="single" w:color="000000" w:sz="4" w:space="0"/>
              <w:right w:val="single" w:color="000000" w:sz="4" w:space="0"/>
            </w:tcBorders>
            <w:vAlign w:val="center"/>
          </w:tcPr>
          <w:p>
            <w:pPr>
              <w:jc w:val="center"/>
              <w:textAlignment w:val="center"/>
              <w:rPr>
                <w:rFonts w:hint="default" w:cs="宋体"/>
                <w:b/>
                <w:color w:val="000000"/>
                <w:sz w:val="22"/>
                <w:szCs w:val="22"/>
              </w:rPr>
            </w:pPr>
            <w:r>
              <w:rPr>
                <w:rFonts w:cs="宋体"/>
                <w:b/>
                <w:color w:val="000000"/>
                <w:sz w:val="22"/>
                <w:szCs w:val="22"/>
              </w:rPr>
              <w:t>是否</w:t>
            </w:r>
            <w:r>
              <w:rPr>
                <w:rFonts w:cs="宋体"/>
                <w:b/>
                <w:color w:val="000000"/>
                <w:sz w:val="22"/>
                <w:szCs w:val="22"/>
              </w:rPr>
              <w:br w:type="textWrapping"/>
            </w:r>
            <w:r>
              <w:rPr>
                <w:rFonts w:cs="宋体"/>
                <w:b/>
                <w:color w:val="000000"/>
                <w:sz w:val="22"/>
                <w:szCs w:val="22"/>
              </w:rPr>
              <w:t>核心指标</w:t>
            </w:r>
          </w:p>
        </w:tc>
        <w:tc>
          <w:tcPr>
            <w:tcW w:w="555" w:type="dxa"/>
            <w:tcBorders>
              <w:top w:val="single" w:color="000000" w:sz="4" w:space="0"/>
              <w:left w:val="single" w:color="000000" w:sz="4" w:space="0"/>
              <w:bottom w:val="single" w:color="000000" w:sz="4" w:space="0"/>
              <w:right w:val="single" w:color="000000" w:sz="4" w:space="0"/>
            </w:tcBorders>
            <w:vAlign w:val="center"/>
          </w:tcPr>
          <w:p>
            <w:pPr>
              <w:jc w:val="center"/>
              <w:textAlignment w:val="center"/>
              <w:rPr>
                <w:rFonts w:hint="default" w:cs="宋体"/>
                <w:b/>
                <w:color w:val="000000"/>
                <w:sz w:val="22"/>
                <w:szCs w:val="22"/>
              </w:rPr>
            </w:pPr>
            <w:r>
              <w:rPr>
                <w:rFonts w:cs="宋体"/>
                <w:b/>
                <w:color w:val="000000"/>
                <w:sz w:val="22"/>
                <w:szCs w:val="22"/>
              </w:rPr>
              <w:t>说明</w:t>
            </w:r>
          </w:p>
        </w:tc>
      </w:tr>
      <w:tr>
        <w:tblPrEx>
          <w:tblCellMar>
            <w:top w:w="15" w:type="dxa"/>
            <w:left w:w="15" w:type="dxa"/>
            <w:bottom w:w="15" w:type="dxa"/>
            <w:right w:w="15" w:type="dxa"/>
          </w:tblCellMar>
        </w:tblPrEx>
        <w:trPr>
          <w:trHeight w:val="555" w:hRule="atLeast"/>
        </w:trPr>
        <w:tc>
          <w:tcPr>
            <w:tcW w:w="1210" w:type="dxa"/>
            <w:gridSpan w:val="3"/>
            <w:tcBorders>
              <w:top w:val="single" w:color="000000" w:sz="4" w:space="0"/>
              <w:left w:val="single" w:color="000000" w:sz="4" w:space="0"/>
              <w:bottom w:val="single" w:color="000000" w:sz="4" w:space="0"/>
              <w:right w:val="single" w:color="000000" w:sz="4" w:space="0"/>
            </w:tcBorders>
            <w:vAlign w:val="center"/>
          </w:tcPr>
          <w:p>
            <w:pPr>
              <w:jc w:val="both"/>
              <w:textAlignment w:val="center"/>
              <w:rPr>
                <w:rFonts w:hint="default" w:cs="宋体"/>
                <w:color w:val="000000"/>
                <w:sz w:val="22"/>
                <w:szCs w:val="22"/>
              </w:rPr>
            </w:pPr>
            <w:r>
              <w:rPr>
                <w:rFonts w:cs="宋体"/>
                <w:color w:val="000000"/>
                <w:sz w:val="22"/>
                <w:szCs w:val="22"/>
              </w:rPr>
              <w:t>水土保持法律法规宣传完成率</w:t>
            </w:r>
          </w:p>
        </w:tc>
        <w:tc>
          <w:tcPr>
            <w:tcW w:w="60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w:t>
            </w:r>
          </w:p>
        </w:tc>
        <w:tc>
          <w:tcPr>
            <w:tcW w:w="72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w:t>
            </w:r>
          </w:p>
        </w:tc>
        <w:tc>
          <w:tcPr>
            <w:tcW w:w="495" w:type="dxa"/>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90</w:t>
            </w:r>
          </w:p>
        </w:tc>
        <w:tc>
          <w:tcPr>
            <w:tcW w:w="870" w:type="dxa"/>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90</w:t>
            </w:r>
          </w:p>
        </w:tc>
        <w:tc>
          <w:tcPr>
            <w:tcW w:w="90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0</w:t>
            </w:r>
          </w:p>
        </w:tc>
        <w:tc>
          <w:tcPr>
            <w:tcW w:w="84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100</w:t>
            </w:r>
          </w:p>
        </w:tc>
        <w:tc>
          <w:tcPr>
            <w:tcW w:w="72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10</w:t>
            </w:r>
          </w:p>
        </w:tc>
        <w:tc>
          <w:tcPr>
            <w:tcW w:w="66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10</w:t>
            </w:r>
          </w:p>
        </w:tc>
        <w:tc>
          <w:tcPr>
            <w:tcW w:w="960" w:type="dxa"/>
            <w:gridSpan w:val="2"/>
            <w:tcBorders>
              <w:top w:val="single" w:color="000000" w:sz="4" w:space="0"/>
              <w:left w:val="single" w:color="000000" w:sz="4" w:space="0"/>
              <w:bottom w:val="single" w:color="000000" w:sz="4" w:space="0"/>
              <w:right w:val="single" w:color="000000" w:sz="4" w:space="0"/>
            </w:tcBorders>
            <w:vAlign w:val="center"/>
          </w:tcPr>
          <w:p>
            <w:pPr>
              <w:rPr>
                <w:rFonts w:hint="default" w:cs="宋体"/>
                <w:color w:val="000000"/>
                <w:sz w:val="22"/>
                <w:szCs w:val="22"/>
              </w:rPr>
            </w:pPr>
          </w:p>
        </w:tc>
        <w:tc>
          <w:tcPr>
            <w:tcW w:w="555" w:type="dxa"/>
            <w:tcBorders>
              <w:top w:val="single" w:color="000000" w:sz="4" w:space="0"/>
              <w:left w:val="single" w:color="000000" w:sz="4" w:space="0"/>
              <w:bottom w:val="single" w:color="000000" w:sz="4" w:space="0"/>
              <w:right w:val="single" w:color="000000" w:sz="4" w:space="0"/>
            </w:tcBorders>
            <w:vAlign w:val="center"/>
          </w:tcPr>
          <w:p>
            <w:pPr>
              <w:rPr>
                <w:rFonts w:hint="default" w:cs="宋体"/>
                <w:color w:val="000000"/>
                <w:sz w:val="22"/>
                <w:szCs w:val="22"/>
              </w:rPr>
            </w:pPr>
          </w:p>
        </w:tc>
      </w:tr>
      <w:tr>
        <w:tblPrEx>
          <w:tblCellMar>
            <w:top w:w="15" w:type="dxa"/>
            <w:left w:w="15" w:type="dxa"/>
            <w:bottom w:w="15" w:type="dxa"/>
            <w:right w:w="15" w:type="dxa"/>
          </w:tblCellMar>
        </w:tblPrEx>
        <w:trPr>
          <w:trHeight w:val="480" w:hRule="atLeast"/>
        </w:trPr>
        <w:tc>
          <w:tcPr>
            <w:tcW w:w="1210" w:type="dxa"/>
            <w:gridSpan w:val="3"/>
            <w:tcBorders>
              <w:top w:val="single" w:color="000000" w:sz="4" w:space="0"/>
              <w:left w:val="single" w:color="000000" w:sz="4" w:space="0"/>
              <w:bottom w:val="single" w:color="000000" w:sz="4" w:space="0"/>
              <w:right w:val="single" w:color="000000" w:sz="4" w:space="0"/>
            </w:tcBorders>
            <w:vAlign w:val="center"/>
          </w:tcPr>
          <w:p>
            <w:pPr>
              <w:textAlignment w:val="center"/>
              <w:rPr>
                <w:rFonts w:hint="default" w:cs="宋体"/>
                <w:color w:val="000000"/>
                <w:sz w:val="22"/>
                <w:szCs w:val="22"/>
              </w:rPr>
            </w:pPr>
            <w:r>
              <w:rPr>
                <w:rFonts w:cs="宋体"/>
                <w:color w:val="000000"/>
                <w:sz w:val="22"/>
                <w:szCs w:val="22"/>
              </w:rPr>
              <w:t>预防监督检查次数</w:t>
            </w:r>
          </w:p>
        </w:tc>
        <w:tc>
          <w:tcPr>
            <w:tcW w:w="60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次</w:t>
            </w:r>
          </w:p>
        </w:tc>
        <w:tc>
          <w:tcPr>
            <w:tcW w:w="72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w:t>
            </w:r>
          </w:p>
        </w:tc>
        <w:tc>
          <w:tcPr>
            <w:tcW w:w="495" w:type="dxa"/>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65</w:t>
            </w:r>
          </w:p>
        </w:tc>
        <w:tc>
          <w:tcPr>
            <w:tcW w:w="870" w:type="dxa"/>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65</w:t>
            </w:r>
          </w:p>
        </w:tc>
        <w:tc>
          <w:tcPr>
            <w:tcW w:w="90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0</w:t>
            </w:r>
          </w:p>
        </w:tc>
        <w:tc>
          <w:tcPr>
            <w:tcW w:w="84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100</w:t>
            </w:r>
          </w:p>
        </w:tc>
        <w:tc>
          <w:tcPr>
            <w:tcW w:w="72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15</w:t>
            </w:r>
          </w:p>
        </w:tc>
        <w:tc>
          <w:tcPr>
            <w:tcW w:w="66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15</w:t>
            </w:r>
          </w:p>
        </w:tc>
        <w:tc>
          <w:tcPr>
            <w:tcW w:w="960" w:type="dxa"/>
            <w:gridSpan w:val="2"/>
            <w:tcBorders>
              <w:top w:val="single" w:color="000000" w:sz="4" w:space="0"/>
              <w:left w:val="single" w:color="000000" w:sz="4" w:space="0"/>
              <w:bottom w:val="single" w:color="000000" w:sz="4" w:space="0"/>
              <w:right w:val="single" w:color="000000" w:sz="4" w:space="0"/>
            </w:tcBorders>
            <w:vAlign w:val="center"/>
          </w:tcPr>
          <w:p>
            <w:pPr>
              <w:rPr>
                <w:rFonts w:hint="default" w:cs="宋体"/>
                <w:color w:val="000000"/>
                <w:sz w:val="22"/>
                <w:szCs w:val="22"/>
              </w:rPr>
            </w:pPr>
          </w:p>
        </w:tc>
        <w:tc>
          <w:tcPr>
            <w:tcW w:w="555" w:type="dxa"/>
            <w:tcBorders>
              <w:top w:val="single" w:color="000000" w:sz="4" w:space="0"/>
              <w:left w:val="single" w:color="000000" w:sz="4" w:space="0"/>
              <w:bottom w:val="single" w:color="000000" w:sz="4" w:space="0"/>
              <w:right w:val="single" w:color="000000" w:sz="4" w:space="0"/>
            </w:tcBorders>
            <w:vAlign w:val="center"/>
          </w:tcPr>
          <w:p>
            <w:pPr>
              <w:rPr>
                <w:rFonts w:hint="default" w:cs="宋体"/>
                <w:color w:val="000000"/>
                <w:sz w:val="22"/>
                <w:szCs w:val="22"/>
              </w:rPr>
            </w:pPr>
          </w:p>
        </w:tc>
      </w:tr>
      <w:tr>
        <w:tblPrEx>
          <w:tblCellMar>
            <w:top w:w="15" w:type="dxa"/>
            <w:left w:w="15" w:type="dxa"/>
            <w:bottom w:w="15" w:type="dxa"/>
            <w:right w:w="15" w:type="dxa"/>
          </w:tblCellMar>
        </w:tblPrEx>
        <w:trPr>
          <w:trHeight w:val="420" w:hRule="atLeast"/>
        </w:trPr>
        <w:tc>
          <w:tcPr>
            <w:tcW w:w="1210" w:type="dxa"/>
            <w:gridSpan w:val="3"/>
            <w:tcBorders>
              <w:top w:val="single" w:color="000000" w:sz="4" w:space="0"/>
              <w:left w:val="single" w:color="000000" w:sz="4" w:space="0"/>
              <w:bottom w:val="single" w:color="000000" w:sz="4" w:space="0"/>
              <w:right w:val="single" w:color="000000" w:sz="4" w:space="0"/>
            </w:tcBorders>
            <w:vAlign w:val="center"/>
          </w:tcPr>
          <w:p>
            <w:pPr>
              <w:textAlignment w:val="center"/>
              <w:rPr>
                <w:rFonts w:hint="default" w:cs="宋体"/>
                <w:color w:val="000000"/>
                <w:sz w:val="22"/>
                <w:szCs w:val="22"/>
              </w:rPr>
            </w:pPr>
            <w:r>
              <w:rPr>
                <w:rFonts w:cs="宋体"/>
                <w:color w:val="000000"/>
                <w:sz w:val="22"/>
                <w:szCs w:val="22"/>
              </w:rPr>
              <w:t>监督检查意见出具率</w:t>
            </w:r>
          </w:p>
        </w:tc>
        <w:tc>
          <w:tcPr>
            <w:tcW w:w="60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w:t>
            </w:r>
          </w:p>
        </w:tc>
        <w:tc>
          <w:tcPr>
            <w:tcW w:w="72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w:t>
            </w:r>
          </w:p>
        </w:tc>
        <w:tc>
          <w:tcPr>
            <w:tcW w:w="495" w:type="dxa"/>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90</w:t>
            </w:r>
          </w:p>
        </w:tc>
        <w:tc>
          <w:tcPr>
            <w:tcW w:w="870" w:type="dxa"/>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90</w:t>
            </w:r>
          </w:p>
        </w:tc>
        <w:tc>
          <w:tcPr>
            <w:tcW w:w="90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0</w:t>
            </w:r>
          </w:p>
        </w:tc>
        <w:tc>
          <w:tcPr>
            <w:tcW w:w="84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100</w:t>
            </w:r>
          </w:p>
        </w:tc>
        <w:tc>
          <w:tcPr>
            <w:tcW w:w="72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10</w:t>
            </w:r>
          </w:p>
        </w:tc>
        <w:tc>
          <w:tcPr>
            <w:tcW w:w="66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10</w:t>
            </w:r>
          </w:p>
        </w:tc>
        <w:tc>
          <w:tcPr>
            <w:tcW w:w="960" w:type="dxa"/>
            <w:gridSpan w:val="2"/>
            <w:tcBorders>
              <w:top w:val="single" w:color="000000" w:sz="4" w:space="0"/>
              <w:left w:val="single" w:color="000000" w:sz="4" w:space="0"/>
              <w:bottom w:val="single" w:color="000000" w:sz="4" w:space="0"/>
              <w:right w:val="single" w:color="000000" w:sz="4" w:space="0"/>
            </w:tcBorders>
            <w:vAlign w:val="center"/>
          </w:tcPr>
          <w:p>
            <w:pPr>
              <w:rPr>
                <w:rFonts w:hint="default" w:cs="宋体"/>
                <w:color w:val="000000"/>
                <w:sz w:val="22"/>
                <w:szCs w:val="22"/>
              </w:rPr>
            </w:pPr>
          </w:p>
        </w:tc>
        <w:tc>
          <w:tcPr>
            <w:tcW w:w="555" w:type="dxa"/>
            <w:tcBorders>
              <w:top w:val="single" w:color="000000" w:sz="4" w:space="0"/>
              <w:left w:val="single" w:color="000000" w:sz="4" w:space="0"/>
              <w:bottom w:val="single" w:color="000000" w:sz="4" w:space="0"/>
              <w:right w:val="single" w:color="000000" w:sz="4" w:space="0"/>
            </w:tcBorders>
            <w:vAlign w:val="center"/>
          </w:tcPr>
          <w:p>
            <w:pPr>
              <w:rPr>
                <w:rFonts w:hint="default" w:cs="宋体"/>
                <w:color w:val="000000"/>
                <w:sz w:val="22"/>
                <w:szCs w:val="22"/>
              </w:rPr>
            </w:pPr>
          </w:p>
        </w:tc>
      </w:tr>
      <w:tr>
        <w:tblPrEx>
          <w:tblCellMar>
            <w:top w:w="15" w:type="dxa"/>
            <w:left w:w="15" w:type="dxa"/>
            <w:bottom w:w="15" w:type="dxa"/>
            <w:right w:w="15" w:type="dxa"/>
          </w:tblCellMar>
        </w:tblPrEx>
        <w:trPr>
          <w:trHeight w:val="390" w:hRule="atLeast"/>
        </w:trPr>
        <w:tc>
          <w:tcPr>
            <w:tcW w:w="1210" w:type="dxa"/>
            <w:gridSpan w:val="3"/>
            <w:tcBorders>
              <w:top w:val="single" w:color="000000" w:sz="4" w:space="0"/>
              <w:left w:val="single" w:color="000000" w:sz="4" w:space="0"/>
              <w:bottom w:val="single" w:color="000000" w:sz="4" w:space="0"/>
              <w:right w:val="single" w:color="000000" w:sz="4" w:space="0"/>
            </w:tcBorders>
            <w:vAlign w:val="center"/>
          </w:tcPr>
          <w:p>
            <w:pPr>
              <w:textAlignment w:val="center"/>
              <w:rPr>
                <w:rFonts w:hint="default" w:cs="宋体"/>
                <w:color w:val="000000"/>
                <w:sz w:val="22"/>
                <w:szCs w:val="22"/>
              </w:rPr>
            </w:pPr>
            <w:r>
              <w:rPr>
                <w:rFonts w:cs="宋体"/>
                <w:color w:val="000000"/>
                <w:sz w:val="22"/>
                <w:szCs w:val="22"/>
              </w:rPr>
              <w:t>案件发现后响应时间</w:t>
            </w:r>
          </w:p>
        </w:tc>
        <w:tc>
          <w:tcPr>
            <w:tcW w:w="60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天</w:t>
            </w:r>
          </w:p>
        </w:tc>
        <w:tc>
          <w:tcPr>
            <w:tcW w:w="72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w:t>
            </w:r>
          </w:p>
        </w:tc>
        <w:tc>
          <w:tcPr>
            <w:tcW w:w="495" w:type="dxa"/>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3</w:t>
            </w:r>
          </w:p>
        </w:tc>
        <w:tc>
          <w:tcPr>
            <w:tcW w:w="870" w:type="dxa"/>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3</w:t>
            </w:r>
          </w:p>
        </w:tc>
        <w:tc>
          <w:tcPr>
            <w:tcW w:w="90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0</w:t>
            </w:r>
          </w:p>
        </w:tc>
        <w:tc>
          <w:tcPr>
            <w:tcW w:w="84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100</w:t>
            </w:r>
          </w:p>
        </w:tc>
        <w:tc>
          <w:tcPr>
            <w:tcW w:w="72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15</w:t>
            </w:r>
          </w:p>
        </w:tc>
        <w:tc>
          <w:tcPr>
            <w:tcW w:w="66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15</w:t>
            </w:r>
          </w:p>
        </w:tc>
        <w:tc>
          <w:tcPr>
            <w:tcW w:w="960" w:type="dxa"/>
            <w:gridSpan w:val="2"/>
            <w:tcBorders>
              <w:top w:val="single" w:color="000000" w:sz="4" w:space="0"/>
              <w:left w:val="single" w:color="000000" w:sz="4" w:space="0"/>
              <w:bottom w:val="single" w:color="000000" w:sz="4" w:space="0"/>
              <w:right w:val="single" w:color="000000" w:sz="4" w:space="0"/>
            </w:tcBorders>
            <w:vAlign w:val="center"/>
          </w:tcPr>
          <w:p>
            <w:pPr>
              <w:rPr>
                <w:rFonts w:hint="default" w:cs="宋体"/>
                <w:color w:val="000000"/>
                <w:sz w:val="22"/>
                <w:szCs w:val="22"/>
              </w:rPr>
            </w:pPr>
          </w:p>
        </w:tc>
        <w:tc>
          <w:tcPr>
            <w:tcW w:w="555" w:type="dxa"/>
            <w:tcBorders>
              <w:top w:val="single" w:color="000000" w:sz="4" w:space="0"/>
              <w:left w:val="single" w:color="000000" w:sz="4" w:space="0"/>
              <w:bottom w:val="single" w:color="000000" w:sz="4" w:space="0"/>
              <w:right w:val="single" w:color="000000" w:sz="4" w:space="0"/>
            </w:tcBorders>
            <w:vAlign w:val="center"/>
          </w:tcPr>
          <w:p>
            <w:pPr>
              <w:rPr>
                <w:rFonts w:hint="default" w:cs="宋体"/>
                <w:color w:val="000000"/>
                <w:sz w:val="22"/>
                <w:szCs w:val="22"/>
              </w:rPr>
            </w:pPr>
          </w:p>
        </w:tc>
      </w:tr>
      <w:tr>
        <w:tblPrEx>
          <w:tblCellMar>
            <w:top w:w="15" w:type="dxa"/>
            <w:left w:w="15" w:type="dxa"/>
            <w:bottom w:w="15" w:type="dxa"/>
            <w:right w:w="15" w:type="dxa"/>
          </w:tblCellMar>
        </w:tblPrEx>
        <w:trPr>
          <w:trHeight w:val="360" w:hRule="atLeast"/>
        </w:trPr>
        <w:tc>
          <w:tcPr>
            <w:tcW w:w="1210" w:type="dxa"/>
            <w:gridSpan w:val="3"/>
            <w:tcBorders>
              <w:top w:val="single" w:color="000000" w:sz="4" w:space="0"/>
              <w:left w:val="single" w:color="000000" w:sz="4" w:space="0"/>
              <w:bottom w:val="single" w:color="000000" w:sz="4" w:space="0"/>
              <w:right w:val="single" w:color="000000" w:sz="4" w:space="0"/>
            </w:tcBorders>
            <w:vAlign w:val="center"/>
          </w:tcPr>
          <w:p>
            <w:pPr>
              <w:textAlignment w:val="center"/>
              <w:rPr>
                <w:rFonts w:hint="default" w:cs="宋体"/>
                <w:color w:val="000000"/>
                <w:sz w:val="22"/>
                <w:szCs w:val="22"/>
              </w:rPr>
            </w:pPr>
            <w:r>
              <w:rPr>
                <w:rFonts w:cs="宋体"/>
                <w:color w:val="000000"/>
                <w:sz w:val="22"/>
                <w:szCs w:val="22"/>
              </w:rPr>
              <w:t>问题整改率</w:t>
            </w:r>
          </w:p>
        </w:tc>
        <w:tc>
          <w:tcPr>
            <w:tcW w:w="60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w:t>
            </w:r>
          </w:p>
        </w:tc>
        <w:tc>
          <w:tcPr>
            <w:tcW w:w="72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w:t>
            </w:r>
          </w:p>
        </w:tc>
        <w:tc>
          <w:tcPr>
            <w:tcW w:w="495" w:type="dxa"/>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90</w:t>
            </w:r>
          </w:p>
        </w:tc>
        <w:tc>
          <w:tcPr>
            <w:tcW w:w="870" w:type="dxa"/>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90</w:t>
            </w:r>
          </w:p>
        </w:tc>
        <w:tc>
          <w:tcPr>
            <w:tcW w:w="90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0</w:t>
            </w:r>
          </w:p>
        </w:tc>
        <w:tc>
          <w:tcPr>
            <w:tcW w:w="84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100</w:t>
            </w:r>
          </w:p>
        </w:tc>
        <w:tc>
          <w:tcPr>
            <w:tcW w:w="72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10</w:t>
            </w:r>
          </w:p>
        </w:tc>
        <w:tc>
          <w:tcPr>
            <w:tcW w:w="66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10</w:t>
            </w:r>
          </w:p>
        </w:tc>
        <w:tc>
          <w:tcPr>
            <w:tcW w:w="960" w:type="dxa"/>
            <w:gridSpan w:val="2"/>
            <w:tcBorders>
              <w:top w:val="single" w:color="000000" w:sz="4" w:space="0"/>
              <w:left w:val="single" w:color="000000" w:sz="4" w:space="0"/>
              <w:bottom w:val="single" w:color="000000" w:sz="4" w:space="0"/>
              <w:right w:val="single" w:color="000000" w:sz="4" w:space="0"/>
            </w:tcBorders>
            <w:vAlign w:val="center"/>
          </w:tcPr>
          <w:p>
            <w:pPr>
              <w:rPr>
                <w:rFonts w:hint="default" w:cs="宋体"/>
                <w:color w:val="000000"/>
                <w:sz w:val="22"/>
                <w:szCs w:val="22"/>
              </w:rPr>
            </w:pPr>
          </w:p>
        </w:tc>
        <w:tc>
          <w:tcPr>
            <w:tcW w:w="555" w:type="dxa"/>
            <w:tcBorders>
              <w:top w:val="single" w:color="000000" w:sz="4" w:space="0"/>
              <w:left w:val="single" w:color="000000" w:sz="4" w:space="0"/>
              <w:bottom w:val="single" w:color="000000" w:sz="4" w:space="0"/>
              <w:right w:val="single" w:color="000000" w:sz="4" w:space="0"/>
            </w:tcBorders>
            <w:vAlign w:val="center"/>
          </w:tcPr>
          <w:p>
            <w:pPr>
              <w:rPr>
                <w:rFonts w:hint="default" w:cs="宋体"/>
                <w:color w:val="000000"/>
                <w:sz w:val="22"/>
                <w:szCs w:val="22"/>
              </w:rPr>
            </w:pPr>
          </w:p>
        </w:tc>
      </w:tr>
      <w:tr>
        <w:tblPrEx>
          <w:tblCellMar>
            <w:top w:w="15" w:type="dxa"/>
            <w:left w:w="15" w:type="dxa"/>
            <w:bottom w:w="15" w:type="dxa"/>
            <w:right w:w="15" w:type="dxa"/>
          </w:tblCellMar>
        </w:tblPrEx>
        <w:trPr>
          <w:trHeight w:val="540" w:hRule="atLeast"/>
        </w:trPr>
        <w:tc>
          <w:tcPr>
            <w:tcW w:w="1210" w:type="dxa"/>
            <w:gridSpan w:val="3"/>
            <w:tcBorders>
              <w:top w:val="single" w:color="000000" w:sz="4" w:space="0"/>
              <w:left w:val="single" w:color="000000" w:sz="4" w:space="0"/>
              <w:bottom w:val="single" w:color="000000" w:sz="4" w:space="0"/>
              <w:right w:val="single" w:color="000000" w:sz="4" w:space="0"/>
            </w:tcBorders>
            <w:vAlign w:val="center"/>
          </w:tcPr>
          <w:p>
            <w:pPr>
              <w:textAlignment w:val="center"/>
              <w:rPr>
                <w:rFonts w:hint="default" w:cs="宋体"/>
                <w:color w:val="000000"/>
                <w:sz w:val="22"/>
                <w:szCs w:val="22"/>
              </w:rPr>
            </w:pPr>
            <w:r>
              <w:rPr>
                <w:rFonts w:cs="宋体"/>
                <w:color w:val="000000"/>
                <w:sz w:val="22"/>
                <w:szCs w:val="22"/>
              </w:rPr>
              <w:t>疑似违规生产建设项目</w:t>
            </w:r>
            <w:r>
              <w:rPr>
                <w:rFonts w:cs="宋体"/>
                <w:color w:val="000000"/>
                <w:sz w:val="22"/>
                <w:szCs w:val="22"/>
              </w:rPr>
              <w:br w:type="textWrapping"/>
            </w:r>
            <w:r>
              <w:rPr>
                <w:rFonts w:cs="宋体"/>
                <w:color w:val="000000"/>
                <w:sz w:val="22"/>
                <w:szCs w:val="22"/>
              </w:rPr>
              <w:t>图斑复核率</w:t>
            </w:r>
          </w:p>
        </w:tc>
        <w:tc>
          <w:tcPr>
            <w:tcW w:w="60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w:t>
            </w:r>
          </w:p>
        </w:tc>
        <w:tc>
          <w:tcPr>
            <w:tcW w:w="72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w:t>
            </w:r>
          </w:p>
        </w:tc>
        <w:tc>
          <w:tcPr>
            <w:tcW w:w="495" w:type="dxa"/>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90</w:t>
            </w:r>
          </w:p>
        </w:tc>
        <w:tc>
          <w:tcPr>
            <w:tcW w:w="870" w:type="dxa"/>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90</w:t>
            </w:r>
          </w:p>
        </w:tc>
        <w:tc>
          <w:tcPr>
            <w:tcW w:w="90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0</w:t>
            </w:r>
          </w:p>
        </w:tc>
        <w:tc>
          <w:tcPr>
            <w:tcW w:w="84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100</w:t>
            </w:r>
          </w:p>
        </w:tc>
        <w:tc>
          <w:tcPr>
            <w:tcW w:w="72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10</w:t>
            </w:r>
          </w:p>
        </w:tc>
        <w:tc>
          <w:tcPr>
            <w:tcW w:w="66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10</w:t>
            </w:r>
          </w:p>
        </w:tc>
        <w:tc>
          <w:tcPr>
            <w:tcW w:w="960" w:type="dxa"/>
            <w:gridSpan w:val="2"/>
            <w:tcBorders>
              <w:top w:val="single" w:color="000000" w:sz="4" w:space="0"/>
              <w:left w:val="single" w:color="000000" w:sz="4" w:space="0"/>
              <w:bottom w:val="single" w:color="000000" w:sz="4" w:space="0"/>
              <w:right w:val="single" w:color="000000" w:sz="4" w:space="0"/>
            </w:tcBorders>
            <w:vAlign w:val="center"/>
          </w:tcPr>
          <w:p>
            <w:pPr>
              <w:rPr>
                <w:rFonts w:hint="default" w:cs="宋体"/>
                <w:color w:val="000000"/>
                <w:sz w:val="22"/>
                <w:szCs w:val="22"/>
              </w:rPr>
            </w:pPr>
          </w:p>
        </w:tc>
        <w:tc>
          <w:tcPr>
            <w:tcW w:w="555" w:type="dxa"/>
            <w:tcBorders>
              <w:top w:val="single" w:color="000000" w:sz="4" w:space="0"/>
              <w:left w:val="single" w:color="000000" w:sz="4" w:space="0"/>
              <w:bottom w:val="single" w:color="000000" w:sz="4" w:space="0"/>
              <w:right w:val="single" w:color="000000" w:sz="4" w:space="0"/>
            </w:tcBorders>
            <w:vAlign w:val="center"/>
          </w:tcPr>
          <w:p>
            <w:pPr>
              <w:rPr>
                <w:rFonts w:hint="default" w:cs="宋体"/>
                <w:color w:val="000000"/>
                <w:sz w:val="22"/>
                <w:szCs w:val="22"/>
              </w:rPr>
            </w:pPr>
          </w:p>
        </w:tc>
      </w:tr>
      <w:tr>
        <w:tblPrEx>
          <w:tblCellMar>
            <w:top w:w="15" w:type="dxa"/>
            <w:left w:w="15" w:type="dxa"/>
            <w:bottom w:w="15" w:type="dxa"/>
            <w:right w:w="15" w:type="dxa"/>
          </w:tblCellMar>
        </w:tblPrEx>
        <w:trPr>
          <w:trHeight w:val="375" w:hRule="atLeast"/>
        </w:trPr>
        <w:tc>
          <w:tcPr>
            <w:tcW w:w="1210" w:type="dxa"/>
            <w:gridSpan w:val="3"/>
            <w:tcBorders>
              <w:top w:val="single" w:color="000000" w:sz="4" w:space="0"/>
              <w:left w:val="single" w:color="000000" w:sz="4" w:space="0"/>
              <w:bottom w:val="single" w:color="000000" w:sz="4" w:space="0"/>
              <w:right w:val="single" w:color="000000" w:sz="4" w:space="0"/>
            </w:tcBorders>
            <w:vAlign w:val="center"/>
          </w:tcPr>
          <w:p>
            <w:pPr>
              <w:textAlignment w:val="center"/>
              <w:rPr>
                <w:rFonts w:hint="default" w:cs="宋体"/>
                <w:color w:val="000000"/>
                <w:sz w:val="22"/>
                <w:szCs w:val="22"/>
              </w:rPr>
            </w:pPr>
            <w:r>
              <w:rPr>
                <w:rFonts w:cs="宋体"/>
                <w:color w:val="000000"/>
                <w:sz w:val="22"/>
                <w:szCs w:val="22"/>
              </w:rPr>
              <w:t>服务对象满意度</w:t>
            </w:r>
          </w:p>
        </w:tc>
        <w:tc>
          <w:tcPr>
            <w:tcW w:w="60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w:t>
            </w:r>
          </w:p>
        </w:tc>
        <w:tc>
          <w:tcPr>
            <w:tcW w:w="72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w:t>
            </w:r>
          </w:p>
        </w:tc>
        <w:tc>
          <w:tcPr>
            <w:tcW w:w="495" w:type="dxa"/>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90</w:t>
            </w:r>
          </w:p>
        </w:tc>
        <w:tc>
          <w:tcPr>
            <w:tcW w:w="870" w:type="dxa"/>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90</w:t>
            </w:r>
          </w:p>
        </w:tc>
        <w:tc>
          <w:tcPr>
            <w:tcW w:w="90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0</w:t>
            </w:r>
          </w:p>
        </w:tc>
        <w:tc>
          <w:tcPr>
            <w:tcW w:w="84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100</w:t>
            </w:r>
          </w:p>
        </w:tc>
        <w:tc>
          <w:tcPr>
            <w:tcW w:w="72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10</w:t>
            </w:r>
          </w:p>
        </w:tc>
        <w:tc>
          <w:tcPr>
            <w:tcW w:w="66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10</w:t>
            </w:r>
          </w:p>
        </w:tc>
        <w:tc>
          <w:tcPr>
            <w:tcW w:w="960" w:type="dxa"/>
            <w:gridSpan w:val="2"/>
            <w:tcBorders>
              <w:top w:val="single" w:color="000000" w:sz="4" w:space="0"/>
              <w:left w:val="single" w:color="000000" w:sz="4" w:space="0"/>
              <w:bottom w:val="single" w:color="000000" w:sz="4" w:space="0"/>
              <w:right w:val="single" w:color="000000" w:sz="4" w:space="0"/>
            </w:tcBorders>
            <w:vAlign w:val="center"/>
          </w:tcPr>
          <w:p>
            <w:pPr>
              <w:rPr>
                <w:rFonts w:hint="default" w:cs="宋体"/>
                <w:color w:val="000000"/>
                <w:sz w:val="22"/>
                <w:szCs w:val="22"/>
              </w:rPr>
            </w:pPr>
          </w:p>
        </w:tc>
        <w:tc>
          <w:tcPr>
            <w:tcW w:w="555" w:type="dxa"/>
            <w:tcBorders>
              <w:top w:val="single" w:color="000000" w:sz="4" w:space="0"/>
              <w:left w:val="single" w:color="000000" w:sz="4" w:space="0"/>
              <w:bottom w:val="single" w:color="000000" w:sz="4" w:space="0"/>
              <w:right w:val="single" w:color="000000" w:sz="4" w:space="0"/>
            </w:tcBorders>
            <w:vAlign w:val="center"/>
          </w:tcPr>
          <w:p>
            <w:pPr>
              <w:rPr>
                <w:rFonts w:hint="default" w:cs="宋体"/>
                <w:color w:val="000000"/>
                <w:sz w:val="22"/>
                <w:szCs w:val="22"/>
              </w:rPr>
            </w:pPr>
          </w:p>
        </w:tc>
      </w:tr>
      <w:tr>
        <w:tblPrEx>
          <w:tblCellMar>
            <w:top w:w="15" w:type="dxa"/>
            <w:left w:w="15" w:type="dxa"/>
            <w:bottom w:w="15" w:type="dxa"/>
            <w:right w:w="15" w:type="dxa"/>
          </w:tblCellMar>
        </w:tblPrEx>
        <w:trPr>
          <w:trHeight w:val="540" w:hRule="atLeast"/>
        </w:trPr>
        <w:tc>
          <w:tcPr>
            <w:tcW w:w="1210" w:type="dxa"/>
            <w:gridSpan w:val="3"/>
            <w:tcBorders>
              <w:top w:val="single" w:color="000000" w:sz="4" w:space="0"/>
              <w:left w:val="single" w:color="000000" w:sz="4" w:space="0"/>
              <w:bottom w:val="single" w:color="000000" w:sz="4" w:space="0"/>
              <w:right w:val="single" w:color="000000" w:sz="4" w:space="0"/>
            </w:tcBorders>
            <w:vAlign w:val="center"/>
          </w:tcPr>
          <w:p>
            <w:pPr>
              <w:textAlignment w:val="center"/>
              <w:rPr>
                <w:rFonts w:hint="default" w:cs="宋体"/>
                <w:color w:val="000000"/>
                <w:sz w:val="22"/>
                <w:szCs w:val="22"/>
              </w:rPr>
            </w:pPr>
            <w:r>
              <w:rPr>
                <w:rFonts w:cs="宋体"/>
                <w:color w:val="000000"/>
                <w:sz w:val="22"/>
                <w:szCs w:val="22"/>
              </w:rPr>
              <w:t>预防监督检查运行工作经费</w:t>
            </w:r>
          </w:p>
        </w:tc>
        <w:tc>
          <w:tcPr>
            <w:tcW w:w="600" w:type="dxa"/>
            <w:gridSpan w:val="2"/>
            <w:tcBorders>
              <w:top w:val="single" w:color="000000" w:sz="4" w:space="0"/>
              <w:left w:val="single" w:color="000000" w:sz="4" w:space="0"/>
              <w:bottom w:val="single" w:color="000000" w:sz="4" w:space="0"/>
              <w:right w:val="single" w:color="000000" w:sz="4" w:space="0"/>
            </w:tcBorders>
            <w:vAlign w:val="center"/>
          </w:tcPr>
          <w:p>
            <w:pPr>
              <w:jc w:val="center"/>
              <w:textAlignment w:val="center"/>
              <w:rPr>
                <w:rFonts w:hint="default" w:cs="宋体"/>
                <w:color w:val="000000"/>
                <w:sz w:val="22"/>
                <w:szCs w:val="22"/>
              </w:rPr>
            </w:pPr>
            <w:r>
              <w:rPr>
                <w:rFonts w:cs="宋体"/>
                <w:color w:val="000000"/>
                <w:sz w:val="22"/>
                <w:szCs w:val="22"/>
              </w:rPr>
              <w:t>万元/年</w:t>
            </w:r>
          </w:p>
        </w:tc>
        <w:tc>
          <w:tcPr>
            <w:tcW w:w="72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w:t>
            </w:r>
          </w:p>
        </w:tc>
        <w:tc>
          <w:tcPr>
            <w:tcW w:w="495" w:type="dxa"/>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5</w:t>
            </w:r>
          </w:p>
        </w:tc>
        <w:tc>
          <w:tcPr>
            <w:tcW w:w="870" w:type="dxa"/>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4.94</w:t>
            </w:r>
          </w:p>
        </w:tc>
        <w:tc>
          <w:tcPr>
            <w:tcW w:w="90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1.2</w:t>
            </w:r>
          </w:p>
        </w:tc>
        <w:tc>
          <w:tcPr>
            <w:tcW w:w="84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100</w:t>
            </w:r>
          </w:p>
        </w:tc>
        <w:tc>
          <w:tcPr>
            <w:tcW w:w="72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10</w:t>
            </w:r>
          </w:p>
        </w:tc>
        <w:tc>
          <w:tcPr>
            <w:tcW w:w="660" w:type="dxa"/>
            <w:gridSpan w:val="2"/>
            <w:tcBorders>
              <w:top w:val="single" w:color="000000" w:sz="4" w:space="0"/>
              <w:left w:val="single" w:color="000000" w:sz="4" w:space="0"/>
              <w:bottom w:val="single" w:color="000000" w:sz="4" w:space="0"/>
              <w:right w:val="single" w:color="000000" w:sz="4" w:space="0"/>
            </w:tcBorders>
            <w:vAlign w:val="center"/>
          </w:tcPr>
          <w:p>
            <w:pPr>
              <w:ind w:firstLine="220" w:firstLineChars="100"/>
              <w:jc w:val="center"/>
              <w:textAlignment w:val="center"/>
              <w:rPr>
                <w:rFonts w:hint="default" w:cs="宋体"/>
                <w:color w:val="000000"/>
                <w:sz w:val="22"/>
                <w:szCs w:val="22"/>
              </w:rPr>
            </w:pPr>
            <w:r>
              <w:rPr>
                <w:rFonts w:cs="宋体"/>
                <w:color w:val="000000"/>
                <w:sz w:val="22"/>
                <w:szCs w:val="22"/>
              </w:rPr>
              <w:t>10</w:t>
            </w:r>
          </w:p>
        </w:tc>
        <w:tc>
          <w:tcPr>
            <w:tcW w:w="960" w:type="dxa"/>
            <w:gridSpan w:val="2"/>
            <w:tcBorders>
              <w:top w:val="single" w:color="000000" w:sz="4" w:space="0"/>
              <w:left w:val="single" w:color="000000" w:sz="4" w:space="0"/>
              <w:bottom w:val="single" w:color="000000" w:sz="4" w:space="0"/>
              <w:right w:val="single" w:color="000000" w:sz="4" w:space="0"/>
            </w:tcBorders>
            <w:vAlign w:val="center"/>
          </w:tcPr>
          <w:p>
            <w:pPr>
              <w:rPr>
                <w:rFonts w:hint="default" w:cs="宋体"/>
                <w:color w:val="000000"/>
                <w:sz w:val="22"/>
                <w:szCs w:val="22"/>
              </w:rPr>
            </w:pPr>
          </w:p>
        </w:tc>
        <w:tc>
          <w:tcPr>
            <w:tcW w:w="555" w:type="dxa"/>
            <w:tcBorders>
              <w:top w:val="single" w:color="000000" w:sz="4" w:space="0"/>
              <w:left w:val="single" w:color="000000" w:sz="4" w:space="0"/>
              <w:bottom w:val="single" w:color="000000" w:sz="4" w:space="0"/>
              <w:right w:val="single" w:color="000000" w:sz="4" w:space="0"/>
            </w:tcBorders>
            <w:vAlign w:val="center"/>
          </w:tcPr>
          <w:p>
            <w:pPr>
              <w:rPr>
                <w:rFonts w:hint="default" w:cs="宋体"/>
                <w:color w:val="000000"/>
                <w:sz w:val="22"/>
                <w:szCs w:val="22"/>
              </w:rPr>
            </w:pPr>
          </w:p>
        </w:tc>
      </w:tr>
    </w:tbl>
    <w:p>
      <w:pPr>
        <w:pStyle w:val="11"/>
        <w:autoSpaceDE w:val="0"/>
        <w:spacing w:line="560" w:lineRule="exact"/>
        <w:ind w:firstLine="0" w:firstLineChars="0"/>
        <w:jc w:val="both"/>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　　（二）单位绩效评价情况</w:t>
      </w:r>
    </w:p>
    <w:p>
      <w:pPr>
        <w:pStyle w:val="13"/>
        <w:autoSpaceDE w:val="0"/>
        <w:spacing w:line="560" w:lineRule="exact"/>
        <w:ind w:firstLine="640"/>
        <w:jc w:val="both"/>
        <w:rPr>
          <w:rFonts w:ascii="方正仿宋_GBK" w:hAnsi="方正仿宋_GBK" w:eastAsia="方正仿宋_GBK" w:cs="方正仿宋_GBK"/>
          <w:sz w:val="32"/>
          <w:szCs w:val="32"/>
          <w:shd w:val="clear" w:color="auto" w:fill="FFFFFF"/>
        </w:rPr>
      </w:pPr>
      <w:r>
        <w:rPr>
          <w:rFonts w:hint="eastAsia" w:ascii="方正仿宋_GBK" w:hAnsi="方正仿宋_GBK" w:eastAsia="方正仿宋_GBK" w:cs="方正仿宋_GBK"/>
          <w:sz w:val="32"/>
          <w:szCs w:val="32"/>
          <w:shd w:val="clear" w:color="auto" w:fill="FFFFFF"/>
        </w:rPr>
        <w:t xml:space="preserve"> 我单位未组织开展绩效评价。</w:t>
      </w:r>
    </w:p>
    <w:p>
      <w:pPr>
        <w:pStyle w:val="11"/>
        <w:autoSpaceDE w:val="0"/>
        <w:spacing w:line="560" w:lineRule="exact"/>
        <w:ind w:firstLine="643"/>
        <w:jc w:val="both"/>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（三）财政绩效评价情况</w:t>
      </w:r>
    </w:p>
    <w:p>
      <w:pPr>
        <w:pStyle w:val="11"/>
        <w:autoSpaceDE w:val="0"/>
        <w:spacing w:line="560" w:lineRule="exact"/>
        <w:ind w:firstLine="640"/>
        <w:jc w:val="both"/>
        <w:rPr>
          <w:rFonts w:ascii="方正仿宋_GBK" w:hAnsi="方正仿宋_GBK" w:eastAsia="方正仿宋_GBK" w:cs="方正仿宋_GBK"/>
          <w:sz w:val="32"/>
          <w:szCs w:val="32"/>
          <w:shd w:val="clear" w:color="auto" w:fill="FFFFFF"/>
        </w:rPr>
      </w:pPr>
      <w:r>
        <w:rPr>
          <w:rFonts w:hint="eastAsia" w:ascii="方正仿宋_GBK" w:hAnsi="方正仿宋_GBK" w:eastAsia="方正仿宋_GBK" w:cs="方正仿宋_GBK"/>
          <w:sz w:val="32"/>
          <w:szCs w:val="32"/>
          <w:shd w:val="clear" w:color="auto" w:fill="FFFFFF"/>
        </w:rPr>
        <w:t xml:space="preserve"> 县财政局未委托第三方对我单位开展绩效评价。</w:t>
      </w:r>
    </w:p>
    <w:p>
      <w:pPr>
        <w:pStyle w:val="11"/>
        <w:autoSpaceDE w:val="0"/>
        <w:spacing w:line="560" w:lineRule="exact"/>
        <w:ind w:firstLine="643"/>
        <w:jc w:val="both"/>
        <w:rPr>
          <w:rFonts w:ascii="方正仿宋_GBK" w:hAnsi="方正仿宋_GBK" w:eastAsia="方正仿宋_GBK" w:cs="方正仿宋_GBK"/>
          <w:sz w:val="32"/>
          <w:szCs w:val="32"/>
        </w:rPr>
      </w:pPr>
      <w:r>
        <w:rPr>
          <w:rFonts w:hint="eastAsia" w:ascii="黑体" w:hAnsi="黑体" w:eastAsia="黑体" w:cs="黑体"/>
          <w:b/>
          <w:bCs/>
          <w:sz w:val="32"/>
          <w:szCs w:val="32"/>
          <w:shd w:val="clear" w:color="auto" w:fill="FFFFFF"/>
        </w:rPr>
        <w:t>六、专业名词解释</w:t>
      </w:r>
    </w:p>
    <w:p>
      <w:pPr>
        <w:pStyle w:val="6"/>
        <w:snapToGrid w:val="0"/>
        <w:spacing w:before="0" w:beforeAutospacing="0" w:after="0" w:afterAutospacing="0" w:line="560" w:lineRule="exact"/>
        <w:ind w:firstLine="643" w:firstLineChars="200"/>
        <w:jc w:val="both"/>
        <w:rPr>
          <w:rFonts w:hint="default" w:ascii="方正仿宋_GBK" w:hAnsi="方正仿宋_GBK" w:eastAsia="方正仿宋_GBK" w:cs="方正仿宋_GBK"/>
          <w:sz w:val="32"/>
          <w:szCs w:val="32"/>
          <w:shd w:val="clear" w:color="auto" w:fill="FFFFFF"/>
        </w:rPr>
      </w:pPr>
      <w:r>
        <w:rPr>
          <w:rFonts w:ascii="楷体" w:hAnsi="楷体" w:eastAsia="楷体" w:cs="楷体"/>
          <w:b/>
          <w:bCs/>
          <w:sz w:val="32"/>
          <w:szCs w:val="32"/>
          <w:shd w:val="clear" w:color="auto" w:fill="FFFFFF"/>
        </w:rPr>
        <w:t>（一）财政拨款收入：</w:t>
      </w:r>
      <w:r>
        <w:rPr>
          <w:rFonts w:ascii="方正仿宋_GBK" w:hAnsi="方正仿宋_GBK" w:eastAsia="方正仿宋_GBK" w:cs="方正仿宋_GBK"/>
          <w:sz w:val="32"/>
          <w:szCs w:val="32"/>
          <w:shd w:val="clear" w:color="auto" w:fill="FFFFFF"/>
        </w:rPr>
        <w:t>指本年度从本级财政部门取得的财政拨款，包括一般公共预算财政拨款和政府性基金预算财政拨款。</w:t>
      </w:r>
    </w:p>
    <w:p>
      <w:pPr>
        <w:pStyle w:val="6"/>
        <w:snapToGrid w:val="0"/>
        <w:spacing w:before="0" w:beforeAutospacing="0" w:after="0" w:afterAutospacing="0" w:line="560" w:lineRule="exact"/>
        <w:ind w:firstLine="643" w:firstLineChars="200"/>
        <w:jc w:val="both"/>
        <w:rPr>
          <w:rFonts w:hint="default" w:ascii="方正仿宋_GBK" w:hAnsi="方正仿宋_GBK" w:eastAsia="方正仿宋_GBK" w:cs="方正仿宋_GBK"/>
          <w:sz w:val="32"/>
          <w:szCs w:val="32"/>
        </w:rPr>
      </w:pPr>
      <w:r>
        <w:rPr>
          <w:rStyle w:val="10"/>
          <w:rFonts w:ascii="楷体" w:hAnsi="楷体" w:eastAsia="楷体" w:cs="楷体"/>
          <w:sz w:val="32"/>
          <w:szCs w:val="32"/>
          <w:shd w:val="clear" w:color="auto" w:fill="FFFFFF"/>
        </w:rPr>
        <w:t>（二）事业收入</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指事业单位开展专业业务活动及其辅助活动取得的现金流入；事业单位收到的财政专户实际核拨的教育收费等资金在此反映。</w:t>
      </w:r>
    </w:p>
    <w:p>
      <w:pPr>
        <w:pStyle w:val="6"/>
        <w:snapToGrid w:val="0"/>
        <w:spacing w:before="0" w:beforeAutospacing="0" w:after="0" w:afterAutospacing="0" w:line="560" w:lineRule="exact"/>
        <w:jc w:val="both"/>
        <w:rPr>
          <w:rFonts w:hint="default" w:ascii="方正仿宋_GBK" w:hAnsi="方正仿宋_GBK" w:eastAsia="方正仿宋_GBK" w:cs="方正仿宋_GBK"/>
          <w:sz w:val="32"/>
          <w:szCs w:val="32"/>
        </w:rPr>
      </w:pPr>
      <w:r>
        <w:rPr>
          <w:rStyle w:val="10"/>
          <w:rFonts w:ascii="楷体" w:hAnsi="楷体" w:eastAsia="楷体" w:cs="楷体"/>
          <w:sz w:val="32"/>
          <w:szCs w:val="32"/>
          <w:shd w:val="clear" w:color="auto" w:fill="FFFFFF"/>
        </w:rPr>
        <w:t xml:space="preserve">    （三）其他收入</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单位取得的除“财政拨款收入”、“事业收入”、“经营收入”等以外的收入，包括未纳入财政预算或财政专户管理的投资收益、银行存款利息收入、租金收入、捐赠收入，现金盘盈收入、存货盘盈收入、收回已核销的应收及预付款项、无法偿付的应付及预收款项等。各单位从本级财政部门以外的同级单位取得的经费、从非本级财政部门取得的经费，以及行政单位收到的财政专户管理资金反映在本项内。</w:t>
      </w:r>
    </w:p>
    <w:p>
      <w:pPr>
        <w:pStyle w:val="6"/>
        <w:snapToGrid w:val="0"/>
        <w:spacing w:before="0" w:beforeAutospacing="0" w:after="0" w:afterAutospacing="0" w:line="560" w:lineRule="exact"/>
        <w:jc w:val="both"/>
        <w:rPr>
          <w:rFonts w:hint="default" w:ascii="方正仿宋_GBK" w:hAnsi="方正仿宋_GBK" w:eastAsia="方正仿宋_GBK" w:cs="方正仿宋_GBK"/>
          <w:sz w:val="32"/>
          <w:szCs w:val="32"/>
        </w:rPr>
      </w:pPr>
      <w:r>
        <w:rPr>
          <w:rStyle w:val="10"/>
          <w:rFonts w:ascii="楷体" w:hAnsi="楷体" w:eastAsia="楷体" w:cs="楷体"/>
          <w:sz w:val="32"/>
          <w:szCs w:val="32"/>
          <w:shd w:val="clear" w:color="auto" w:fill="FFFFFF"/>
        </w:rPr>
        <w:t xml:space="preserve">    （四）使用非财政拨款结余</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指单位在当年的“财政拨款收入”、“事业收入”、“经营收入”、“其他收入”等不足以安排当年支出的情况下，使用以前年度积累的非财政拨款结余弥补本年度收支缺口的资金。</w:t>
      </w:r>
    </w:p>
    <w:p>
      <w:pPr>
        <w:pStyle w:val="6"/>
        <w:snapToGrid w:val="0"/>
        <w:spacing w:before="0" w:beforeAutospacing="0" w:after="0" w:afterAutospacing="0" w:line="560" w:lineRule="exact"/>
        <w:ind w:firstLine="643" w:firstLineChars="200"/>
        <w:jc w:val="both"/>
        <w:rPr>
          <w:rFonts w:hint="default" w:ascii="方正仿宋_GBK" w:hAnsi="方正仿宋_GBK" w:eastAsia="方正仿宋_GBK" w:cs="方正仿宋_GBK"/>
          <w:sz w:val="32"/>
          <w:szCs w:val="32"/>
          <w:shd w:val="clear" w:color="auto" w:fill="FFFFFF"/>
        </w:rPr>
      </w:pPr>
      <w:r>
        <w:rPr>
          <w:rStyle w:val="10"/>
          <w:rFonts w:ascii="楷体" w:hAnsi="楷体" w:eastAsia="楷体" w:cs="楷体"/>
          <w:sz w:val="32"/>
          <w:szCs w:val="32"/>
          <w:shd w:val="clear" w:color="auto" w:fill="FFFFFF"/>
        </w:rPr>
        <w:t>（五）年初结转和结余</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指单位上年结转本年使用的基本支出结转、项目支出结转和结余、经营结余。</w:t>
      </w:r>
    </w:p>
    <w:p>
      <w:pPr>
        <w:pStyle w:val="6"/>
        <w:snapToGrid w:val="0"/>
        <w:spacing w:before="0" w:beforeAutospacing="0" w:after="0" w:afterAutospacing="0" w:line="560" w:lineRule="exact"/>
        <w:ind w:firstLine="643" w:firstLineChars="200"/>
        <w:jc w:val="both"/>
        <w:rPr>
          <w:rFonts w:hint="default" w:ascii="方正仿宋_GBK" w:hAnsi="方正仿宋_GBK" w:eastAsia="方正仿宋_GBK" w:cs="方正仿宋_GBK"/>
          <w:sz w:val="32"/>
          <w:szCs w:val="32"/>
        </w:rPr>
      </w:pPr>
      <w:r>
        <w:rPr>
          <w:rStyle w:val="10"/>
          <w:rFonts w:ascii="楷体" w:hAnsi="楷体" w:eastAsia="楷体" w:cs="楷体"/>
          <w:sz w:val="32"/>
          <w:szCs w:val="32"/>
          <w:shd w:val="clear" w:color="auto" w:fill="FFFFFF"/>
        </w:rPr>
        <w:t>（六）结余分配</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指单位按照国家有关规定，缴纳所得税、提取专用基金、转入非财政拨款结余等当年结余的分配情况。</w:t>
      </w:r>
    </w:p>
    <w:p>
      <w:pPr>
        <w:pStyle w:val="6"/>
        <w:snapToGrid w:val="0"/>
        <w:spacing w:before="0" w:beforeAutospacing="0" w:after="0" w:afterAutospacing="0" w:line="560" w:lineRule="exact"/>
        <w:jc w:val="both"/>
        <w:rPr>
          <w:rFonts w:hint="default" w:ascii="方正仿宋_GBK" w:hAnsi="方正仿宋_GBK" w:eastAsia="方正仿宋_GBK" w:cs="方正仿宋_GBK"/>
          <w:sz w:val="32"/>
          <w:szCs w:val="32"/>
        </w:rPr>
      </w:pPr>
      <w:r>
        <w:rPr>
          <w:rStyle w:val="10"/>
          <w:rFonts w:ascii="楷体" w:hAnsi="楷体" w:eastAsia="楷体" w:cs="楷体"/>
          <w:sz w:val="32"/>
          <w:szCs w:val="32"/>
          <w:shd w:val="clear" w:color="auto" w:fill="FFFFFF"/>
        </w:rPr>
        <w:t xml:space="preserve">    （七）年末结转和结余</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指单位结转下年的基本支出结转、项目支出结转和结余、经营结余。</w:t>
      </w:r>
    </w:p>
    <w:p>
      <w:pPr>
        <w:pStyle w:val="6"/>
        <w:snapToGrid w:val="0"/>
        <w:spacing w:before="0" w:beforeAutospacing="0" w:after="0" w:afterAutospacing="0" w:line="560" w:lineRule="exact"/>
        <w:jc w:val="both"/>
        <w:rPr>
          <w:rFonts w:hint="default" w:ascii="方正仿宋_GBK" w:hAnsi="方正仿宋_GBK" w:eastAsia="方正仿宋_GBK" w:cs="方正仿宋_GBK"/>
          <w:sz w:val="32"/>
          <w:szCs w:val="32"/>
        </w:rPr>
      </w:pPr>
      <w:r>
        <w:rPr>
          <w:rStyle w:val="10"/>
          <w:rFonts w:ascii="楷体" w:hAnsi="楷体" w:eastAsia="楷体" w:cs="楷体"/>
          <w:sz w:val="32"/>
          <w:szCs w:val="32"/>
          <w:shd w:val="clear" w:color="auto" w:fill="FFFFFF"/>
        </w:rPr>
        <w:t xml:space="preserve">    （八）基本支出</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为保障机构正常运转、完成日常工作任务而发生的人员经费和公用经费。其中：人员经费指政府收支分类经济科目中的“工资福利支出”和“对个人和家庭的补助”；公用经费指政府收支分类经济科目中除“工资福利支出”和“对个人和家庭的补助”外的其他支出。</w:t>
      </w:r>
    </w:p>
    <w:p>
      <w:pPr>
        <w:pStyle w:val="6"/>
        <w:snapToGrid w:val="0"/>
        <w:spacing w:before="0" w:beforeAutospacing="0" w:after="0" w:afterAutospacing="0" w:line="560" w:lineRule="exact"/>
        <w:jc w:val="both"/>
        <w:rPr>
          <w:rFonts w:hint="default" w:ascii="方正仿宋_GBK" w:hAnsi="方正仿宋_GBK" w:eastAsia="方正仿宋_GBK" w:cs="方正仿宋_GBK"/>
          <w:sz w:val="32"/>
          <w:szCs w:val="32"/>
        </w:rPr>
      </w:pPr>
      <w:r>
        <w:rPr>
          <w:rStyle w:val="10"/>
          <w:rFonts w:ascii="楷体" w:hAnsi="楷体" w:eastAsia="楷体" w:cs="楷体"/>
          <w:sz w:val="32"/>
          <w:szCs w:val="32"/>
          <w:shd w:val="clear" w:color="auto" w:fill="FFFFFF"/>
        </w:rPr>
        <w:t xml:space="preserve">    （九）项目支出</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指在基本支出之外为完成特定行政任务和事业发展目标所发生的支出。</w:t>
      </w:r>
    </w:p>
    <w:p>
      <w:pPr>
        <w:pStyle w:val="6"/>
        <w:snapToGrid w:val="0"/>
        <w:spacing w:before="0" w:beforeAutospacing="0" w:after="0" w:afterAutospacing="0" w:line="560" w:lineRule="exact"/>
        <w:jc w:val="both"/>
        <w:rPr>
          <w:rFonts w:hint="default" w:ascii="方正仿宋_GBK" w:hAnsi="方正仿宋_GBK" w:eastAsia="方正仿宋_GBK" w:cs="方正仿宋_GBK"/>
          <w:sz w:val="32"/>
          <w:szCs w:val="32"/>
        </w:rPr>
      </w:pPr>
      <w:r>
        <w:rPr>
          <w:rStyle w:val="10"/>
          <w:rFonts w:ascii="楷体" w:hAnsi="楷体" w:eastAsia="楷体" w:cs="楷体"/>
          <w:sz w:val="32"/>
          <w:szCs w:val="32"/>
          <w:shd w:val="clear" w:color="auto" w:fill="FFFFFF"/>
        </w:rPr>
        <w:t xml:space="preserve">    （十）“三公”经费</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pPr>
        <w:pStyle w:val="6"/>
        <w:snapToGrid w:val="0"/>
        <w:spacing w:before="0" w:beforeAutospacing="0" w:after="0" w:afterAutospacing="0" w:line="560" w:lineRule="exact"/>
        <w:jc w:val="both"/>
        <w:rPr>
          <w:rFonts w:hint="default" w:ascii="方正仿宋_GBK" w:hAnsi="方正仿宋_GBK" w:eastAsia="方正仿宋_GBK" w:cs="方正仿宋_GBK"/>
          <w:sz w:val="32"/>
          <w:szCs w:val="32"/>
        </w:rPr>
      </w:pPr>
      <w:r>
        <w:rPr>
          <w:rStyle w:val="10"/>
          <w:rFonts w:ascii="楷体" w:hAnsi="楷体" w:eastAsia="楷体" w:cs="楷体"/>
          <w:sz w:val="32"/>
          <w:szCs w:val="32"/>
          <w:shd w:val="clear" w:color="auto" w:fill="FFFFFF"/>
        </w:rPr>
        <w:t xml:space="preserve">    （十一）工资福利支出（支出经济分类科目类级）</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反映单位开支的在职职工和编制外长期聘用人员的各类劳动报酬，以及为上述人员缴纳的各项社会保险费等。</w:t>
      </w:r>
    </w:p>
    <w:p>
      <w:pPr>
        <w:pStyle w:val="6"/>
        <w:snapToGrid w:val="0"/>
        <w:spacing w:before="0" w:beforeAutospacing="0" w:after="0" w:afterAutospacing="0" w:line="560" w:lineRule="exact"/>
        <w:jc w:val="both"/>
        <w:rPr>
          <w:rFonts w:hint="default" w:ascii="方正仿宋_GBK" w:hAnsi="方正仿宋_GBK" w:eastAsia="方正仿宋_GBK" w:cs="方正仿宋_GBK"/>
          <w:sz w:val="32"/>
          <w:szCs w:val="32"/>
        </w:rPr>
      </w:pPr>
      <w:r>
        <w:rPr>
          <w:rStyle w:val="10"/>
          <w:rFonts w:ascii="楷体" w:hAnsi="楷体" w:eastAsia="楷体" w:cs="楷体"/>
          <w:sz w:val="32"/>
          <w:szCs w:val="32"/>
          <w:shd w:val="clear" w:color="auto" w:fill="FFFFFF"/>
        </w:rPr>
        <w:t xml:space="preserve">    （十二）商品和服务支出（支出经济分类科目类级）</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反映单位购买商品和服务的支出（不包括用于购置固定资产的支出、战略性和应急储备支出）。</w:t>
      </w:r>
    </w:p>
    <w:p>
      <w:pPr>
        <w:pStyle w:val="6"/>
        <w:snapToGrid w:val="0"/>
        <w:spacing w:before="0" w:beforeAutospacing="0" w:after="0" w:afterAutospacing="0" w:line="560" w:lineRule="exact"/>
        <w:ind w:firstLine="643" w:firstLineChars="200"/>
        <w:jc w:val="both"/>
        <w:rPr>
          <w:rFonts w:hint="default" w:ascii="方正仿宋_GBK" w:hAnsi="方正仿宋_GBK" w:eastAsia="方正仿宋_GBK" w:cs="方正仿宋_GBK"/>
          <w:sz w:val="32"/>
          <w:szCs w:val="32"/>
          <w:shd w:val="clear" w:color="auto" w:fill="FFFFFF"/>
        </w:rPr>
      </w:pPr>
      <w:r>
        <w:rPr>
          <w:rStyle w:val="10"/>
          <w:rFonts w:ascii="楷体" w:hAnsi="楷体" w:eastAsia="楷体" w:cs="楷体"/>
          <w:sz w:val="32"/>
          <w:szCs w:val="32"/>
          <w:shd w:val="clear" w:color="auto" w:fill="FFFFFF"/>
        </w:rPr>
        <w:t>（十三）对个人和家庭的补助（支出经济分类科目类级）</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反映用于对个人和家庭的补助支出。</w:t>
      </w:r>
    </w:p>
    <w:p>
      <w:pPr>
        <w:pStyle w:val="6"/>
        <w:snapToGrid w:val="0"/>
        <w:spacing w:before="0" w:beforeAutospacing="0" w:after="0" w:afterAutospacing="0" w:line="560" w:lineRule="exact"/>
        <w:jc w:val="both"/>
        <w:rPr>
          <w:rFonts w:hint="default" w:ascii="方正仿宋_GBK" w:hAnsi="方正仿宋_GBK" w:eastAsia="方正仿宋_GBK" w:cs="方正仿宋_GBK"/>
          <w:sz w:val="32"/>
          <w:szCs w:val="32"/>
        </w:rPr>
      </w:pPr>
      <w:r>
        <w:rPr>
          <w:rStyle w:val="10"/>
          <w:rFonts w:ascii="楷体" w:hAnsi="楷体" w:eastAsia="楷体" w:cs="楷体"/>
          <w:sz w:val="32"/>
          <w:szCs w:val="32"/>
          <w:shd w:val="clear" w:color="auto" w:fill="FFFFFF"/>
        </w:rPr>
        <w:t xml:space="preserve">    （十四）其他资本性支出（支出经济分类科目类级）：</w:t>
      </w:r>
      <w:r>
        <w:rPr>
          <w:rFonts w:ascii="方正仿宋_GBK" w:hAnsi="方正仿宋_GBK" w:eastAsia="方正仿宋_GBK" w:cs="方正仿宋_GBK"/>
          <w:sz w:val="32"/>
          <w:szCs w:val="32"/>
          <w:shd w:val="clear" w:color="auto" w:fill="FFFFFF"/>
        </w:rPr>
        <w:t>反映非各级发展与改革部门集中安排的用于购置固定资产、战略性和应急性储备、土地和无形资产，以及构建基础设施、大型修缮和财政支持企业更新改造所发生的支出。</w:t>
      </w:r>
    </w:p>
    <w:p>
      <w:pPr>
        <w:pStyle w:val="6"/>
        <w:snapToGrid w:val="0"/>
        <w:spacing w:before="0" w:beforeAutospacing="0" w:after="0" w:afterAutospacing="0" w:line="560" w:lineRule="exact"/>
        <w:jc w:val="both"/>
        <w:rPr>
          <w:rFonts w:hint="default" w:ascii="黑体" w:hAnsi="黑体" w:eastAsia="黑体" w:cs="黑体"/>
          <w:b/>
          <w:bCs/>
          <w:sz w:val="32"/>
          <w:szCs w:val="32"/>
          <w:shd w:val="clear" w:color="auto" w:fill="FFFFFF"/>
        </w:rPr>
      </w:pPr>
      <w:r>
        <w:rPr>
          <w:rFonts w:ascii="黑体" w:hAnsi="黑体" w:eastAsia="黑体" w:cs="黑体"/>
          <w:b/>
          <w:bCs/>
          <w:sz w:val="32"/>
          <w:szCs w:val="32"/>
          <w:shd w:val="clear" w:color="auto" w:fill="FFFFFF"/>
        </w:rPr>
        <w:t xml:space="preserve">    七、决算公开联系方式及信息反馈渠道</w:t>
      </w:r>
    </w:p>
    <w:p>
      <w:pPr>
        <w:pStyle w:val="6"/>
        <w:snapToGrid w:val="0"/>
        <w:spacing w:before="0" w:beforeAutospacing="0" w:after="0" w:afterAutospacing="0" w:line="560" w:lineRule="exact"/>
        <w:ind w:firstLine="640" w:firstLineChars="200"/>
        <w:jc w:val="both"/>
        <w:rPr>
          <w:rFonts w:hint="default"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本单位决算公开信息反馈和联系方式：</w:t>
      </w:r>
    </w:p>
    <w:p>
      <w:pPr>
        <w:pStyle w:val="6"/>
        <w:snapToGrid w:val="0"/>
        <w:spacing w:before="0" w:beforeAutospacing="0" w:after="0" w:afterAutospacing="0" w:line="560" w:lineRule="exact"/>
        <w:ind w:firstLine="640" w:firstLineChars="200"/>
        <w:jc w:val="both"/>
        <w:rPr>
          <w:rFonts w:hint="default"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张老师  023-74527014</w:t>
      </w:r>
    </w:p>
    <w:p>
      <w:pPr>
        <w:pStyle w:val="11"/>
        <w:autoSpaceDE w:val="0"/>
        <w:spacing w:line="560" w:lineRule="exact"/>
        <w:ind w:firstLine="0" w:firstLineChars="0"/>
        <w:jc w:val="both"/>
        <w:rPr>
          <w:rStyle w:val="10"/>
          <w:rFonts w:ascii="方正仿宋_GBK" w:hAnsi="方正仿宋_GBK" w:eastAsia="方正仿宋_GBK" w:cs="方正仿宋_GBK"/>
          <w:sz w:val="32"/>
          <w:szCs w:val="32"/>
          <w:shd w:val="clear" w:color="auto" w:fill="FFFF00"/>
        </w:rPr>
      </w:pPr>
    </w:p>
    <w:p>
      <w:pPr>
        <w:pStyle w:val="11"/>
        <w:autoSpaceDE w:val="0"/>
        <w:spacing w:line="560" w:lineRule="exact"/>
        <w:ind w:firstLine="0" w:firstLineChars="0"/>
        <w:rPr>
          <w:rStyle w:val="10"/>
          <w:rFonts w:ascii="方正仿宋_GBK" w:hAnsi="方正仿宋_GBK" w:eastAsia="方正仿宋_GBK" w:cs="方正仿宋_GBK"/>
          <w:sz w:val="32"/>
          <w:szCs w:val="32"/>
          <w:shd w:val="clear" w:color="auto" w:fill="FFFF00"/>
        </w:rPr>
      </w:pPr>
    </w:p>
    <w:p>
      <w:pPr>
        <w:pStyle w:val="11"/>
        <w:autoSpaceDE w:val="0"/>
        <w:spacing w:line="560" w:lineRule="exact"/>
        <w:ind w:firstLine="0" w:firstLineChars="0"/>
        <w:rPr>
          <w:rStyle w:val="10"/>
          <w:rFonts w:ascii="方正仿宋_GBK" w:hAnsi="方正仿宋_GBK" w:eastAsia="方正仿宋_GBK" w:cs="方正仿宋_GBK"/>
          <w:sz w:val="32"/>
          <w:szCs w:val="32"/>
          <w:shd w:val="clear" w:color="auto" w:fill="FFFF00"/>
        </w:rPr>
        <w:sectPr>
          <w:footerReference r:id="rId3" w:type="default"/>
          <w:pgSz w:w="11915" w:h="16840"/>
          <w:pgMar w:top="1440" w:right="1800" w:bottom="1440" w:left="1800" w:header="851" w:footer="992" w:gutter="0"/>
          <w:pgNumType w:fmt="numberInDash"/>
          <w:cols w:space="720" w:num="1"/>
          <w:docGrid w:type="lines" w:linePitch="312" w:charSpace="0"/>
        </w:sectPr>
      </w:pPr>
    </w:p>
    <w:p>
      <w:pPr>
        <w:rPr>
          <w:rFonts w:hint="default" w:cs="宋体"/>
          <w:sz w:val="21"/>
          <w:szCs w:val="21"/>
        </w:rPr>
      </w:pPr>
    </w:p>
    <w:tbl>
      <w:tblPr>
        <w:tblStyle w:val="7"/>
        <w:tblW w:w="22292" w:type="dxa"/>
        <w:tblInd w:w="0" w:type="dxa"/>
        <w:tblLayout w:type="fixed"/>
        <w:tblCellMar>
          <w:top w:w="0" w:type="dxa"/>
          <w:left w:w="0" w:type="dxa"/>
          <w:bottom w:w="0" w:type="dxa"/>
          <w:right w:w="0" w:type="dxa"/>
        </w:tblCellMar>
      </w:tblPr>
      <w:tblGrid>
        <w:gridCol w:w="6581"/>
        <w:gridCol w:w="4358"/>
        <w:gridCol w:w="7536"/>
        <w:gridCol w:w="3817"/>
      </w:tblGrid>
      <w:tr>
        <w:tblPrEx>
          <w:tblCellMar>
            <w:top w:w="0" w:type="dxa"/>
            <w:left w:w="0" w:type="dxa"/>
            <w:bottom w:w="0" w:type="dxa"/>
            <w:right w:w="0" w:type="dxa"/>
          </w:tblCellMar>
        </w:tblPrEx>
        <w:trPr>
          <w:trHeight w:val="565" w:hRule="atLeast"/>
        </w:trPr>
        <w:tc>
          <w:tcPr>
            <w:tcW w:w="22292" w:type="dxa"/>
            <w:gridSpan w:val="4"/>
            <w:tcBorders>
              <w:top w:val="nil"/>
              <w:left w:val="nil"/>
              <w:bottom w:val="nil"/>
              <w:right w:val="nil"/>
            </w:tcBorders>
            <w:tcMar>
              <w:top w:w="15" w:type="dxa"/>
              <w:left w:w="15" w:type="dxa"/>
              <w:right w:w="15" w:type="dxa"/>
            </w:tcMar>
            <w:vAlign w:val="bottom"/>
          </w:tcPr>
          <w:p>
            <w:pPr>
              <w:jc w:val="center"/>
              <w:textAlignment w:val="bottom"/>
              <w:rPr>
                <w:rFonts w:hint="default" w:cs="宋体"/>
                <w:b/>
                <w:color w:val="000000"/>
                <w:sz w:val="40"/>
                <w:szCs w:val="40"/>
              </w:rPr>
            </w:pPr>
            <w:r>
              <w:rPr>
                <w:rFonts w:cs="宋体"/>
                <w:b/>
                <w:color w:val="000000"/>
                <w:sz w:val="44"/>
                <w:szCs w:val="44"/>
              </w:rPr>
              <w:t>收入支出决算总表</w:t>
            </w:r>
          </w:p>
        </w:tc>
      </w:tr>
      <w:tr>
        <w:tblPrEx>
          <w:tblCellMar>
            <w:top w:w="0" w:type="dxa"/>
            <w:left w:w="0" w:type="dxa"/>
            <w:bottom w:w="0" w:type="dxa"/>
            <w:right w:w="0" w:type="dxa"/>
          </w:tblCellMar>
        </w:tblPrEx>
        <w:trPr>
          <w:trHeight w:val="289" w:hRule="atLeast"/>
        </w:trPr>
        <w:tc>
          <w:tcPr>
            <w:tcW w:w="6581"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4358" w:type="dxa"/>
            <w:tcBorders>
              <w:top w:val="nil"/>
              <w:left w:val="nil"/>
              <w:bottom w:val="nil"/>
              <w:right w:val="nil"/>
            </w:tcBorders>
            <w:tcMar>
              <w:top w:w="15" w:type="dxa"/>
              <w:left w:w="15" w:type="dxa"/>
              <w:right w:w="15" w:type="dxa"/>
            </w:tcMar>
            <w:vAlign w:val="bottom"/>
          </w:tcPr>
          <w:p>
            <w:pPr>
              <w:jc w:val="right"/>
              <w:rPr>
                <w:rFonts w:hint="default" w:ascii="Arial" w:hAnsi="Arial" w:cs="Arial"/>
                <w:color w:val="000000"/>
                <w:sz w:val="20"/>
                <w:szCs w:val="20"/>
              </w:rPr>
            </w:pPr>
          </w:p>
        </w:tc>
        <w:tc>
          <w:tcPr>
            <w:tcW w:w="7536"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3817" w:type="dxa"/>
            <w:tcBorders>
              <w:top w:val="nil"/>
              <w:left w:val="nil"/>
              <w:bottom w:val="nil"/>
              <w:right w:val="nil"/>
            </w:tcBorders>
            <w:tcMar>
              <w:top w:w="15" w:type="dxa"/>
              <w:left w:w="15" w:type="dxa"/>
              <w:right w:w="15" w:type="dxa"/>
            </w:tcMar>
            <w:vAlign w:val="bottom"/>
          </w:tcPr>
          <w:p>
            <w:pPr>
              <w:jc w:val="right"/>
              <w:textAlignment w:val="bottom"/>
              <w:rPr>
                <w:rFonts w:hint="default" w:cs="宋体"/>
                <w:color w:val="000000"/>
              </w:rPr>
            </w:pPr>
            <w:r>
              <w:rPr>
                <w:rFonts w:cs="宋体"/>
                <w:color w:val="000000"/>
              </w:rPr>
              <w:t>公开01表</w:t>
            </w:r>
          </w:p>
        </w:tc>
      </w:tr>
      <w:tr>
        <w:tblPrEx>
          <w:tblCellMar>
            <w:top w:w="0" w:type="dxa"/>
            <w:left w:w="0" w:type="dxa"/>
            <w:bottom w:w="0" w:type="dxa"/>
            <w:right w:w="0" w:type="dxa"/>
          </w:tblCellMar>
        </w:tblPrEx>
        <w:trPr>
          <w:trHeight w:val="289" w:hRule="atLeast"/>
        </w:trPr>
        <w:tc>
          <w:tcPr>
            <w:tcW w:w="6581" w:type="dxa"/>
            <w:tcBorders>
              <w:top w:val="nil"/>
              <w:left w:val="nil"/>
              <w:bottom w:val="nil"/>
              <w:right w:val="nil"/>
            </w:tcBorders>
            <w:tcMar>
              <w:top w:w="15" w:type="dxa"/>
              <w:left w:w="15" w:type="dxa"/>
              <w:right w:w="15" w:type="dxa"/>
            </w:tcMar>
            <w:vAlign w:val="bottom"/>
          </w:tcPr>
          <w:p>
            <w:pPr>
              <w:textAlignment w:val="bottom"/>
              <w:rPr>
                <w:rFonts w:hint="default" w:cs="宋体"/>
                <w:color w:val="000000"/>
              </w:rPr>
            </w:pPr>
            <w:r>
              <w:rPr>
                <w:rFonts w:cs="宋体"/>
              </w:rPr>
              <w:t>公开单位：垫江县水土保持站</w:t>
            </w:r>
          </w:p>
        </w:tc>
        <w:tc>
          <w:tcPr>
            <w:tcW w:w="4358" w:type="dxa"/>
            <w:tcBorders>
              <w:top w:val="nil"/>
              <w:left w:val="nil"/>
              <w:bottom w:val="nil"/>
              <w:right w:val="nil"/>
            </w:tcBorders>
            <w:tcMar>
              <w:top w:w="15" w:type="dxa"/>
              <w:left w:w="15" w:type="dxa"/>
              <w:right w:w="15" w:type="dxa"/>
            </w:tcMar>
            <w:vAlign w:val="bottom"/>
          </w:tcPr>
          <w:p>
            <w:pPr>
              <w:jc w:val="right"/>
              <w:rPr>
                <w:rFonts w:hint="default" w:ascii="Arial" w:hAnsi="Arial" w:cs="Arial"/>
                <w:color w:val="000000"/>
                <w:sz w:val="22"/>
                <w:szCs w:val="22"/>
              </w:rPr>
            </w:pPr>
          </w:p>
        </w:tc>
        <w:tc>
          <w:tcPr>
            <w:tcW w:w="7536"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3817" w:type="dxa"/>
            <w:tcBorders>
              <w:top w:val="nil"/>
              <w:left w:val="nil"/>
              <w:bottom w:val="nil"/>
              <w:right w:val="nil"/>
            </w:tcBorders>
            <w:tcMar>
              <w:top w:w="15" w:type="dxa"/>
              <w:left w:w="15" w:type="dxa"/>
              <w:right w:w="15" w:type="dxa"/>
            </w:tcMar>
            <w:vAlign w:val="bottom"/>
          </w:tcPr>
          <w:p>
            <w:pPr>
              <w:jc w:val="right"/>
              <w:textAlignment w:val="bottom"/>
              <w:rPr>
                <w:rFonts w:hint="default" w:cs="宋体"/>
                <w:color w:val="000000"/>
              </w:rPr>
            </w:pPr>
            <w:r>
              <w:rPr>
                <w:rFonts w:cs="宋体"/>
                <w:color w:val="000000"/>
              </w:rPr>
              <w:t>单位：</w:t>
            </w:r>
            <w:r>
              <w:rPr>
                <w:rFonts w:cs="宋体"/>
              </w:rPr>
              <w:t>万元</w:t>
            </w:r>
          </w:p>
        </w:tc>
      </w:tr>
      <w:tr>
        <w:tblPrEx>
          <w:tblCellMar>
            <w:top w:w="0" w:type="dxa"/>
            <w:left w:w="0" w:type="dxa"/>
            <w:bottom w:w="0" w:type="dxa"/>
            <w:right w:w="0" w:type="dxa"/>
          </w:tblCellMar>
        </w:tblPrEx>
        <w:trPr>
          <w:trHeight w:val="298" w:hRule="atLeast"/>
        </w:trPr>
        <w:tc>
          <w:tcPr>
            <w:tcW w:w="10939"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收入</w:t>
            </w:r>
          </w:p>
        </w:tc>
        <w:tc>
          <w:tcPr>
            <w:tcW w:w="11353" w:type="dxa"/>
            <w:gridSpan w:val="2"/>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支出</w:t>
            </w:r>
          </w:p>
        </w:tc>
      </w:tr>
      <w:tr>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项目</w:t>
            </w:r>
          </w:p>
        </w:tc>
        <w:tc>
          <w:tcPr>
            <w:tcW w:w="4358"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决算数</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功能分类科目</w:t>
            </w:r>
          </w:p>
        </w:tc>
        <w:tc>
          <w:tcPr>
            <w:tcW w:w="3817"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决算数</w:t>
            </w:r>
          </w:p>
        </w:tc>
      </w:tr>
      <w:tr>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一、一般公共预算财政拨款收入</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159.07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一、一般公共服务支出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二、政府性基金预算财政拨款收入</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二、外交支出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三、国有资本经营预算财政拨款收入</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三、国防支出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四、上级补助收入</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四、公共安全支出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五、事业收入</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五、教育支出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0.12 </w:t>
            </w:r>
          </w:p>
        </w:tc>
      </w:tr>
      <w:tr>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六、经营收入</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六、科学技术支出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七、附属单位上缴收入</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七、文化旅游体育与传媒支出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八、其他收入</w:t>
            </w:r>
          </w:p>
        </w:tc>
        <w:tc>
          <w:tcPr>
            <w:tcW w:w="4358" w:type="dxa"/>
            <w:tcBorders>
              <w:top w:val="nil"/>
              <w:left w:val="nil"/>
              <w:bottom w:val="nil"/>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8.12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八、社会保障和就业支出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16.75 </w:t>
            </w:r>
          </w:p>
        </w:tc>
      </w:tr>
      <w:tr>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jc w:val="right"/>
              <w:rPr>
                <w:rFonts w:hint="default" w:ascii="Arial" w:hAnsi="Arial" w:cs="Arial"/>
                <w:color w:val="000000"/>
                <w:sz w:val="20"/>
                <w:szCs w:val="20"/>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九、卫生健康支出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4.41 </w:t>
            </w:r>
          </w:p>
        </w:tc>
      </w:tr>
      <w:tr>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jc w:val="right"/>
              <w:rPr>
                <w:rFonts w:hint="default" w:ascii="Arial" w:hAnsi="Arial" w:cs="Arial"/>
                <w:color w:val="000000"/>
                <w:sz w:val="20"/>
                <w:szCs w:val="20"/>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十、节能环保支出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jc w:val="right"/>
              <w:rPr>
                <w:rFonts w:hint="default" w:ascii="Arial" w:hAnsi="Arial" w:cs="Arial"/>
                <w:color w:val="000000"/>
                <w:sz w:val="20"/>
                <w:szCs w:val="20"/>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十一、城乡社区支出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jc w:val="right"/>
              <w:rPr>
                <w:rFonts w:hint="default" w:ascii="Arial" w:hAnsi="Arial" w:cs="Arial"/>
                <w:color w:val="000000"/>
                <w:sz w:val="20"/>
                <w:szCs w:val="20"/>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十二、农林水支出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135.10 </w:t>
            </w:r>
          </w:p>
        </w:tc>
      </w:tr>
      <w:tr>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十三、交通运输支出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十四、资源勘探工业信息等支出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十五、商业服务业等支出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十六、金融支出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十七、援助其他地区支出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十八、自然资源海洋气象等支出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十九、住房保障支出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7.73 </w:t>
            </w:r>
          </w:p>
        </w:tc>
      </w:tr>
      <w:tr>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二十、粮油物资储备支出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二十一、国有资本经营预算支出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二十二、灾害防治及应急管理支出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二十三、其他支出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二十四、债务还本支出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二十五、债务付息支出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二十六、抗疫特别国债安排的支出</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本年收入合计</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167.19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本年支出合计</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164.10 </w:t>
            </w:r>
          </w:p>
        </w:tc>
      </w:tr>
      <w:tr>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使用非财政拨款结余和专用结余</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结余分配</w:t>
            </w:r>
          </w:p>
        </w:tc>
        <w:tc>
          <w:tcPr>
            <w:tcW w:w="3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298"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年初结转和结余</w:t>
            </w:r>
          </w:p>
        </w:tc>
        <w:tc>
          <w:tcPr>
            <w:tcW w:w="435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0.38 </w:t>
            </w:r>
          </w:p>
        </w:tc>
        <w:tc>
          <w:tcPr>
            <w:tcW w:w="7536"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年末结转和结余</w:t>
            </w:r>
          </w:p>
        </w:tc>
        <w:tc>
          <w:tcPr>
            <w:tcW w:w="3817" w:type="dxa"/>
            <w:tcBorders>
              <w:top w:val="nil"/>
              <w:left w:val="nil"/>
              <w:bottom w:val="single" w:color="auto"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3.46 </w:t>
            </w:r>
          </w:p>
        </w:tc>
      </w:tr>
      <w:tr>
        <w:tblPrEx>
          <w:tblCellMar>
            <w:top w:w="0" w:type="dxa"/>
            <w:left w:w="0" w:type="dxa"/>
            <w:bottom w:w="0" w:type="dxa"/>
            <w:right w:w="0" w:type="dxa"/>
          </w:tblCellMar>
        </w:tblPrEx>
        <w:trPr>
          <w:trHeight w:val="307" w:hRule="atLeast"/>
        </w:trPr>
        <w:tc>
          <w:tcPr>
            <w:tcW w:w="6581" w:type="dxa"/>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总计</w:t>
            </w:r>
          </w:p>
        </w:tc>
        <w:tc>
          <w:tcPr>
            <w:tcW w:w="43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167.56 </w:t>
            </w:r>
          </w:p>
        </w:tc>
        <w:tc>
          <w:tcPr>
            <w:tcW w:w="7536" w:type="dxa"/>
            <w:tcBorders>
              <w:top w:val="nil"/>
              <w:left w:val="nil"/>
              <w:bottom w:val="single" w:color="000000" w:sz="4" w:space="0"/>
              <w:right w:val="single" w:color="auto"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总计</w:t>
            </w:r>
          </w:p>
        </w:tc>
        <w:tc>
          <w:tcPr>
            <w:tcW w:w="3817"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1"/>
                <w:szCs w:val="21"/>
              </w:rPr>
              <w:t xml:space="preserve">167.56 </w:t>
            </w:r>
          </w:p>
        </w:tc>
      </w:tr>
    </w:tbl>
    <w:p>
      <w:pPr>
        <w:rPr>
          <w:rFonts w:hint="default" w:cs="宋体"/>
          <w:sz w:val="21"/>
          <w:szCs w:val="21"/>
        </w:rPr>
      </w:pPr>
      <w:r>
        <w:rPr>
          <w:rFonts w:cs="宋体"/>
          <w:sz w:val="21"/>
          <w:szCs w:val="21"/>
        </w:rPr>
        <w:t>备注：1.本表反映单位本年度的总收支和年末结转结余情况。</w:t>
      </w:r>
      <w:r>
        <w:rPr>
          <w:rFonts w:cs="宋体"/>
          <w:sz w:val="21"/>
          <w:szCs w:val="21"/>
        </w:rPr>
        <w:br w:type="textWrapping"/>
      </w:r>
      <w:r>
        <w:rPr>
          <w:rFonts w:cs="宋体"/>
          <w:sz w:val="21"/>
          <w:szCs w:val="21"/>
        </w:rPr>
        <w:t xml:space="preserve">      2.本套报表金额单位转换时可能存在尾数误差。</w:t>
      </w:r>
      <w:r>
        <w:rPr>
          <w:rFonts w:cs="宋体"/>
          <w:sz w:val="21"/>
          <w:szCs w:val="21"/>
        </w:rPr>
        <w:br w:type="textWrapping"/>
      </w:r>
      <w:r>
        <w:rPr>
          <w:rFonts w:cs="宋体"/>
          <w:sz w:val="21"/>
          <w:szCs w:val="21"/>
        </w:rPr>
        <w:br w:type="textWrapping"/>
      </w:r>
    </w:p>
    <w:p>
      <w:pPr>
        <w:rPr>
          <w:rFonts w:hint="default" w:cs="宋体"/>
          <w:sz w:val="21"/>
          <w:szCs w:val="21"/>
        </w:rPr>
      </w:pPr>
      <w:r>
        <w:rPr>
          <w:rFonts w:cs="宋体"/>
          <w:sz w:val="21"/>
          <w:szCs w:val="21"/>
        </w:rPr>
        <w:br w:type="page"/>
      </w:r>
    </w:p>
    <w:p>
      <w:pPr>
        <w:rPr>
          <w:rFonts w:hint="default" w:cs="宋体"/>
          <w:sz w:val="21"/>
          <w:szCs w:val="21"/>
        </w:rPr>
      </w:pPr>
    </w:p>
    <w:tbl>
      <w:tblPr>
        <w:tblStyle w:val="7"/>
        <w:tblW w:w="22220" w:type="dxa"/>
        <w:tblInd w:w="0" w:type="dxa"/>
        <w:tblLayout w:type="fixed"/>
        <w:tblCellMar>
          <w:top w:w="0" w:type="dxa"/>
          <w:left w:w="0" w:type="dxa"/>
          <w:bottom w:w="0" w:type="dxa"/>
          <w:right w:w="0" w:type="dxa"/>
        </w:tblCellMar>
      </w:tblPr>
      <w:tblGrid>
        <w:gridCol w:w="1941"/>
        <w:gridCol w:w="3317"/>
        <w:gridCol w:w="2412"/>
        <w:gridCol w:w="2399"/>
        <w:gridCol w:w="1963"/>
        <w:gridCol w:w="1963"/>
        <w:gridCol w:w="1963"/>
        <w:gridCol w:w="1963"/>
        <w:gridCol w:w="1963"/>
        <w:gridCol w:w="2336"/>
      </w:tblGrid>
      <w:tr>
        <w:tblPrEx>
          <w:tblCellMar>
            <w:top w:w="0" w:type="dxa"/>
            <w:left w:w="0" w:type="dxa"/>
            <w:bottom w:w="0" w:type="dxa"/>
            <w:right w:w="0" w:type="dxa"/>
          </w:tblCellMar>
        </w:tblPrEx>
        <w:trPr>
          <w:trHeight w:val="641" w:hRule="atLeast"/>
        </w:trPr>
        <w:tc>
          <w:tcPr>
            <w:tcW w:w="22220" w:type="dxa"/>
            <w:gridSpan w:val="10"/>
            <w:tcBorders>
              <w:top w:val="nil"/>
              <w:left w:val="nil"/>
              <w:bottom w:val="nil"/>
              <w:right w:val="nil"/>
            </w:tcBorders>
            <w:tcMar>
              <w:top w:w="15" w:type="dxa"/>
              <w:left w:w="15" w:type="dxa"/>
              <w:right w:w="15" w:type="dxa"/>
            </w:tcMar>
            <w:vAlign w:val="bottom"/>
          </w:tcPr>
          <w:p>
            <w:pPr>
              <w:jc w:val="center"/>
              <w:textAlignment w:val="bottom"/>
              <w:rPr>
                <w:rFonts w:hint="default" w:cs="宋体"/>
                <w:b/>
                <w:color w:val="000000"/>
                <w:sz w:val="40"/>
                <w:szCs w:val="40"/>
              </w:rPr>
            </w:pPr>
            <w:r>
              <w:rPr>
                <w:rFonts w:cs="宋体"/>
                <w:b/>
                <w:color w:val="000000"/>
                <w:sz w:val="44"/>
                <w:szCs w:val="44"/>
              </w:rPr>
              <w:t>收入决算表</w:t>
            </w:r>
          </w:p>
        </w:tc>
      </w:tr>
      <w:tr>
        <w:tblPrEx>
          <w:tblCellMar>
            <w:top w:w="0" w:type="dxa"/>
            <w:left w:w="0" w:type="dxa"/>
            <w:bottom w:w="0" w:type="dxa"/>
            <w:right w:w="0" w:type="dxa"/>
          </w:tblCellMar>
        </w:tblPrEx>
        <w:trPr>
          <w:trHeight w:val="328" w:hRule="atLeast"/>
        </w:trPr>
        <w:tc>
          <w:tcPr>
            <w:tcW w:w="5258" w:type="dxa"/>
            <w:gridSpan w:val="2"/>
            <w:vMerge w:val="restart"/>
            <w:tcBorders>
              <w:top w:val="nil"/>
              <w:left w:val="nil"/>
              <w:right w:val="nil"/>
            </w:tcBorders>
            <w:tcMar>
              <w:top w:w="15" w:type="dxa"/>
              <w:left w:w="15" w:type="dxa"/>
              <w:right w:w="15" w:type="dxa"/>
            </w:tcMar>
            <w:vAlign w:val="bottom"/>
          </w:tcPr>
          <w:p>
            <w:pPr>
              <w:rPr>
                <w:rFonts w:hint="default" w:ascii="Arial" w:hAnsi="Arial" w:cs="Arial"/>
                <w:color w:val="000000"/>
                <w:sz w:val="22"/>
                <w:szCs w:val="22"/>
              </w:rPr>
            </w:pPr>
            <w:r>
              <w:rPr>
                <w:rFonts w:cs="宋体"/>
              </w:rPr>
              <w:t>公开单位：垫江县水土保持站</w:t>
            </w:r>
          </w:p>
        </w:tc>
        <w:tc>
          <w:tcPr>
            <w:tcW w:w="2412"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2399"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1963"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1963"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1963"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1963"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1963"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2336" w:type="dxa"/>
            <w:tcBorders>
              <w:top w:val="nil"/>
              <w:left w:val="nil"/>
              <w:bottom w:val="nil"/>
              <w:right w:val="nil"/>
            </w:tcBorders>
            <w:tcMar>
              <w:top w:w="15" w:type="dxa"/>
              <w:left w:w="15" w:type="dxa"/>
              <w:right w:w="15" w:type="dxa"/>
            </w:tcMar>
            <w:vAlign w:val="bottom"/>
          </w:tcPr>
          <w:p>
            <w:pPr>
              <w:jc w:val="right"/>
              <w:textAlignment w:val="bottom"/>
              <w:rPr>
                <w:rFonts w:hint="default" w:cs="宋体"/>
                <w:color w:val="000000"/>
              </w:rPr>
            </w:pPr>
            <w:r>
              <w:rPr>
                <w:rFonts w:cs="宋体"/>
                <w:color w:val="000000"/>
              </w:rPr>
              <w:t>公开02表</w:t>
            </w:r>
          </w:p>
        </w:tc>
      </w:tr>
      <w:tr>
        <w:tblPrEx>
          <w:tblCellMar>
            <w:top w:w="0" w:type="dxa"/>
            <w:left w:w="0" w:type="dxa"/>
            <w:bottom w:w="0" w:type="dxa"/>
            <w:right w:w="0" w:type="dxa"/>
          </w:tblCellMar>
        </w:tblPrEx>
        <w:trPr>
          <w:trHeight w:val="328" w:hRule="atLeast"/>
        </w:trPr>
        <w:tc>
          <w:tcPr>
            <w:tcW w:w="5258" w:type="dxa"/>
            <w:gridSpan w:val="2"/>
            <w:vMerge w:val="continue"/>
            <w:tcBorders>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2412"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2399"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1963"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1963"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1963"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1963"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1963"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2336" w:type="dxa"/>
            <w:tcBorders>
              <w:top w:val="nil"/>
              <w:left w:val="nil"/>
              <w:bottom w:val="nil"/>
              <w:right w:val="nil"/>
            </w:tcBorders>
            <w:tcMar>
              <w:top w:w="15" w:type="dxa"/>
              <w:left w:w="15" w:type="dxa"/>
              <w:right w:w="15" w:type="dxa"/>
            </w:tcMar>
            <w:vAlign w:val="bottom"/>
          </w:tcPr>
          <w:p>
            <w:pPr>
              <w:jc w:val="right"/>
              <w:textAlignment w:val="bottom"/>
              <w:rPr>
                <w:rFonts w:hint="default" w:cs="宋体"/>
                <w:color w:val="000000"/>
              </w:rPr>
            </w:pPr>
            <w:r>
              <w:rPr>
                <w:rFonts w:cs="宋体"/>
                <w:color w:val="000000"/>
              </w:rPr>
              <w:t>单位：</w:t>
            </w:r>
            <w:r>
              <w:rPr>
                <w:rFonts w:cs="宋体"/>
              </w:rPr>
              <w:t>万元</w:t>
            </w:r>
          </w:p>
        </w:tc>
      </w:tr>
      <w:tr>
        <w:tblPrEx>
          <w:tblCellMar>
            <w:top w:w="0" w:type="dxa"/>
            <w:left w:w="0" w:type="dxa"/>
            <w:bottom w:w="0" w:type="dxa"/>
            <w:right w:w="0" w:type="dxa"/>
          </w:tblCellMar>
        </w:tblPrEx>
        <w:trPr>
          <w:trHeight w:val="431" w:hRule="atLeast"/>
        </w:trPr>
        <w:tc>
          <w:tcPr>
            <w:tcW w:w="5258" w:type="dxa"/>
            <w:gridSpan w:val="2"/>
            <w:tcBorders>
              <w:top w:val="single" w:color="000000" w:sz="4" w:space="0"/>
              <w:left w:val="single" w:color="000000" w:sz="4" w:space="0"/>
              <w:bottom w:val="single" w:color="000000" w:sz="4" w:space="0"/>
              <w:right w:val="nil"/>
            </w:tcBorders>
            <w:shd w:val="clear" w:color="auto" w:fill="D0CECE"/>
            <w:tcMar>
              <w:top w:w="15" w:type="dxa"/>
              <w:left w:w="15" w:type="dxa"/>
              <w:right w:w="15" w:type="dxa"/>
            </w:tcMar>
            <w:vAlign w:val="bottom"/>
          </w:tcPr>
          <w:p>
            <w:pPr>
              <w:jc w:val="center"/>
              <w:textAlignment w:val="bottom"/>
              <w:rPr>
                <w:rFonts w:hint="default" w:cs="宋体"/>
                <w:b/>
                <w:color w:val="000000"/>
                <w:sz w:val="22"/>
                <w:szCs w:val="22"/>
              </w:rPr>
            </w:pPr>
            <w:r>
              <w:rPr>
                <w:rFonts w:cs="宋体"/>
                <w:b/>
                <w:color w:val="000000"/>
                <w:sz w:val="22"/>
                <w:szCs w:val="22"/>
              </w:rPr>
              <w:t>项目</w:t>
            </w:r>
          </w:p>
        </w:tc>
        <w:tc>
          <w:tcPr>
            <w:tcW w:w="2412"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本年收入合计</w:t>
            </w:r>
          </w:p>
        </w:tc>
        <w:tc>
          <w:tcPr>
            <w:tcW w:w="2399"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财政拨款收入</w:t>
            </w:r>
          </w:p>
        </w:tc>
        <w:tc>
          <w:tcPr>
            <w:tcW w:w="196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上级补助收入</w:t>
            </w:r>
          </w:p>
        </w:tc>
        <w:tc>
          <w:tcPr>
            <w:tcW w:w="3926" w:type="dxa"/>
            <w:gridSpan w:val="2"/>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pPr>
              <w:jc w:val="center"/>
              <w:textAlignment w:val="bottom"/>
              <w:rPr>
                <w:rFonts w:hint="default" w:cs="宋体"/>
                <w:b/>
                <w:color w:val="000000"/>
                <w:sz w:val="22"/>
                <w:szCs w:val="22"/>
              </w:rPr>
            </w:pPr>
            <w:r>
              <w:rPr>
                <w:rFonts w:cs="宋体"/>
                <w:b/>
                <w:color w:val="000000"/>
                <w:sz w:val="22"/>
                <w:szCs w:val="22"/>
              </w:rPr>
              <w:t>事业收入</w:t>
            </w:r>
          </w:p>
        </w:tc>
        <w:tc>
          <w:tcPr>
            <w:tcW w:w="196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经营收入</w:t>
            </w:r>
          </w:p>
        </w:tc>
        <w:tc>
          <w:tcPr>
            <w:tcW w:w="196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附属单位上缴收入</w:t>
            </w:r>
          </w:p>
        </w:tc>
        <w:tc>
          <w:tcPr>
            <w:tcW w:w="2336"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其他收入</w:t>
            </w:r>
          </w:p>
        </w:tc>
      </w:tr>
      <w:tr>
        <w:tblPrEx>
          <w:tblCellMar>
            <w:top w:w="0" w:type="dxa"/>
            <w:left w:w="0" w:type="dxa"/>
            <w:bottom w:w="0" w:type="dxa"/>
            <w:right w:w="0" w:type="dxa"/>
          </w:tblCellMar>
        </w:tblPrEx>
        <w:trPr>
          <w:trHeight w:val="334" w:hRule="atLeast"/>
        </w:trPr>
        <w:tc>
          <w:tcPr>
            <w:tcW w:w="1941"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功能分类科目编码</w:t>
            </w:r>
          </w:p>
        </w:tc>
        <w:tc>
          <w:tcPr>
            <w:tcW w:w="3317" w:type="dxa"/>
            <w:vMerge w:val="restart"/>
            <w:tcBorders>
              <w:top w:val="nil"/>
              <w:left w:val="nil"/>
              <w:bottom w:val="single" w:color="000000" w:sz="4" w:space="0"/>
              <w:right w:val="nil"/>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项目（按“项”级功能分类科目）</w:t>
            </w:r>
          </w:p>
        </w:tc>
        <w:tc>
          <w:tcPr>
            <w:tcW w:w="241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39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小计</w:t>
            </w:r>
          </w:p>
        </w:tc>
        <w:tc>
          <w:tcPr>
            <w:tcW w:w="196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其中：教育收费</w:t>
            </w: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33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CellMar>
            <w:top w:w="0" w:type="dxa"/>
            <w:left w:w="0" w:type="dxa"/>
            <w:bottom w:w="0" w:type="dxa"/>
            <w:right w:w="0" w:type="dxa"/>
          </w:tblCellMar>
        </w:tblPrEx>
        <w:trPr>
          <w:trHeight w:val="334" w:hRule="atLeast"/>
        </w:trPr>
        <w:tc>
          <w:tcPr>
            <w:tcW w:w="1941"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3317" w:type="dxa"/>
            <w:vMerge w:val="continue"/>
            <w:tcBorders>
              <w:top w:val="nil"/>
              <w:left w:val="nil"/>
              <w:bottom w:val="single" w:color="000000" w:sz="4" w:space="0"/>
              <w:right w:val="nil"/>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1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39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33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CellMar>
            <w:top w:w="0" w:type="dxa"/>
            <w:left w:w="0" w:type="dxa"/>
            <w:bottom w:w="0" w:type="dxa"/>
            <w:right w:w="0" w:type="dxa"/>
          </w:tblCellMar>
        </w:tblPrEx>
        <w:trPr>
          <w:trHeight w:val="334" w:hRule="atLeast"/>
        </w:trPr>
        <w:tc>
          <w:tcPr>
            <w:tcW w:w="1941"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3317" w:type="dxa"/>
            <w:vMerge w:val="continue"/>
            <w:tcBorders>
              <w:top w:val="nil"/>
              <w:left w:val="nil"/>
              <w:bottom w:val="single" w:color="000000" w:sz="4" w:space="0"/>
              <w:right w:val="nil"/>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1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39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33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CellMar>
            <w:top w:w="0" w:type="dxa"/>
            <w:left w:w="0" w:type="dxa"/>
            <w:bottom w:w="0" w:type="dxa"/>
            <w:right w:w="0" w:type="dxa"/>
          </w:tblCellMar>
        </w:tblPrEx>
        <w:trPr>
          <w:trHeight w:val="334" w:hRule="atLeast"/>
        </w:trPr>
        <w:tc>
          <w:tcPr>
            <w:tcW w:w="1941"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3317" w:type="dxa"/>
            <w:vMerge w:val="continue"/>
            <w:tcBorders>
              <w:top w:val="nil"/>
              <w:left w:val="nil"/>
              <w:bottom w:val="single" w:color="000000" w:sz="4" w:space="0"/>
              <w:right w:val="nil"/>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1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39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96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33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CellMar>
            <w:top w:w="0" w:type="dxa"/>
            <w:left w:w="0" w:type="dxa"/>
            <w:bottom w:w="0" w:type="dxa"/>
            <w:right w:w="0" w:type="dxa"/>
          </w:tblCellMar>
        </w:tblPrEx>
        <w:trPr>
          <w:trHeight w:val="338" w:hRule="atLeast"/>
        </w:trPr>
        <w:tc>
          <w:tcPr>
            <w:tcW w:w="5258"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合计</w:t>
            </w:r>
          </w:p>
        </w:tc>
        <w:tc>
          <w:tcPr>
            <w:tcW w:w="2412"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167.19 </w:t>
            </w:r>
          </w:p>
        </w:tc>
        <w:tc>
          <w:tcPr>
            <w:tcW w:w="2399"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159.07 </w:t>
            </w:r>
          </w:p>
        </w:tc>
        <w:tc>
          <w:tcPr>
            <w:tcW w:w="1963"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 </w:t>
            </w:r>
          </w:p>
        </w:tc>
        <w:tc>
          <w:tcPr>
            <w:tcW w:w="1963"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 </w:t>
            </w:r>
          </w:p>
        </w:tc>
        <w:tc>
          <w:tcPr>
            <w:tcW w:w="1963"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 </w:t>
            </w:r>
          </w:p>
        </w:tc>
        <w:tc>
          <w:tcPr>
            <w:tcW w:w="1963"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 </w:t>
            </w:r>
          </w:p>
        </w:tc>
        <w:tc>
          <w:tcPr>
            <w:tcW w:w="1963"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 </w:t>
            </w:r>
          </w:p>
        </w:tc>
        <w:tc>
          <w:tcPr>
            <w:tcW w:w="2336"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8.12 </w:t>
            </w:r>
          </w:p>
        </w:tc>
      </w:tr>
      <w:tr>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205</w:t>
            </w:r>
          </w:p>
        </w:tc>
        <w:tc>
          <w:tcPr>
            <w:tcW w:w="3317"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教育支出</w:t>
            </w:r>
          </w:p>
        </w:tc>
        <w:tc>
          <w:tcPr>
            <w:tcW w:w="24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0.12 </w:t>
            </w:r>
          </w:p>
        </w:tc>
        <w:tc>
          <w:tcPr>
            <w:tcW w:w="239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0.12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20508</w:t>
            </w:r>
          </w:p>
        </w:tc>
        <w:tc>
          <w:tcPr>
            <w:tcW w:w="3317"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进修及培训</w:t>
            </w:r>
          </w:p>
        </w:tc>
        <w:tc>
          <w:tcPr>
            <w:tcW w:w="24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0.12 </w:t>
            </w:r>
          </w:p>
        </w:tc>
        <w:tc>
          <w:tcPr>
            <w:tcW w:w="239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0.12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2050803</w:t>
            </w:r>
          </w:p>
        </w:tc>
        <w:tc>
          <w:tcPr>
            <w:tcW w:w="3317"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培训支出</w:t>
            </w:r>
          </w:p>
        </w:tc>
        <w:tc>
          <w:tcPr>
            <w:tcW w:w="24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0.12 </w:t>
            </w:r>
          </w:p>
        </w:tc>
        <w:tc>
          <w:tcPr>
            <w:tcW w:w="239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0.12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208</w:t>
            </w:r>
          </w:p>
        </w:tc>
        <w:tc>
          <w:tcPr>
            <w:tcW w:w="3317"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社会保障和就业支出</w:t>
            </w:r>
          </w:p>
        </w:tc>
        <w:tc>
          <w:tcPr>
            <w:tcW w:w="24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16.75 </w:t>
            </w:r>
          </w:p>
        </w:tc>
        <w:tc>
          <w:tcPr>
            <w:tcW w:w="239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16.75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20805</w:t>
            </w:r>
          </w:p>
        </w:tc>
        <w:tc>
          <w:tcPr>
            <w:tcW w:w="3317"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行政事业单位养老支出</w:t>
            </w:r>
          </w:p>
        </w:tc>
        <w:tc>
          <w:tcPr>
            <w:tcW w:w="24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16.75 </w:t>
            </w:r>
          </w:p>
        </w:tc>
        <w:tc>
          <w:tcPr>
            <w:tcW w:w="239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16.75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2080505</w:t>
            </w:r>
          </w:p>
        </w:tc>
        <w:tc>
          <w:tcPr>
            <w:tcW w:w="3317"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机关事业单位基本养老保险缴费支出</w:t>
            </w:r>
          </w:p>
        </w:tc>
        <w:tc>
          <w:tcPr>
            <w:tcW w:w="24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7.61 </w:t>
            </w:r>
          </w:p>
        </w:tc>
        <w:tc>
          <w:tcPr>
            <w:tcW w:w="239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7.61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2080506</w:t>
            </w:r>
          </w:p>
        </w:tc>
        <w:tc>
          <w:tcPr>
            <w:tcW w:w="3317"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机关事业单位职业年金缴费支出</w:t>
            </w:r>
          </w:p>
        </w:tc>
        <w:tc>
          <w:tcPr>
            <w:tcW w:w="24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3.80 </w:t>
            </w:r>
          </w:p>
        </w:tc>
        <w:tc>
          <w:tcPr>
            <w:tcW w:w="239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3.80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2080599</w:t>
            </w:r>
          </w:p>
        </w:tc>
        <w:tc>
          <w:tcPr>
            <w:tcW w:w="3317"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其他行政事业单位养老支出</w:t>
            </w:r>
          </w:p>
        </w:tc>
        <w:tc>
          <w:tcPr>
            <w:tcW w:w="24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5.34 </w:t>
            </w:r>
          </w:p>
        </w:tc>
        <w:tc>
          <w:tcPr>
            <w:tcW w:w="239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5.34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210</w:t>
            </w:r>
          </w:p>
        </w:tc>
        <w:tc>
          <w:tcPr>
            <w:tcW w:w="3317"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卫生健康支出</w:t>
            </w:r>
          </w:p>
        </w:tc>
        <w:tc>
          <w:tcPr>
            <w:tcW w:w="24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4.41 </w:t>
            </w:r>
          </w:p>
        </w:tc>
        <w:tc>
          <w:tcPr>
            <w:tcW w:w="239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4.41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21011</w:t>
            </w:r>
          </w:p>
        </w:tc>
        <w:tc>
          <w:tcPr>
            <w:tcW w:w="3317"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行政事业单位医疗</w:t>
            </w:r>
          </w:p>
        </w:tc>
        <w:tc>
          <w:tcPr>
            <w:tcW w:w="24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4.41 </w:t>
            </w:r>
          </w:p>
        </w:tc>
        <w:tc>
          <w:tcPr>
            <w:tcW w:w="239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4.41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2101102</w:t>
            </w:r>
          </w:p>
        </w:tc>
        <w:tc>
          <w:tcPr>
            <w:tcW w:w="3317"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事业单位医疗</w:t>
            </w:r>
          </w:p>
        </w:tc>
        <w:tc>
          <w:tcPr>
            <w:tcW w:w="24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4.41 </w:t>
            </w:r>
          </w:p>
        </w:tc>
        <w:tc>
          <w:tcPr>
            <w:tcW w:w="239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4.41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213</w:t>
            </w:r>
          </w:p>
        </w:tc>
        <w:tc>
          <w:tcPr>
            <w:tcW w:w="3317"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农林水支出</w:t>
            </w:r>
          </w:p>
        </w:tc>
        <w:tc>
          <w:tcPr>
            <w:tcW w:w="24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138.18 </w:t>
            </w:r>
          </w:p>
        </w:tc>
        <w:tc>
          <w:tcPr>
            <w:tcW w:w="239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130.06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8.12 </w:t>
            </w:r>
          </w:p>
        </w:tc>
      </w:tr>
      <w:tr>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21303</w:t>
            </w:r>
          </w:p>
        </w:tc>
        <w:tc>
          <w:tcPr>
            <w:tcW w:w="3317"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水利</w:t>
            </w:r>
          </w:p>
        </w:tc>
        <w:tc>
          <w:tcPr>
            <w:tcW w:w="24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138.18 </w:t>
            </w:r>
          </w:p>
        </w:tc>
        <w:tc>
          <w:tcPr>
            <w:tcW w:w="239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130.06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8.12 </w:t>
            </w:r>
          </w:p>
        </w:tc>
      </w:tr>
      <w:tr>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2130310</w:t>
            </w:r>
          </w:p>
        </w:tc>
        <w:tc>
          <w:tcPr>
            <w:tcW w:w="3317"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水土保持</w:t>
            </w:r>
          </w:p>
        </w:tc>
        <w:tc>
          <w:tcPr>
            <w:tcW w:w="24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138.18 </w:t>
            </w:r>
          </w:p>
        </w:tc>
        <w:tc>
          <w:tcPr>
            <w:tcW w:w="239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130.06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8.12 </w:t>
            </w:r>
          </w:p>
        </w:tc>
      </w:tr>
      <w:tr>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221</w:t>
            </w:r>
          </w:p>
        </w:tc>
        <w:tc>
          <w:tcPr>
            <w:tcW w:w="3317"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住房保障支出</w:t>
            </w:r>
          </w:p>
        </w:tc>
        <w:tc>
          <w:tcPr>
            <w:tcW w:w="24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7.73 </w:t>
            </w:r>
          </w:p>
        </w:tc>
        <w:tc>
          <w:tcPr>
            <w:tcW w:w="239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7.73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22102</w:t>
            </w:r>
          </w:p>
        </w:tc>
        <w:tc>
          <w:tcPr>
            <w:tcW w:w="3317"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住房改革支出</w:t>
            </w:r>
          </w:p>
        </w:tc>
        <w:tc>
          <w:tcPr>
            <w:tcW w:w="24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7.73 </w:t>
            </w:r>
          </w:p>
        </w:tc>
        <w:tc>
          <w:tcPr>
            <w:tcW w:w="239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7.73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CellMar>
            <w:top w:w="0" w:type="dxa"/>
            <w:left w:w="0" w:type="dxa"/>
            <w:bottom w:w="0" w:type="dxa"/>
            <w:right w:w="0" w:type="dxa"/>
          </w:tblCellMar>
        </w:tblPrEx>
        <w:trPr>
          <w:trHeight w:val="348" w:hRule="atLeast"/>
        </w:trPr>
        <w:tc>
          <w:tcPr>
            <w:tcW w:w="1941"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2210201</w:t>
            </w:r>
          </w:p>
        </w:tc>
        <w:tc>
          <w:tcPr>
            <w:tcW w:w="3317"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住房公积金</w:t>
            </w:r>
          </w:p>
        </w:tc>
        <w:tc>
          <w:tcPr>
            <w:tcW w:w="241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7.73 </w:t>
            </w:r>
          </w:p>
        </w:tc>
        <w:tc>
          <w:tcPr>
            <w:tcW w:w="239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7.73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196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33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bl>
    <w:p>
      <w:pPr>
        <w:ind w:left="630" w:hanging="630" w:hangingChars="300"/>
        <w:rPr>
          <w:rFonts w:hint="default" w:cs="宋体"/>
          <w:sz w:val="21"/>
          <w:szCs w:val="21"/>
        </w:rPr>
      </w:pPr>
      <w:r>
        <w:rPr>
          <w:rFonts w:cs="宋体"/>
          <w:sz w:val="21"/>
          <w:szCs w:val="21"/>
        </w:rPr>
        <w:t>备注：1.本表反映单位本年度取得的各项收入情况。</w:t>
      </w:r>
      <w:r>
        <w:rPr>
          <w:rFonts w:cs="宋体"/>
          <w:sz w:val="21"/>
          <w:szCs w:val="21"/>
        </w:rPr>
        <w:br w:type="textWrapping"/>
      </w:r>
      <w:r>
        <w:rPr>
          <w:rFonts w:cs="宋体"/>
          <w:sz w:val="21"/>
          <w:szCs w:val="21"/>
        </w:rPr>
        <w:t>2.本套报表金额单位转换时可能存在尾数误差。</w:t>
      </w:r>
      <w:r>
        <w:rPr>
          <w:rFonts w:cs="宋体"/>
          <w:sz w:val="21"/>
          <w:szCs w:val="21"/>
        </w:rPr>
        <w:br w:type="textWrapping"/>
      </w:r>
      <w:r>
        <w:rPr>
          <w:rFonts w:cs="宋体"/>
          <w:sz w:val="21"/>
          <w:szCs w:val="21"/>
        </w:rPr>
        <w:br w:type="textWrapping"/>
      </w:r>
    </w:p>
    <w:p>
      <w:pPr>
        <w:rPr>
          <w:rFonts w:hint="default" w:cs="宋体"/>
          <w:sz w:val="21"/>
          <w:szCs w:val="21"/>
        </w:rPr>
      </w:pPr>
      <w:r>
        <w:rPr>
          <w:rFonts w:cs="宋体"/>
          <w:sz w:val="21"/>
          <w:szCs w:val="21"/>
        </w:rPr>
        <w:br w:type="page"/>
      </w:r>
    </w:p>
    <w:p>
      <w:pPr>
        <w:ind w:left="630" w:hanging="630" w:hangingChars="300"/>
        <w:rPr>
          <w:rFonts w:hint="default" w:cs="宋体"/>
          <w:sz w:val="21"/>
          <w:szCs w:val="21"/>
        </w:rPr>
      </w:pPr>
    </w:p>
    <w:tbl>
      <w:tblPr>
        <w:tblStyle w:val="7"/>
        <w:tblW w:w="22180" w:type="dxa"/>
        <w:tblInd w:w="0" w:type="dxa"/>
        <w:tblLayout w:type="fixed"/>
        <w:tblCellMar>
          <w:top w:w="0" w:type="dxa"/>
          <w:left w:w="0" w:type="dxa"/>
          <w:bottom w:w="0" w:type="dxa"/>
          <w:right w:w="0" w:type="dxa"/>
        </w:tblCellMar>
      </w:tblPr>
      <w:tblGrid>
        <w:gridCol w:w="2082"/>
        <w:gridCol w:w="3528"/>
        <w:gridCol w:w="2760"/>
        <w:gridCol w:w="2760"/>
        <w:gridCol w:w="2760"/>
        <w:gridCol w:w="2760"/>
        <w:gridCol w:w="2760"/>
        <w:gridCol w:w="2770"/>
      </w:tblGrid>
      <w:tr>
        <w:tblPrEx>
          <w:tblCellMar>
            <w:top w:w="0" w:type="dxa"/>
            <w:left w:w="0" w:type="dxa"/>
            <w:bottom w:w="0" w:type="dxa"/>
            <w:right w:w="0" w:type="dxa"/>
          </w:tblCellMar>
        </w:tblPrEx>
        <w:trPr>
          <w:trHeight w:val="654" w:hRule="atLeast"/>
        </w:trPr>
        <w:tc>
          <w:tcPr>
            <w:tcW w:w="22180" w:type="dxa"/>
            <w:gridSpan w:val="8"/>
            <w:tcBorders>
              <w:top w:val="nil"/>
              <w:left w:val="nil"/>
              <w:bottom w:val="nil"/>
              <w:right w:val="nil"/>
            </w:tcBorders>
            <w:tcMar>
              <w:top w:w="15" w:type="dxa"/>
              <w:left w:w="15" w:type="dxa"/>
              <w:right w:w="15" w:type="dxa"/>
            </w:tcMar>
            <w:vAlign w:val="bottom"/>
          </w:tcPr>
          <w:p>
            <w:pPr>
              <w:jc w:val="center"/>
              <w:textAlignment w:val="bottom"/>
              <w:rPr>
                <w:rFonts w:hint="default" w:cs="宋体"/>
                <w:b/>
                <w:color w:val="000000"/>
                <w:sz w:val="40"/>
                <w:szCs w:val="40"/>
              </w:rPr>
            </w:pPr>
            <w:r>
              <w:rPr>
                <w:rFonts w:cs="宋体"/>
                <w:b/>
                <w:color w:val="000000"/>
                <w:sz w:val="44"/>
                <w:szCs w:val="44"/>
              </w:rPr>
              <w:t>支出决算表</w:t>
            </w:r>
          </w:p>
        </w:tc>
      </w:tr>
      <w:tr>
        <w:tblPrEx>
          <w:tblCellMar>
            <w:top w:w="0" w:type="dxa"/>
            <w:left w:w="0" w:type="dxa"/>
            <w:bottom w:w="0" w:type="dxa"/>
            <w:right w:w="0" w:type="dxa"/>
          </w:tblCellMar>
        </w:tblPrEx>
        <w:trPr>
          <w:trHeight w:val="342" w:hRule="atLeast"/>
        </w:trPr>
        <w:tc>
          <w:tcPr>
            <w:tcW w:w="5610" w:type="dxa"/>
            <w:gridSpan w:val="2"/>
            <w:vMerge w:val="restart"/>
            <w:tcBorders>
              <w:top w:val="nil"/>
              <w:left w:val="nil"/>
              <w:right w:val="nil"/>
            </w:tcBorders>
            <w:tcMar>
              <w:top w:w="15" w:type="dxa"/>
              <w:left w:w="15" w:type="dxa"/>
              <w:right w:w="15" w:type="dxa"/>
            </w:tcMar>
            <w:vAlign w:val="bottom"/>
          </w:tcPr>
          <w:p>
            <w:pPr>
              <w:rPr>
                <w:rFonts w:hint="default" w:ascii="Arial" w:hAnsi="Arial" w:cs="Arial"/>
                <w:color w:val="000000"/>
                <w:sz w:val="20"/>
                <w:szCs w:val="20"/>
              </w:rPr>
            </w:pPr>
            <w:r>
              <w:rPr>
                <w:rFonts w:cs="宋体"/>
              </w:rPr>
              <w:t>公开单位</w:t>
            </w:r>
            <w:r>
              <w:rPr>
                <w:rFonts w:cs="宋体"/>
                <w:color w:val="000000"/>
              </w:rPr>
              <w:t xml:space="preserve">： </w:t>
            </w:r>
            <w:r>
              <w:rPr>
                <w:color w:val="000000"/>
              </w:rPr>
              <w:t xml:space="preserve">垫江县水土保持站 </w:t>
            </w:r>
          </w:p>
        </w:tc>
        <w:tc>
          <w:tcPr>
            <w:tcW w:w="2760"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2760"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2760"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2760"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2760"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2770" w:type="dxa"/>
            <w:tcBorders>
              <w:top w:val="nil"/>
              <w:left w:val="nil"/>
              <w:bottom w:val="nil"/>
              <w:right w:val="nil"/>
            </w:tcBorders>
            <w:tcMar>
              <w:top w:w="15" w:type="dxa"/>
              <w:left w:w="15" w:type="dxa"/>
              <w:right w:w="15" w:type="dxa"/>
            </w:tcMar>
            <w:vAlign w:val="bottom"/>
          </w:tcPr>
          <w:p>
            <w:pPr>
              <w:jc w:val="right"/>
              <w:textAlignment w:val="bottom"/>
              <w:rPr>
                <w:rFonts w:hint="default" w:cs="宋体"/>
                <w:color w:val="000000"/>
              </w:rPr>
            </w:pPr>
            <w:r>
              <w:rPr>
                <w:rFonts w:cs="宋体"/>
                <w:color w:val="000000"/>
              </w:rPr>
              <w:t>公开03表</w:t>
            </w:r>
          </w:p>
        </w:tc>
      </w:tr>
      <w:tr>
        <w:tblPrEx>
          <w:tblCellMar>
            <w:top w:w="0" w:type="dxa"/>
            <w:left w:w="0" w:type="dxa"/>
            <w:bottom w:w="0" w:type="dxa"/>
            <w:right w:w="0" w:type="dxa"/>
          </w:tblCellMar>
        </w:tblPrEx>
        <w:trPr>
          <w:trHeight w:val="342" w:hRule="atLeast"/>
        </w:trPr>
        <w:tc>
          <w:tcPr>
            <w:tcW w:w="5610" w:type="dxa"/>
            <w:gridSpan w:val="2"/>
            <w:vMerge w:val="continue"/>
            <w:tcBorders>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2760"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2760"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2760"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2760"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2760"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2770" w:type="dxa"/>
            <w:tcBorders>
              <w:top w:val="nil"/>
              <w:left w:val="nil"/>
              <w:bottom w:val="nil"/>
              <w:right w:val="nil"/>
            </w:tcBorders>
            <w:tcMar>
              <w:top w:w="15" w:type="dxa"/>
              <w:left w:w="15" w:type="dxa"/>
              <w:right w:w="15" w:type="dxa"/>
            </w:tcMar>
            <w:vAlign w:val="bottom"/>
          </w:tcPr>
          <w:p>
            <w:pPr>
              <w:jc w:val="right"/>
              <w:textAlignment w:val="bottom"/>
              <w:rPr>
                <w:rFonts w:hint="default" w:cs="宋体"/>
                <w:color w:val="000000"/>
              </w:rPr>
            </w:pPr>
            <w:r>
              <w:rPr>
                <w:rFonts w:cs="宋体"/>
                <w:color w:val="000000"/>
              </w:rPr>
              <w:t>单位：</w:t>
            </w:r>
            <w:r>
              <w:rPr>
                <w:rFonts w:cs="宋体"/>
              </w:rPr>
              <w:t>万元</w:t>
            </w:r>
          </w:p>
        </w:tc>
      </w:tr>
      <w:tr>
        <w:tblPrEx>
          <w:tblCellMar>
            <w:top w:w="0" w:type="dxa"/>
            <w:left w:w="0" w:type="dxa"/>
            <w:bottom w:w="0" w:type="dxa"/>
            <w:right w:w="0" w:type="dxa"/>
          </w:tblCellMar>
        </w:tblPrEx>
        <w:trPr>
          <w:trHeight w:val="362" w:hRule="atLeast"/>
        </w:trPr>
        <w:tc>
          <w:tcPr>
            <w:tcW w:w="5610" w:type="dxa"/>
            <w:gridSpan w:val="2"/>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pPr>
              <w:jc w:val="center"/>
              <w:textAlignment w:val="bottom"/>
              <w:rPr>
                <w:rFonts w:hint="default" w:cs="宋体"/>
                <w:b/>
                <w:color w:val="000000"/>
                <w:sz w:val="22"/>
                <w:szCs w:val="22"/>
              </w:rPr>
            </w:pPr>
            <w:r>
              <w:rPr>
                <w:rFonts w:cs="宋体"/>
                <w:b/>
                <w:color w:val="000000"/>
                <w:sz w:val="22"/>
                <w:szCs w:val="22"/>
              </w:rPr>
              <w:t>项目</w:t>
            </w:r>
          </w:p>
        </w:tc>
        <w:tc>
          <w:tcPr>
            <w:tcW w:w="276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本年支出合计</w:t>
            </w:r>
          </w:p>
        </w:tc>
        <w:tc>
          <w:tcPr>
            <w:tcW w:w="276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基本支出</w:t>
            </w:r>
          </w:p>
        </w:tc>
        <w:tc>
          <w:tcPr>
            <w:tcW w:w="276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项目支出</w:t>
            </w:r>
          </w:p>
        </w:tc>
        <w:tc>
          <w:tcPr>
            <w:tcW w:w="276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上缴上级支出</w:t>
            </w:r>
          </w:p>
        </w:tc>
        <w:tc>
          <w:tcPr>
            <w:tcW w:w="276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经营支出</w:t>
            </w:r>
          </w:p>
        </w:tc>
        <w:tc>
          <w:tcPr>
            <w:tcW w:w="277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对附属单位补助支出</w:t>
            </w:r>
          </w:p>
        </w:tc>
      </w:tr>
      <w:tr>
        <w:tblPrEx>
          <w:tblCellMar>
            <w:top w:w="0" w:type="dxa"/>
            <w:left w:w="0" w:type="dxa"/>
            <w:bottom w:w="0" w:type="dxa"/>
            <w:right w:w="0" w:type="dxa"/>
          </w:tblCellMar>
        </w:tblPrEx>
        <w:trPr>
          <w:trHeight w:val="338" w:hRule="atLeast"/>
        </w:trPr>
        <w:tc>
          <w:tcPr>
            <w:tcW w:w="2082"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功能分类科目编码</w:t>
            </w:r>
          </w:p>
        </w:tc>
        <w:tc>
          <w:tcPr>
            <w:tcW w:w="3528" w:type="dxa"/>
            <w:vMerge w:val="restart"/>
            <w:tcBorders>
              <w:top w:val="nil"/>
              <w:left w:val="nil"/>
              <w:bottom w:val="single" w:color="000000" w:sz="4" w:space="0"/>
              <w:right w:val="nil"/>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项目（按“项”级功能分类科目）</w:t>
            </w: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7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CellMar>
            <w:top w:w="0" w:type="dxa"/>
            <w:left w:w="0" w:type="dxa"/>
            <w:bottom w:w="0" w:type="dxa"/>
            <w:right w:w="0" w:type="dxa"/>
          </w:tblCellMar>
        </w:tblPrEx>
        <w:trPr>
          <w:trHeight w:val="338" w:hRule="atLeast"/>
        </w:trPr>
        <w:tc>
          <w:tcPr>
            <w:tcW w:w="2082"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3528" w:type="dxa"/>
            <w:vMerge w:val="continue"/>
            <w:tcBorders>
              <w:top w:val="nil"/>
              <w:left w:val="nil"/>
              <w:bottom w:val="single" w:color="000000" w:sz="4" w:space="0"/>
              <w:right w:val="nil"/>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7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CellMar>
            <w:top w:w="0" w:type="dxa"/>
            <w:left w:w="0" w:type="dxa"/>
            <w:bottom w:w="0" w:type="dxa"/>
            <w:right w:w="0" w:type="dxa"/>
          </w:tblCellMar>
        </w:tblPrEx>
        <w:trPr>
          <w:trHeight w:val="338" w:hRule="atLeast"/>
        </w:trPr>
        <w:tc>
          <w:tcPr>
            <w:tcW w:w="2082"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3528" w:type="dxa"/>
            <w:vMerge w:val="continue"/>
            <w:tcBorders>
              <w:top w:val="nil"/>
              <w:left w:val="nil"/>
              <w:bottom w:val="single" w:color="000000" w:sz="4" w:space="0"/>
              <w:right w:val="nil"/>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7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CellMar>
            <w:top w:w="0" w:type="dxa"/>
            <w:left w:w="0" w:type="dxa"/>
            <w:bottom w:w="0" w:type="dxa"/>
            <w:right w:w="0" w:type="dxa"/>
          </w:tblCellMar>
        </w:tblPrEx>
        <w:trPr>
          <w:trHeight w:val="338" w:hRule="atLeast"/>
        </w:trPr>
        <w:tc>
          <w:tcPr>
            <w:tcW w:w="2082"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3528" w:type="dxa"/>
            <w:vMerge w:val="continue"/>
            <w:tcBorders>
              <w:top w:val="nil"/>
              <w:left w:val="nil"/>
              <w:bottom w:val="single" w:color="000000" w:sz="4" w:space="0"/>
              <w:right w:val="nil"/>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6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7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CellMar>
            <w:top w:w="0" w:type="dxa"/>
            <w:left w:w="0" w:type="dxa"/>
            <w:bottom w:w="0" w:type="dxa"/>
            <w:right w:w="0" w:type="dxa"/>
          </w:tblCellMar>
        </w:tblPrEx>
        <w:trPr>
          <w:trHeight w:val="362" w:hRule="atLeast"/>
        </w:trPr>
        <w:tc>
          <w:tcPr>
            <w:tcW w:w="5610"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合计</w:t>
            </w:r>
          </w:p>
        </w:tc>
        <w:tc>
          <w:tcPr>
            <w:tcW w:w="2760"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164.10 </w:t>
            </w:r>
          </w:p>
        </w:tc>
        <w:tc>
          <w:tcPr>
            <w:tcW w:w="2760"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159.16 </w:t>
            </w:r>
          </w:p>
        </w:tc>
        <w:tc>
          <w:tcPr>
            <w:tcW w:w="2760"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4.94 </w:t>
            </w:r>
          </w:p>
        </w:tc>
        <w:tc>
          <w:tcPr>
            <w:tcW w:w="2760"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 </w:t>
            </w:r>
          </w:p>
        </w:tc>
        <w:tc>
          <w:tcPr>
            <w:tcW w:w="2760"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 </w:t>
            </w:r>
          </w:p>
        </w:tc>
        <w:tc>
          <w:tcPr>
            <w:tcW w:w="2770"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 </w:t>
            </w:r>
          </w:p>
        </w:tc>
      </w:tr>
      <w:tr>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205</w:t>
            </w:r>
          </w:p>
        </w:tc>
        <w:tc>
          <w:tcPr>
            <w:tcW w:w="3528"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教育支出</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0.12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0.12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20508</w:t>
            </w:r>
          </w:p>
        </w:tc>
        <w:tc>
          <w:tcPr>
            <w:tcW w:w="3528"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进修及培训</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0.12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0.12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2050803</w:t>
            </w:r>
          </w:p>
        </w:tc>
        <w:tc>
          <w:tcPr>
            <w:tcW w:w="3528"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培训支出</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0.12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0.12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208</w:t>
            </w:r>
          </w:p>
        </w:tc>
        <w:tc>
          <w:tcPr>
            <w:tcW w:w="3528"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社会保障和就业支出</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16.75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16.75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20805</w:t>
            </w:r>
          </w:p>
        </w:tc>
        <w:tc>
          <w:tcPr>
            <w:tcW w:w="3528"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行政事业单位养老支出</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16.75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16.75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2080505</w:t>
            </w:r>
          </w:p>
        </w:tc>
        <w:tc>
          <w:tcPr>
            <w:tcW w:w="3528"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机关事业单位基本养老保险缴费支出</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7.61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7.61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2080506</w:t>
            </w:r>
          </w:p>
        </w:tc>
        <w:tc>
          <w:tcPr>
            <w:tcW w:w="3528"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机关事业单位职业年金缴费支出</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3.80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3.80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2080599</w:t>
            </w:r>
          </w:p>
        </w:tc>
        <w:tc>
          <w:tcPr>
            <w:tcW w:w="3528"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其他行政事业单位养老支出</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5.34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5.34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210</w:t>
            </w:r>
          </w:p>
        </w:tc>
        <w:tc>
          <w:tcPr>
            <w:tcW w:w="3528"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卫生健康支出</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4.41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4.41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21011</w:t>
            </w:r>
          </w:p>
        </w:tc>
        <w:tc>
          <w:tcPr>
            <w:tcW w:w="3528"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行政事业单位医疗</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4.41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4.41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2101102</w:t>
            </w:r>
          </w:p>
        </w:tc>
        <w:tc>
          <w:tcPr>
            <w:tcW w:w="3528"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事业单位医疗</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4.41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4.41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213</w:t>
            </w:r>
          </w:p>
        </w:tc>
        <w:tc>
          <w:tcPr>
            <w:tcW w:w="3528"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农林水支出</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135.10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130.16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4.94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21303</w:t>
            </w:r>
          </w:p>
        </w:tc>
        <w:tc>
          <w:tcPr>
            <w:tcW w:w="3528"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水利</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135.10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130.16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4.94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2130310</w:t>
            </w:r>
          </w:p>
        </w:tc>
        <w:tc>
          <w:tcPr>
            <w:tcW w:w="3528"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水土保持</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135.10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130.16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4.94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221</w:t>
            </w:r>
          </w:p>
        </w:tc>
        <w:tc>
          <w:tcPr>
            <w:tcW w:w="3528"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住房保障支出</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7.73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7.73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22102</w:t>
            </w:r>
          </w:p>
        </w:tc>
        <w:tc>
          <w:tcPr>
            <w:tcW w:w="3528"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住房改革支出</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7.73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b/>
                <w:color w:val="000000"/>
                <w:sz w:val="21"/>
                <w:szCs w:val="21"/>
              </w:rPr>
              <w:t xml:space="preserve">7.73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r>
        <w:tblPrEx>
          <w:tblCellMar>
            <w:top w:w="0" w:type="dxa"/>
            <w:left w:w="0" w:type="dxa"/>
            <w:bottom w:w="0" w:type="dxa"/>
            <w:right w:w="0" w:type="dxa"/>
          </w:tblCellMar>
        </w:tblPrEx>
        <w:trPr>
          <w:trHeight w:val="382" w:hRule="atLeast"/>
        </w:trPr>
        <w:tc>
          <w:tcPr>
            <w:tcW w:w="2082"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2210201</w:t>
            </w:r>
          </w:p>
        </w:tc>
        <w:tc>
          <w:tcPr>
            <w:tcW w:w="3528"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住房公积金</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7.73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7.73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6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c>
          <w:tcPr>
            <w:tcW w:w="277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18"/>
                <w:szCs w:val="18"/>
              </w:rPr>
            </w:pPr>
            <w:r>
              <w:rPr>
                <w:rFonts w:cs="宋体"/>
                <w:color w:val="000000"/>
                <w:sz w:val="21"/>
                <w:szCs w:val="21"/>
              </w:rPr>
              <w:t xml:space="preserve"> </w:t>
            </w:r>
          </w:p>
        </w:tc>
      </w:tr>
    </w:tbl>
    <w:p>
      <w:pPr>
        <w:rPr>
          <w:rFonts w:hint="default" w:cs="宋体"/>
          <w:sz w:val="21"/>
          <w:szCs w:val="21"/>
        </w:rPr>
      </w:pPr>
      <w:r>
        <w:rPr>
          <w:rFonts w:cs="宋体"/>
          <w:sz w:val="21"/>
          <w:szCs w:val="21"/>
        </w:rPr>
        <w:t>备注：1.本表反映单位本年度各项支出情况。</w:t>
      </w:r>
      <w:r>
        <w:rPr>
          <w:rFonts w:cs="宋体"/>
          <w:sz w:val="21"/>
          <w:szCs w:val="21"/>
        </w:rPr>
        <w:br w:type="textWrapping"/>
      </w:r>
      <w:r>
        <w:rPr>
          <w:rFonts w:cs="宋体"/>
          <w:sz w:val="21"/>
          <w:szCs w:val="21"/>
        </w:rPr>
        <w:t xml:space="preserve">      2.本套报表金额单位转换时可能存在尾数误差。</w:t>
      </w:r>
      <w:r>
        <w:rPr>
          <w:rFonts w:cs="宋体"/>
          <w:sz w:val="21"/>
          <w:szCs w:val="21"/>
        </w:rPr>
        <w:br w:type="textWrapping"/>
      </w:r>
      <w:r>
        <w:rPr>
          <w:rFonts w:cs="宋体"/>
          <w:sz w:val="21"/>
          <w:szCs w:val="21"/>
        </w:rPr>
        <w:br w:type="textWrapping"/>
      </w:r>
    </w:p>
    <w:p>
      <w:pPr>
        <w:rPr>
          <w:rFonts w:hint="default" w:cs="宋体"/>
          <w:sz w:val="21"/>
          <w:szCs w:val="21"/>
        </w:rPr>
      </w:pPr>
      <w:r>
        <w:rPr>
          <w:rFonts w:cs="宋体"/>
          <w:sz w:val="21"/>
          <w:szCs w:val="21"/>
        </w:rPr>
        <w:br w:type="page"/>
      </w:r>
    </w:p>
    <w:p>
      <w:pPr>
        <w:rPr>
          <w:rFonts w:hint="default" w:cs="宋体"/>
          <w:sz w:val="21"/>
          <w:szCs w:val="21"/>
        </w:rPr>
      </w:pPr>
    </w:p>
    <w:tbl>
      <w:tblPr>
        <w:tblStyle w:val="7"/>
        <w:tblW w:w="22360" w:type="dxa"/>
        <w:tblInd w:w="0" w:type="dxa"/>
        <w:tblLayout w:type="fixed"/>
        <w:tblCellMar>
          <w:top w:w="0" w:type="dxa"/>
          <w:left w:w="0" w:type="dxa"/>
          <w:bottom w:w="0" w:type="dxa"/>
          <w:right w:w="0" w:type="dxa"/>
        </w:tblCellMar>
      </w:tblPr>
      <w:tblGrid>
        <w:gridCol w:w="4068"/>
        <w:gridCol w:w="2674"/>
        <w:gridCol w:w="3752"/>
        <w:gridCol w:w="2952"/>
        <w:gridCol w:w="2952"/>
        <w:gridCol w:w="2952"/>
        <w:gridCol w:w="3010"/>
      </w:tblGrid>
      <w:tr>
        <w:tblPrEx>
          <w:tblCellMar>
            <w:top w:w="0" w:type="dxa"/>
            <w:left w:w="0" w:type="dxa"/>
            <w:bottom w:w="0" w:type="dxa"/>
            <w:right w:w="0" w:type="dxa"/>
          </w:tblCellMar>
        </w:tblPrEx>
        <w:trPr>
          <w:trHeight w:val="90" w:hRule="atLeast"/>
        </w:trPr>
        <w:tc>
          <w:tcPr>
            <w:tcW w:w="22360" w:type="dxa"/>
            <w:gridSpan w:val="7"/>
            <w:tcBorders>
              <w:top w:val="nil"/>
              <w:left w:val="nil"/>
              <w:bottom w:val="nil"/>
              <w:right w:val="nil"/>
            </w:tcBorders>
            <w:tcMar>
              <w:top w:w="15" w:type="dxa"/>
              <w:left w:w="15" w:type="dxa"/>
              <w:right w:w="15" w:type="dxa"/>
            </w:tcMar>
            <w:vAlign w:val="bottom"/>
          </w:tcPr>
          <w:p>
            <w:pPr>
              <w:jc w:val="center"/>
              <w:textAlignment w:val="bottom"/>
              <w:rPr>
                <w:rFonts w:hint="default" w:cs="宋体"/>
                <w:b/>
                <w:color w:val="000000"/>
                <w:sz w:val="40"/>
                <w:szCs w:val="40"/>
              </w:rPr>
            </w:pPr>
            <w:r>
              <w:rPr>
                <w:rFonts w:cs="宋体"/>
                <w:b/>
                <w:color w:val="000000"/>
                <w:sz w:val="44"/>
                <w:szCs w:val="44"/>
              </w:rPr>
              <w:t>财政拨款收入支出决算总表</w:t>
            </w:r>
          </w:p>
        </w:tc>
      </w:tr>
      <w:tr>
        <w:tblPrEx>
          <w:tblCellMar>
            <w:top w:w="0" w:type="dxa"/>
            <w:left w:w="0" w:type="dxa"/>
            <w:bottom w:w="0" w:type="dxa"/>
            <w:right w:w="0" w:type="dxa"/>
          </w:tblCellMar>
        </w:tblPrEx>
        <w:trPr>
          <w:trHeight w:val="90" w:hRule="atLeast"/>
        </w:trPr>
        <w:tc>
          <w:tcPr>
            <w:tcW w:w="6742" w:type="dxa"/>
            <w:gridSpan w:val="2"/>
            <w:vMerge w:val="restart"/>
            <w:tcBorders>
              <w:top w:val="nil"/>
              <w:left w:val="nil"/>
              <w:right w:val="nil"/>
            </w:tcBorders>
            <w:tcMar>
              <w:top w:w="15" w:type="dxa"/>
              <w:left w:w="15" w:type="dxa"/>
              <w:right w:w="15" w:type="dxa"/>
            </w:tcMar>
            <w:vAlign w:val="bottom"/>
          </w:tcPr>
          <w:p>
            <w:pPr>
              <w:rPr>
                <w:rFonts w:hint="default" w:ascii="Arial" w:hAnsi="Arial" w:cs="Arial"/>
                <w:color w:val="000000"/>
                <w:sz w:val="22"/>
                <w:szCs w:val="22"/>
              </w:rPr>
            </w:pPr>
            <w:r>
              <w:rPr>
                <w:rFonts w:cs="宋体"/>
              </w:rPr>
              <w:t>公开单位</w:t>
            </w:r>
            <w:r>
              <w:rPr>
                <w:rFonts w:cs="宋体"/>
                <w:color w:val="000000"/>
              </w:rPr>
              <w:t xml:space="preserve">： </w:t>
            </w:r>
            <w:r>
              <w:rPr>
                <w:color w:val="000000"/>
              </w:rPr>
              <w:t>垫江县水土保持站</w:t>
            </w:r>
          </w:p>
        </w:tc>
        <w:tc>
          <w:tcPr>
            <w:tcW w:w="3752"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2952"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2952"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2952"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3010" w:type="dxa"/>
            <w:tcBorders>
              <w:top w:val="nil"/>
              <w:left w:val="nil"/>
              <w:bottom w:val="nil"/>
              <w:right w:val="nil"/>
            </w:tcBorders>
            <w:tcMar>
              <w:top w:w="15" w:type="dxa"/>
              <w:left w:w="15" w:type="dxa"/>
              <w:right w:w="15" w:type="dxa"/>
            </w:tcMar>
            <w:vAlign w:val="bottom"/>
          </w:tcPr>
          <w:p>
            <w:pPr>
              <w:jc w:val="right"/>
              <w:textAlignment w:val="bottom"/>
              <w:rPr>
                <w:rFonts w:hint="default" w:cs="宋体"/>
                <w:color w:val="000000"/>
              </w:rPr>
            </w:pPr>
            <w:r>
              <w:rPr>
                <w:rFonts w:cs="宋体"/>
                <w:color w:val="000000"/>
              </w:rPr>
              <w:t>公开04表</w:t>
            </w:r>
          </w:p>
        </w:tc>
      </w:tr>
      <w:tr>
        <w:tblPrEx>
          <w:tblCellMar>
            <w:top w:w="0" w:type="dxa"/>
            <w:left w:w="0" w:type="dxa"/>
            <w:bottom w:w="0" w:type="dxa"/>
            <w:right w:w="0" w:type="dxa"/>
          </w:tblCellMar>
        </w:tblPrEx>
        <w:trPr>
          <w:trHeight w:val="90" w:hRule="atLeast"/>
        </w:trPr>
        <w:tc>
          <w:tcPr>
            <w:tcW w:w="6742" w:type="dxa"/>
            <w:gridSpan w:val="2"/>
            <w:vMerge w:val="continue"/>
            <w:tcBorders>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3752"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2952"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2952"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2952"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3010" w:type="dxa"/>
            <w:tcBorders>
              <w:top w:val="nil"/>
              <w:left w:val="nil"/>
              <w:bottom w:val="nil"/>
              <w:right w:val="nil"/>
            </w:tcBorders>
            <w:tcMar>
              <w:top w:w="15" w:type="dxa"/>
              <w:left w:w="15" w:type="dxa"/>
              <w:right w:w="15" w:type="dxa"/>
            </w:tcMar>
            <w:vAlign w:val="bottom"/>
          </w:tcPr>
          <w:p>
            <w:pPr>
              <w:jc w:val="right"/>
              <w:textAlignment w:val="bottom"/>
              <w:rPr>
                <w:rFonts w:hint="default" w:cs="宋体"/>
                <w:color w:val="000000"/>
              </w:rPr>
            </w:pPr>
            <w:r>
              <w:rPr>
                <w:rFonts w:cs="宋体"/>
                <w:color w:val="000000"/>
              </w:rPr>
              <w:t>单位：</w:t>
            </w:r>
            <w:r>
              <w:rPr>
                <w:rFonts w:cs="宋体"/>
              </w:rPr>
              <w:t>万元</w:t>
            </w:r>
          </w:p>
        </w:tc>
      </w:tr>
      <w:tr>
        <w:tblPrEx>
          <w:tblCellMar>
            <w:top w:w="0" w:type="dxa"/>
            <w:left w:w="0" w:type="dxa"/>
            <w:bottom w:w="0" w:type="dxa"/>
            <w:right w:w="0" w:type="dxa"/>
          </w:tblCellMar>
        </w:tblPrEx>
        <w:trPr>
          <w:trHeight w:val="90" w:hRule="atLeast"/>
        </w:trPr>
        <w:tc>
          <w:tcPr>
            <w:tcW w:w="6742"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收     入</w:t>
            </w:r>
          </w:p>
        </w:tc>
        <w:tc>
          <w:tcPr>
            <w:tcW w:w="15618" w:type="dxa"/>
            <w:gridSpan w:val="5"/>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支     出</w:t>
            </w:r>
          </w:p>
        </w:tc>
      </w:tr>
      <w:tr>
        <w:tblPrEx>
          <w:tblCellMar>
            <w:top w:w="0" w:type="dxa"/>
            <w:left w:w="0" w:type="dxa"/>
            <w:bottom w:w="0" w:type="dxa"/>
            <w:right w:w="0" w:type="dxa"/>
          </w:tblCellMar>
        </w:tblPrEx>
        <w:trPr>
          <w:trHeight w:val="90" w:hRule="atLeast"/>
        </w:trPr>
        <w:tc>
          <w:tcPr>
            <w:tcW w:w="4068"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项目</w:t>
            </w:r>
          </w:p>
        </w:tc>
        <w:tc>
          <w:tcPr>
            <w:tcW w:w="2674"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决算数</w:t>
            </w:r>
          </w:p>
        </w:tc>
        <w:tc>
          <w:tcPr>
            <w:tcW w:w="3752"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功能分类科目</w:t>
            </w:r>
          </w:p>
        </w:tc>
        <w:tc>
          <w:tcPr>
            <w:tcW w:w="11866" w:type="dxa"/>
            <w:gridSpan w:val="4"/>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决算数</w:t>
            </w:r>
          </w:p>
        </w:tc>
      </w:tr>
      <w:tr>
        <w:tblPrEx>
          <w:tblCellMar>
            <w:top w:w="0" w:type="dxa"/>
            <w:left w:w="0" w:type="dxa"/>
            <w:bottom w:w="0" w:type="dxa"/>
            <w:right w:w="0" w:type="dxa"/>
          </w:tblCellMar>
        </w:tblPrEx>
        <w:trPr>
          <w:trHeight w:val="90" w:hRule="atLeast"/>
        </w:trPr>
        <w:tc>
          <w:tcPr>
            <w:tcW w:w="4068"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674"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3752"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小计</w:t>
            </w:r>
          </w:p>
        </w:tc>
        <w:tc>
          <w:tcPr>
            <w:tcW w:w="29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一般公共预算财政拨款</w:t>
            </w:r>
          </w:p>
        </w:tc>
        <w:tc>
          <w:tcPr>
            <w:tcW w:w="29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政府性基金预算财政拨款</w:t>
            </w:r>
          </w:p>
        </w:tc>
        <w:tc>
          <w:tcPr>
            <w:tcW w:w="301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国有资本经营预算财政拨款</w:t>
            </w:r>
          </w:p>
        </w:tc>
      </w:tr>
      <w:tr>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一、一般公共预算财政拨款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159.07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一、一般公共服务支出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二、政府性基金预算财政拨款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二、外交支出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三、国有资本经营预算财政拨款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三、国防支出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四、公共安全支出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五、教育支出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0.12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0.12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六、科学技术支出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七、文化旅游体育与传媒支出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八、社会保障和就业支出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16.75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16.75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九、卫生健康支出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4.41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4.41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十、节能环保支出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十一、城乡社区支出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十二、农林水支出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130.07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130.07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十三、交通运输支出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十四、资源勘探工业信息等支出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十五、商业服务业等支出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十六、金融支出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十七、援助其他地区支出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十八、自然资源海洋气象等支出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十九、住房保障支出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7.73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7.73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二十、粮油物资储备支出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二十一、国有资本经营预算支出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二十二、灾害防治及应急管理支出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cs="宋体"/>
                <w:color w:val="000000"/>
                <w:sz w:val="22"/>
                <w:szCs w:val="22"/>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二十三、其他支出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pPr>
              <w:rPr>
                <w:rFonts w:hint="default" w:ascii="Arial" w:hAnsi="Arial" w:cs="Arial"/>
                <w:color w:val="000000"/>
                <w:sz w:val="20"/>
                <w:szCs w:val="20"/>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二十四、债务还本支出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pPr>
              <w:rPr>
                <w:rFonts w:hint="default" w:ascii="Arial" w:hAnsi="Arial" w:cs="Arial"/>
                <w:color w:val="000000"/>
                <w:sz w:val="20"/>
                <w:szCs w:val="20"/>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二十五、债务付息支出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pPr>
              <w:rPr>
                <w:rFonts w:hint="default" w:ascii="Arial" w:hAnsi="Arial" w:cs="Arial"/>
                <w:color w:val="000000"/>
                <w:sz w:val="20"/>
                <w:szCs w:val="20"/>
              </w:rPr>
            </w:pP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right"/>
              <w:rPr>
                <w:rFonts w:hint="default" w:ascii="Arial" w:hAnsi="Arial" w:cs="Arial"/>
                <w:color w:val="000000"/>
                <w:sz w:val="20"/>
                <w:szCs w:val="20"/>
              </w:rPr>
            </w:pP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二十六、抗疫特别国债安排的支出</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本年收入合计</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159.07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本年支出合计</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159.07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159.07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年初财政拨款结转和结余</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0.01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年末财政拨款结转和结余</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一般公共预算财政拨款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0.01 </w:t>
            </w:r>
          </w:p>
        </w:tc>
        <w:tc>
          <w:tcPr>
            <w:tcW w:w="3752" w:type="dxa"/>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pPr>
              <w:rPr>
                <w:rFonts w:hint="default" w:ascii="Arial" w:hAnsi="Arial" w:cs="Arial"/>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rPr>
                <w:rFonts w:hint="default" w:ascii="Arial" w:hAnsi="Arial" w:cs="Arial"/>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rPr>
                <w:rFonts w:hint="default" w:ascii="Arial" w:hAnsi="Arial" w:cs="Arial"/>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rPr>
                <w:rFonts w:hint="default" w:ascii="Arial" w:hAnsi="Arial" w:cs="Arial"/>
                <w:color w:val="000000"/>
                <w:sz w:val="20"/>
                <w:szCs w:val="20"/>
              </w:rPr>
            </w:pP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rPr>
                <w:rFonts w:hint="default" w:ascii="Arial" w:hAnsi="Arial" w:cs="Arial"/>
                <w:color w:val="000000"/>
                <w:sz w:val="20"/>
                <w:szCs w:val="20"/>
              </w:rPr>
            </w:pPr>
          </w:p>
        </w:tc>
      </w:tr>
      <w:tr>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政府性基金预算财政拨款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right"/>
              <w:rPr>
                <w:rFonts w:hint="default" w:cs="宋体"/>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right"/>
              <w:rPr>
                <w:rFonts w:hint="default" w:cs="宋体"/>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right"/>
              <w:rPr>
                <w:rFonts w:hint="default" w:cs="宋体"/>
                <w:color w:val="000000"/>
                <w:sz w:val="20"/>
                <w:szCs w:val="20"/>
              </w:rPr>
            </w:pP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right"/>
              <w:rPr>
                <w:rFonts w:hint="default" w:cs="宋体"/>
                <w:color w:val="000000"/>
                <w:sz w:val="22"/>
                <w:szCs w:val="22"/>
              </w:rPr>
            </w:pPr>
          </w:p>
        </w:tc>
      </w:tr>
      <w:tr>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国有资本经营预算财政拨款</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right"/>
              <w:rPr>
                <w:rFonts w:hint="default" w:cs="宋体"/>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right"/>
              <w:rPr>
                <w:rFonts w:hint="default" w:cs="宋体"/>
                <w:color w:val="000000"/>
                <w:sz w:val="20"/>
                <w:szCs w:val="20"/>
              </w:rPr>
            </w:pP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right"/>
              <w:rPr>
                <w:rFonts w:hint="default" w:cs="宋体"/>
                <w:color w:val="000000"/>
                <w:sz w:val="20"/>
                <w:szCs w:val="20"/>
              </w:rPr>
            </w:pP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right"/>
              <w:rPr>
                <w:rFonts w:hint="default" w:cs="宋体"/>
                <w:color w:val="000000"/>
                <w:sz w:val="22"/>
                <w:szCs w:val="22"/>
              </w:rPr>
            </w:pPr>
          </w:p>
        </w:tc>
      </w:tr>
      <w:tr>
        <w:tblPrEx>
          <w:tblCellMar>
            <w:top w:w="0" w:type="dxa"/>
            <w:left w:w="0" w:type="dxa"/>
            <w:bottom w:w="0" w:type="dxa"/>
            <w:right w:w="0" w:type="dxa"/>
          </w:tblCellMar>
        </w:tblPrEx>
        <w:trPr>
          <w:trHeight w:val="90" w:hRule="atLeast"/>
        </w:trPr>
        <w:tc>
          <w:tcPr>
            <w:tcW w:w="4068"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总计</w:t>
            </w:r>
          </w:p>
        </w:tc>
        <w:tc>
          <w:tcPr>
            <w:tcW w:w="267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159.07 </w:t>
            </w:r>
          </w:p>
        </w:tc>
        <w:tc>
          <w:tcPr>
            <w:tcW w:w="375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总计</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1"/>
                <w:szCs w:val="21"/>
              </w:rPr>
              <w:t xml:space="preserve">159.07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1"/>
                <w:szCs w:val="21"/>
              </w:rPr>
              <w:t xml:space="preserve">159.07 </w:t>
            </w:r>
          </w:p>
        </w:tc>
        <w:tc>
          <w:tcPr>
            <w:tcW w:w="2952"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1"/>
                <w:szCs w:val="21"/>
              </w:rPr>
              <w:t xml:space="preserve"> </w:t>
            </w:r>
          </w:p>
        </w:tc>
        <w:tc>
          <w:tcPr>
            <w:tcW w:w="301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bl>
    <w:p>
      <w:pPr>
        <w:rPr>
          <w:rFonts w:hint="default" w:cs="宋体"/>
          <w:sz w:val="21"/>
          <w:szCs w:val="21"/>
        </w:rPr>
      </w:pPr>
      <w:r>
        <w:rPr>
          <w:rFonts w:cs="宋体"/>
          <w:sz w:val="21"/>
          <w:szCs w:val="21"/>
        </w:rPr>
        <w:t>备注：1.本表反映单位本年度一般公共预算财政拨款、政府性基金预算财政拨款及国有资本经营预算财政拨款的总收支和年末结转结余情况。</w:t>
      </w:r>
      <w:r>
        <w:rPr>
          <w:rFonts w:cs="宋体"/>
          <w:sz w:val="21"/>
          <w:szCs w:val="21"/>
        </w:rPr>
        <w:br w:type="textWrapping"/>
      </w:r>
      <w:r>
        <w:rPr>
          <w:rFonts w:cs="宋体"/>
          <w:sz w:val="21"/>
          <w:szCs w:val="21"/>
        </w:rPr>
        <w:t xml:space="preserve">      2.本套报表金额单位转换时可能存在尾数误差。</w:t>
      </w:r>
      <w:r>
        <w:rPr>
          <w:rFonts w:cs="宋体"/>
          <w:sz w:val="21"/>
          <w:szCs w:val="21"/>
        </w:rPr>
        <w:br w:type="textWrapping"/>
      </w:r>
      <w:r>
        <w:rPr>
          <w:rFonts w:cs="宋体"/>
          <w:sz w:val="21"/>
          <w:szCs w:val="21"/>
        </w:rPr>
        <w:br w:type="textWrapping"/>
      </w:r>
    </w:p>
    <w:p>
      <w:pPr>
        <w:rPr>
          <w:rFonts w:hint="default" w:cs="宋体"/>
          <w:sz w:val="21"/>
          <w:szCs w:val="21"/>
        </w:rPr>
      </w:pPr>
      <w:r>
        <w:rPr>
          <w:rFonts w:cs="宋体"/>
          <w:sz w:val="21"/>
          <w:szCs w:val="21"/>
        </w:rPr>
        <w:br w:type="page"/>
      </w:r>
    </w:p>
    <w:tbl>
      <w:tblPr>
        <w:tblStyle w:val="7"/>
        <w:tblW w:w="22300" w:type="dxa"/>
        <w:tblInd w:w="0" w:type="dxa"/>
        <w:tblLayout w:type="fixed"/>
        <w:tblCellMar>
          <w:top w:w="0" w:type="dxa"/>
          <w:left w:w="0" w:type="dxa"/>
          <w:bottom w:w="0" w:type="dxa"/>
          <w:right w:w="0" w:type="dxa"/>
        </w:tblCellMar>
      </w:tblPr>
      <w:tblGrid>
        <w:gridCol w:w="2694"/>
        <w:gridCol w:w="5151"/>
        <w:gridCol w:w="4817"/>
        <w:gridCol w:w="4817"/>
        <w:gridCol w:w="4821"/>
      </w:tblGrid>
      <w:tr>
        <w:tblPrEx>
          <w:tblCellMar>
            <w:top w:w="0" w:type="dxa"/>
            <w:left w:w="0" w:type="dxa"/>
            <w:bottom w:w="0" w:type="dxa"/>
            <w:right w:w="0" w:type="dxa"/>
          </w:tblCellMar>
        </w:tblPrEx>
        <w:trPr>
          <w:trHeight w:val="510" w:hRule="atLeast"/>
        </w:trPr>
        <w:tc>
          <w:tcPr>
            <w:tcW w:w="22300" w:type="dxa"/>
            <w:gridSpan w:val="5"/>
            <w:tcBorders>
              <w:top w:val="nil"/>
              <w:left w:val="nil"/>
              <w:bottom w:val="nil"/>
              <w:right w:val="nil"/>
            </w:tcBorders>
            <w:tcMar>
              <w:top w:w="15" w:type="dxa"/>
              <w:left w:w="15" w:type="dxa"/>
              <w:right w:w="15" w:type="dxa"/>
            </w:tcMar>
            <w:vAlign w:val="bottom"/>
          </w:tcPr>
          <w:p>
            <w:pPr>
              <w:jc w:val="center"/>
              <w:textAlignment w:val="bottom"/>
              <w:rPr>
                <w:rFonts w:hint="default" w:cs="宋体"/>
                <w:b/>
                <w:color w:val="000000"/>
                <w:sz w:val="40"/>
                <w:szCs w:val="40"/>
              </w:rPr>
            </w:pPr>
            <w:r>
              <w:rPr>
                <w:rFonts w:cs="宋体"/>
                <w:b/>
                <w:color w:val="000000"/>
                <w:sz w:val="44"/>
                <w:szCs w:val="44"/>
              </w:rPr>
              <w:t>一般公共预算财政拨款支出决算表</w:t>
            </w:r>
          </w:p>
        </w:tc>
      </w:tr>
      <w:tr>
        <w:tblPrEx>
          <w:tblCellMar>
            <w:top w:w="0" w:type="dxa"/>
            <w:left w:w="0" w:type="dxa"/>
            <w:bottom w:w="0" w:type="dxa"/>
            <w:right w:w="0" w:type="dxa"/>
          </w:tblCellMar>
        </w:tblPrEx>
        <w:trPr>
          <w:trHeight w:val="255" w:hRule="atLeast"/>
        </w:trPr>
        <w:tc>
          <w:tcPr>
            <w:tcW w:w="7845" w:type="dxa"/>
            <w:gridSpan w:val="2"/>
            <w:vMerge w:val="restart"/>
            <w:tcBorders>
              <w:top w:val="nil"/>
              <w:left w:val="nil"/>
              <w:right w:val="nil"/>
            </w:tcBorders>
            <w:tcMar>
              <w:top w:w="15" w:type="dxa"/>
              <w:left w:w="15" w:type="dxa"/>
              <w:right w:w="15" w:type="dxa"/>
            </w:tcMar>
            <w:vAlign w:val="bottom"/>
          </w:tcPr>
          <w:p>
            <w:pPr>
              <w:rPr>
                <w:rFonts w:hint="default" w:ascii="Arial" w:hAnsi="Arial" w:cs="Arial"/>
                <w:color w:val="000000"/>
                <w:sz w:val="20"/>
                <w:szCs w:val="20"/>
              </w:rPr>
            </w:pPr>
            <w:r>
              <w:rPr>
                <w:rFonts w:cs="宋体"/>
              </w:rPr>
              <w:t>公开单位</w:t>
            </w:r>
            <w:r>
              <w:rPr>
                <w:rFonts w:cs="宋体"/>
                <w:color w:val="000000"/>
              </w:rPr>
              <w:t xml:space="preserve">： </w:t>
            </w:r>
            <w:r>
              <w:rPr>
                <w:color w:val="000000"/>
              </w:rPr>
              <w:t>垫江县水土保持站</w:t>
            </w:r>
          </w:p>
        </w:tc>
        <w:tc>
          <w:tcPr>
            <w:tcW w:w="4817"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4817"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4821" w:type="dxa"/>
            <w:tcBorders>
              <w:top w:val="nil"/>
              <w:left w:val="nil"/>
              <w:bottom w:val="nil"/>
              <w:right w:val="nil"/>
            </w:tcBorders>
            <w:tcMar>
              <w:top w:w="15" w:type="dxa"/>
              <w:left w:w="15" w:type="dxa"/>
              <w:right w:w="15" w:type="dxa"/>
            </w:tcMar>
            <w:vAlign w:val="bottom"/>
          </w:tcPr>
          <w:p>
            <w:pPr>
              <w:jc w:val="right"/>
              <w:textAlignment w:val="bottom"/>
              <w:rPr>
                <w:rFonts w:hint="default" w:cs="宋体"/>
                <w:color w:val="000000"/>
              </w:rPr>
            </w:pPr>
            <w:r>
              <w:rPr>
                <w:rFonts w:cs="宋体"/>
                <w:color w:val="000000"/>
              </w:rPr>
              <w:t>公开05表</w:t>
            </w:r>
          </w:p>
        </w:tc>
      </w:tr>
      <w:tr>
        <w:tblPrEx>
          <w:tblCellMar>
            <w:top w:w="0" w:type="dxa"/>
            <w:left w:w="0" w:type="dxa"/>
            <w:bottom w:w="0" w:type="dxa"/>
            <w:right w:w="0" w:type="dxa"/>
          </w:tblCellMar>
        </w:tblPrEx>
        <w:trPr>
          <w:trHeight w:val="285" w:hRule="atLeast"/>
        </w:trPr>
        <w:tc>
          <w:tcPr>
            <w:tcW w:w="7845" w:type="dxa"/>
            <w:gridSpan w:val="2"/>
            <w:vMerge w:val="continue"/>
            <w:tcBorders>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4817"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4817"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4821" w:type="dxa"/>
            <w:tcBorders>
              <w:top w:val="nil"/>
              <w:left w:val="nil"/>
              <w:bottom w:val="nil"/>
              <w:right w:val="nil"/>
            </w:tcBorders>
            <w:tcMar>
              <w:top w:w="15" w:type="dxa"/>
              <w:left w:w="15" w:type="dxa"/>
              <w:right w:w="15" w:type="dxa"/>
            </w:tcMar>
            <w:vAlign w:val="bottom"/>
          </w:tcPr>
          <w:p>
            <w:pPr>
              <w:jc w:val="right"/>
              <w:textAlignment w:val="bottom"/>
              <w:rPr>
                <w:rFonts w:hint="default" w:cs="宋体"/>
                <w:color w:val="000000"/>
              </w:rPr>
            </w:pPr>
            <w:r>
              <w:rPr>
                <w:rFonts w:cs="宋体"/>
                <w:color w:val="000000"/>
              </w:rPr>
              <w:t>单位：</w:t>
            </w:r>
            <w:r>
              <w:rPr>
                <w:rFonts w:cs="宋体"/>
              </w:rPr>
              <w:t>万元</w:t>
            </w:r>
          </w:p>
        </w:tc>
      </w:tr>
      <w:tr>
        <w:tblPrEx>
          <w:tblCellMar>
            <w:top w:w="0" w:type="dxa"/>
            <w:left w:w="0" w:type="dxa"/>
            <w:bottom w:w="0" w:type="dxa"/>
            <w:right w:w="0" w:type="dxa"/>
          </w:tblCellMar>
        </w:tblPrEx>
        <w:trPr>
          <w:trHeight w:val="308" w:hRule="atLeast"/>
        </w:trPr>
        <w:tc>
          <w:tcPr>
            <w:tcW w:w="7845"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项目</w:t>
            </w:r>
          </w:p>
        </w:tc>
        <w:tc>
          <w:tcPr>
            <w:tcW w:w="14455"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本年支出</w:t>
            </w:r>
          </w:p>
        </w:tc>
      </w:tr>
      <w:tr>
        <w:tblPrEx>
          <w:tblCellMar>
            <w:top w:w="0" w:type="dxa"/>
            <w:left w:w="0" w:type="dxa"/>
            <w:bottom w:w="0" w:type="dxa"/>
            <w:right w:w="0" w:type="dxa"/>
          </w:tblCellMar>
        </w:tblPrEx>
        <w:trPr>
          <w:trHeight w:val="312" w:hRule="atLeast"/>
        </w:trPr>
        <w:tc>
          <w:tcPr>
            <w:tcW w:w="2694"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功能分类科目编码</w:t>
            </w:r>
          </w:p>
        </w:tc>
        <w:tc>
          <w:tcPr>
            <w:tcW w:w="515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项目（按“项”级功能分类科目）</w:t>
            </w:r>
          </w:p>
        </w:tc>
        <w:tc>
          <w:tcPr>
            <w:tcW w:w="4817"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合计</w:t>
            </w:r>
          </w:p>
        </w:tc>
        <w:tc>
          <w:tcPr>
            <w:tcW w:w="4817"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基本支出</w:t>
            </w:r>
          </w:p>
        </w:tc>
        <w:tc>
          <w:tcPr>
            <w:tcW w:w="482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项目支出</w:t>
            </w:r>
          </w:p>
        </w:tc>
      </w:tr>
      <w:tr>
        <w:tblPrEx>
          <w:tblCellMar>
            <w:top w:w="0" w:type="dxa"/>
            <w:left w:w="0" w:type="dxa"/>
            <w:bottom w:w="0" w:type="dxa"/>
            <w:right w:w="0" w:type="dxa"/>
          </w:tblCellMar>
        </w:tblPrEx>
        <w:trPr>
          <w:trHeight w:val="312" w:hRule="atLeast"/>
        </w:trPr>
        <w:tc>
          <w:tcPr>
            <w:tcW w:w="2694"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515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81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81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82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CellMar>
            <w:top w:w="0" w:type="dxa"/>
            <w:left w:w="0" w:type="dxa"/>
            <w:bottom w:w="0" w:type="dxa"/>
            <w:right w:w="0" w:type="dxa"/>
          </w:tblCellMar>
        </w:tblPrEx>
        <w:trPr>
          <w:trHeight w:val="615" w:hRule="atLeast"/>
        </w:trPr>
        <w:tc>
          <w:tcPr>
            <w:tcW w:w="2694"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515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81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81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82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CellMar>
            <w:top w:w="0" w:type="dxa"/>
            <w:left w:w="0" w:type="dxa"/>
            <w:bottom w:w="0" w:type="dxa"/>
            <w:right w:w="0" w:type="dxa"/>
          </w:tblCellMar>
        </w:tblPrEx>
        <w:trPr>
          <w:trHeight w:val="308" w:hRule="atLeast"/>
        </w:trPr>
        <w:tc>
          <w:tcPr>
            <w:tcW w:w="7845" w:type="dxa"/>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合计</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159.07 </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154.13 </w:t>
            </w:r>
          </w:p>
        </w:tc>
        <w:tc>
          <w:tcPr>
            <w:tcW w:w="4821"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4.94 </w:t>
            </w:r>
          </w:p>
        </w:tc>
      </w:tr>
      <w:tr>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205</w:t>
            </w:r>
          </w:p>
        </w:tc>
        <w:tc>
          <w:tcPr>
            <w:tcW w:w="5151"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教育支出</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0.12 </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0.12 </w:t>
            </w:r>
          </w:p>
        </w:tc>
        <w:tc>
          <w:tcPr>
            <w:tcW w:w="4821"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20508</w:t>
            </w:r>
          </w:p>
        </w:tc>
        <w:tc>
          <w:tcPr>
            <w:tcW w:w="5151"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进修及培训</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0.12 </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0.12 </w:t>
            </w:r>
          </w:p>
        </w:tc>
        <w:tc>
          <w:tcPr>
            <w:tcW w:w="4821"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2050803</w:t>
            </w:r>
          </w:p>
        </w:tc>
        <w:tc>
          <w:tcPr>
            <w:tcW w:w="5151"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培训支出</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0.12 </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0.12 </w:t>
            </w:r>
          </w:p>
        </w:tc>
        <w:tc>
          <w:tcPr>
            <w:tcW w:w="4821"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208</w:t>
            </w:r>
          </w:p>
        </w:tc>
        <w:tc>
          <w:tcPr>
            <w:tcW w:w="5151"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社会保障和就业支出</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16.75 </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16.75 </w:t>
            </w:r>
          </w:p>
        </w:tc>
        <w:tc>
          <w:tcPr>
            <w:tcW w:w="4821"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20805</w:t>
            </w:r>
          </w:p>
        </w:tc>
        <w:tc>
          <w:tcPr>
            <w:tcW w:w="5151"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行政事业单位养老支出</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16.75 </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16.75 </w:t>
            </w:r>
          </w:p>
        </w:tc>
        <w:tc>
          <w:tcPr>
            <w:tcW w:w="4821"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2080505</w:t>
            </w:r>
          </w:p>
        </w:tc>
        <w:tc>
          <w:tcPr>
            <w:tcW w:w="5151"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机关事业单位基本养老保险缴费支出</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7.61 </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7.61 </w:t>
            </w:r>
          </w:p>
        </w:tc>
        <w:tc>
          <w:tcPr>
            <w:tcW w:w="4821"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2080506</w:t>
            </w:r>
          </w:p>
        </w:tc>
        <w:tc>
          <w:tcPr>
            <w:tcW w:w="5151"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机关事业单位职业年金缴费支出</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3.80 </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3.80 </w:t>
            </w:r>
          </w:p>
        </w:tc>
        <w:tc>
          <w:tcPr>
            <w:tcW w:w="4821"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2080599</w:t>
            </w:r>
          </w:p>
        </w:tc>
        <w:tc>
          <w:tcPr>
            <w:tcW w:w="5151"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其他行政事业单位养老支出</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5.34 </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5.34 </w:t>
            </w:r>
          </w:p>
        </w:tc>
        <w:tc>
          <w:tcPr>
            <w:tcW w:w="4821"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210</w:t>
            </w:r>
          </w:p>
        </w:tc>
        <w:tc>
          <w:tcPr>
            <w:tcW w:w="5151"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卫生健康支出</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4.41 </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4.41 </w:t>
            </w:r>
          </w:p>
        </w:tc>
        <w:tc>
          <w:tcPr>
            <w:tcW w:w="4821"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21011</w:t>
            </w:r>
          </w:p>
        </w:tc>
        <w:tc>
          <w:tcPr>
            <w:tcW w:w="5151"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行政事业单位医疗</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4.41 </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4.41 </w:t>
            </w:r>
          </w:p>
        </w:tc>
        <w:tc>
          <w:tcPr>
            <w:tcW w:w="4821"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2101102</w:t>
            </w:r>
          </w:p>
        </w:tc>
        <w:tc>
          <w:tcPr>
            <w:tcW w:w="5151"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事业单位医疗</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4.41 </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4.41 </w:t>
            </w:r>
          </w:p>
        </w:tc>
        <w:tc>
          <w:tcPr>
            <w:tcW w:w="4821"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213</w:t>
            </w:r>
          </w:p>
        </w:tc>
        <w:tc>
          <w:tcPr>
            <w:tcW w:w="5151"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农林水支出</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130.07 </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125.13 </w:t>
            </w:r>
          </w:p>
        </w:tc>
        <w:tc>
          <w:tcPr>
            <w:tcW w:w="4821"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4.94 </w:t>
            </w:r>
          </w:p>
        </w:tc>
      </w:tr>
      <w:tr>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21303</w:t>
            </w:r>
          </w:p>
        </w:tc>
        <w:tc>
          <w:tcPr>
            <w:tcW w:w="5151"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水利</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130.07 </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125.13 </w:t>
            </w:r>
          </w:p>
        </w:tc>
        <w:tc>
          <w:tcPr>
            <w:tcW w:w="4821"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4.94 </w:t>
            </w:r>
          </w:p>
        </w:tc>
      </w:tr>
      <w:tr>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2130310</w:t>
            </w:r>
          </w:p>
        </w:tc>
        <w:tc>
          <w:tcPr>
            <w:tcW w:w="5151"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水土保持</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130.07 </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125.13 </w:t>
            </w:r>
          </w:p>
        </w:tc>
        <w:tc>
          <w:tcPr>
            <w:tcW w:w="4821"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4.94 </w:t>
            </w:r>
          </w:p>
        </w:tc>
      </w:tr>
      <w:tr>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221</w:t>
            </w:r>
          </w:p>
        </w:tc>
        <w:tc>
          <w:tcPr>
            <w:tcW w:w="5151"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住房保障支出</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7.73 </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7.73 </w:t>
            </w:r>
          </w:p>
        </w:tc>
        <w:tc>
          <w:tcPr>
            <w:tcW w:w="4821"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22102</w:t>
            </w:r>
          </w:p>
        </w:tc>
        <w:tc>
          <w:tcPr>
            <w:tcW w:w="5151"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b/>
                <w:color w:val="000000"/>
                <w:sz w:val="21"/>
                <w:szCs w:val="21"/>
              </w:rPr>
              <w:t>住房改革支出</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7.73 </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color w:val="000000"/>
                <w:sz w:val="21"/>
                <w:szCs w:val="21"/>
              </w:rPr>
              <w:t xml:space="preserve">7.73 </w:t>
            </w:r>
          </w:p>
        </w:tc>
        <w:tc>
          <w:tcPr>
            <w:tcW w:w="4821"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308" w:hRule="atLeast"/>
        </w:trPr>
        <w:tc>
          <w:tcPr>
            <w:tcW w:w="2694" w:type="dxa"/>
            <w:tcBorders>
              <w:top w:val="nil"/>
              <w:left w:val="single" w:color="000000" w:sz="4" w:space="0"/>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2210201</w:t>
            </w:r>
          </w:p>
        </w:tc>
        <w:tc>
          <w:tcPr>
            <w:tcW w:w="5151" w:type="dxa"/>
            <w:tcBorders>
              <w:top w:val="nil"/>
              <w:left w:val="nil"/>
              <w:bottom w:val="single" w:color="000000" w:sz="4" w:space="0"/>
              <w:right w:val="single" w:color="000000" w:sz="4" w:space="0"/>
            </w:tcBorders>
            <w:tcMar>
              <w:top w:w="15" w:type="dxa"/>
              <w:left w:w="15" w:type="dxa"/>
              <w:right w:w="15" w:type="dxa"/>
            </w:tcMar>
            <w:vAlign w:val="center"/>
          </w:tcPr>
          <w:p>
            <w:pPr>
              <w:textAlignment w:val="center"/>
              <w:rPr>
                <w:rFonts w:hint="default" w:cs="宋体"/>
                <w:color w:val="000000"/>
                <w:sz w:val="22"/>
                <w:szCs w:val="22"/>
              </w:rPr>
            </w:pPr>
            <w:r>
              <w:rPr>
                <w:rFonts w:cs="宋体"/>
                <w:color w:val="000000"/>
                <w:sz w:val="21"/>
                <w:szCs w:val="21"/>
              </w:rPr>
              <w:t>住房公积金</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7.73 </w:t>
            </w:r>
          </w:p>
        </w:tc>
        <w:tc>
          <w:tcPr>
            <w:tcW w:w="4817"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7.73 </w:t>
            </w:r>
          </w:p>
        </w:tc>
        <w:tc>
          <w:tcPr>
            <w:tcW w:w="4821"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color w:val="000000"/>
                <w:sz w:val="21"/>
                <w:szCs w:val="21"/>
              </w:rPr>
              <w:t xml:space="preserve"> </w:t>
            </w:r>
          </w:p>
        </w:tc>
      </w:tr>
    </w:tbl>
    <w:p>
      <w:pPr>
        <w:rPr>
          <w:rFonts w:hint="default" w:cs="宋体"/>
          <w:sz w:val="21"/>
          <w:szCs w:val="21"/>
        </w:rPr>
      </w:pPr>
      <w:r>
        <w:rPr>
          <w:rFonts w:cs="宋体"/>
          <w:sz w:val="21"/>
          <w:szCs w:val="21"/>
        </w:rPr>
        <w:t>备注：1.本表反映单位本年度一般公共预算财政拨款支出情况。</w:t>
      </w:r>
      <w:r>
        <w:rPr>
          <w:rFonts w:cs="宋体"/>
          <w:sz w:val="21"/>
          <w:szCs w:val="21"/>
        </w:rPr>
        <w:br w:type="textWrapping"/>
      </w:r>
      <w:r>
        <w:rPr>
          <w:rFonts w:cs="宋体"/>
          <w:sz w:val="21"/>
          <w:szCs w:val="21"/>
        </w:rPr>
        <w:t xml:space="preserve">      2.本套报表金额单位转换时可能存在尾数误差。</w:t>
      </w:r>
      <w:r>
        <w:rPr>
          <w:rFonts w:cs="宋体"/>
          <w:sz w:val="21"/>
          <w:szCs w:val="21"/>
        </w:rPr>
        <w:br w:type="textWrapping"/>
      </w:r>
      <w:r>
        <w:rPr>
          <w:rFonts w:cs="宋体"/>
          <w:sz w:val="21"/>
          <w:szCs w:val="21"/>
        </w:rPr>
        <w:br w:type="textWrapping"/>
      </w:r>
    </w:p>
    <w:p>
      <w:pPr>
        <w:ind w:firstLine="630" w:firstLineChars="300"/>
        <w:rPr>
          <w:rFonts w:hint="default" w:cs="宋体"/>
          <w:sz w:val="21"/>
          <w:szCs w:val="21"/>
        </w:rPr>
      </w:pPr>
      <w:r>
        <w:rPr>
          <w:rFonts w:cs="宋体"/>
          <w:sz w:val="21"/>
          <w:szCs w:val="21"/>
        </w:rPr>
        <w:br w:type="page"/>
      </w:r>
    </w:p>
    <w:tbl>
      <w:tblPr>
        <w:tblStyle w:val="7"/>
        <w:tblW w:w="22280" w:type="dxa"/>
        <w:tblInd w:w="0" w:type="dxa"/>
        <w:tblLayout w:type="fixed"/>
        <w:tblCellMar>
          <w:top w:w="0" w:type="dxa"/>
          <w:left w:w="0" w:type="dxa"/>
          <w:bottom w:w="0" w:type="dxa"/>
          <w:right w:w="0" w:type="dxa"/>
        </w:tblCellMar>
      </w:tblPr>
      <w:tblGrid>
        <w:gridCol w:w="1289"/>
        <w:gridCol w:w="3495"/>
        <w:gridCol w:w="2829"/>
        <w:gridCol w:w="1122"/>
        <w:gridCol w:w="2330"/>
        <w:gridCol w:w="2747"/>
        <w:gridCol w:w="1509"/>
        <w:gridCol w:w="4465"/>
        <w:gridCol w:w="2494"/>
      </w:tblGrid>
      <w:tr>
        <w:tblPrEx>
          <w:tblCellMar>
            <w:top w:w="0" w:type="dxa"/>
            <w:left w:w="0" w:type="dxa"/>
            <w:bottom w:w="0" w:type="dxa"/>
            <w:right w:w="0" w:type="dxa"/>
          </w:tblCellMar>
        </w:tblPrEx>
        <w:trPr>
          <w:trHeight w:val="590" w:hRule="atLeast"/>
        </w:trPr>
        <w:tc>
          <w:tcPr>
            <w:tcW w:w="22280" w:type="dxa"/>
            <w:gridSpan w:val="9"/>
            <w:tcBorders>
              <w:top w:val="nil"/>
              <w:left w:val="nil"/>
              <w:bottom w:val="nil"/>
              <w:right w:val="nil"/>
            </w:tcBorders>
            <w:tcMar>
              <w:top w:w="15" w:type="dxa"/>
              <w:left w:w="15" w:type="dxa"/>
              <w:right w:w="15" w:type="dxa"/>
            </w:tcMar>
            <w:vAlign w:val="bottom"/>
          </w:tcPr>
          <w:p>
            <w:pPr>
              <w:jc w:val="center"/>
              <w:textAlignment w:val="bottom"/>
              <w:rPr>
                <w:rFonts w:hint="default" w:cs="宋体"/>
                <w:b/>
                <w:color w:val="000000"/>
                <w:sz w:val="40"/>
                <w:szCs w:val="40"/>
              </w:rPr>
            </w:pPr>
            <w:r>
              <w:rPr>
                <w:rFonts w:cs="宋体"/>
                <w:b/>
                <w:color w:val="000000"/>
                <w:sz w:val="44"/>
                <w:szCs w:val="44"/>
              </w:rPr>
              <w:t>一般公共预算财政拨款基本支出决算表</w:t>
            </w:r>
          </w:p>
        </w:tc>
      </w:tr>
      <w:tr>
        <w:tblPrEx>
          <w:tblCellMar>
            <w:top w:w="0" w:type="dxa"/>
            <w:left w:w="0" w:type="dxa"/>
            <w:bottom w:w="0" w:type="dxa"/>
            <w:right w:w="0" w:type="dxa"/>
          </w:tblCellMar>
        </w:tblPrEx>
        <w:trPr>
          <w:trHeight w:val="302" w:hRule="atLeast"/>
        </w:trPr>
        <w:tc>
          <w:tcPr>
            <w:tcW w:w="4784" w:type="dxa"/>
            <w:gridSpan w:val="2"/>
            <w:vMerge w:val="restart"/>
            <w:tcBorders>
              <w:top w:val="nil"/>
              <w:left w:val="nil"/>
              <w:right w:val="nil"/>
            </w:tcBorders>
            <w:tcMar>
              <w:top w:w="15" w:type="dxa"/>
              <w:left w:w="15" w:type="dxa"/>
              <w:right w:w="15" w:type="dxa"/>
            </w:tcMar>
            <w:vAlign w:val="bottom"/>
          </w:tcPr>
          <w:p>
            <w:pPr>
              <w:rPr>
                <w:rFonts w:hint="default" w:ascii="Arial" w:hAnsi="Arial" w:cs="Arial"/>
                <w:color w:val="000000"/>
                <w:sz w:val="22"/>
                <w:szCs w:val="22"/>
              </w:rPr>
            </w:pPr>
            <w:r>
              <w:rPr>
                <w:rFonts w:cs="宋体"/>
              </w:rPr>
              <w:t>公开单位</w:t>
            </w:r>
            <w:r>
              <w:rPr>
                <w:rFonts w:cs="宋体"/>
                <w:color w:val="000000"/>
              </w:rPr>
              <w:t xml:space="preserve">： </w:t>
            </w:r>
            <w:r>
              <w:rPr>
                <w:color w:val="000000"/>
              </w:rPr>
              <w:t>垫江县水土保持站</w:t>
            </w:r>
          </w:p>
        </w:tc>
        <w:tc>
          <w:tcPr>
            <w:tcW w:w="2829"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1122"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2330"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2747"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1509"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4465"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2494" w:type="dxa"/>
            <w:tcBorders>
              <w:top w:val="nil"/>
              <w:left w:val="nil"/>
              <w:bottom w:val="nil"/>
              <w:right w:val="nil"/>
            </w:tcBorders>
            <w:tcMar>
              <w:top w:w="15" w:type="dxa"/>
              <w:left w:w="15" w:type="dxa"/>
              <w:right w:w="15" w:type="dxa"/>
            </w:tcMar>
            <w:vAlign w:val="bottom"/>
          </w:tcPr>
          <w:p>
            <w:pPr>
              <w:jc w:val="right"/>
              <w:textAlignment w:val="bottom"/>
              <w:rPr>
                <w:rFonts w:hint="default" w:cs="宋体"/>
                <w:color w:val="000000"/>
              </w:rPr>
            </w:pPr>
            <w:r>
              <w:rPr>
                <w:rFonts w:cs="宋体"/>
                <w:color w:val="000000"/>
              </w:rPr>
              <w:t>公开06表</w:t>
            </w:r>
          </w:p>
        </w:tc>
      </w:tr>
      <w:tr>
        <w:tblPrEx>
          <w:tblCellMar>
            <w:top w:w="0" w:type="dxa"/>
            <w:left w:w="0" w:type="dxa"/>
            <w:bottom w:w="0" w:type="dxa"/>
            <w:right w:w="0" w:type="dxa"/>
          </w:tblCellMar>
        </w:tblPrEx>
        <w:trPr>
          <w:trHeight w:val="302" w:hRule="atLeast"/>
        </w:trPr>
        <w:tc>
          <w:tcPr>
            <w:tcW w:w="4784" w:type="dxa"/>
            <w:gridSpan w:val="2"/>
            <w:vMerge w:val="continue"/>
            <w:tcBorders>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2829"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1122"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2330"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2747"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1509"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4465"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2494" w:type="dxa"/>
            <w:tcBorders>
              <w:top w:val="nil"/>
              <w:left w:val="nil"/>
              <w:bottom w:val="nil"/>
              <w:right w:val="nil"/>
            </w:tcBorders>
            <w:tcMar>
              <w:top w:w="15" w:type="dxa"/>
              <w:left w:w="15" w:type="dxa"/>
              <w:right w:w="15" w:type="dxa"/>
            </w:tcMar>
            <w:vAlign w:val="bottom"/>
          </w:tcPr>
          <w:p>
            <w:pPr>
              <w:jc w:val="right"/>
              <w:textAlignment w:val="bottom"/>
              <w:rPr>
                <w:rFonts w:hint="default" w:cs="宋体"/>
                <w:color w:val="000000"/>
              </w:rPr>
            </w:pPr>
            <w:r>
              <w:rPr>
                <w:rFonts w:cs="宋体"/>
                <w:color w:val="000000"/>
              </w:rPr>
              <w:t>单位：</w:t>
            </w:r>
            <w:r>
              <w:rPr>
                <w:rFonts w:cs="宋体"/>
              </w:rPr>
              <w:t>万元</w:t>
            </w:r>
          </w:p>
        </w:tc>
      </w:tr>
      <w:tr>
        <w:tblPrEx>
          <w:tblCellMar>
            <w:top w:w="0" w:type="dxa"/>
            <w:left w:w="0" w:type="dxa"/>
            <w:bottom w:w="0" w:type="dxa"/>
            <w:right w:w="0" w:type="dxa"/>
          </w:tblCellMar>
        </w:tblPrEx>
        <w:trPr>
          <w:trHeight w:val="311" w:hRule="atLeast"/>
        </w:trPr>
        <w:tc>
          <w:tcPr>
            <w:tcW w:w="7613" w:type="dxa"/>
            <w:gridSpan w:val="3"/>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人员经费</w:t>
            </w:r>
          </w:p>
        </w:tc>
        <w:tc>
          <w:tcPr>
            <w:tcW w:w="14667" w:type="dxa"/>
            <w:gridSpan w:val="6"/>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公用经费</w:t>
            </w:r>
          </w:p>
        </w:tc>
      </w:tr>
      <w:tr>
        <w:tblPrEx>
          <w:tblCellMar>
            <w:top w:w="0" w:type="dxa"/>
            <w:left w:w="0" w:type="dxa"/>
            <w:bottom w:w="0" w:type="dxa"/>
            <w:right w:w="0" w:type="dxa"/>
          </w:tblCellMar>
        </w:tblPrEx>
        <w:trPr>
          <w:trHeight w:val="312" w:hRule="atLeast"/>
        </w:trPr>
        <w:tc>
          <w:tcPr>
            <w:tcW w:w="1289"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经济分类科目编码</w:t>
            </w:r>
          </w:p>
        </w:tc>
        <w:tc>
          <w:tcPr>
            <w:tcW w:w="3495"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经济分类科目（按“款”级功能分类科目）</w:t>
            </w:r>
          </w:p>
        </w:tc>
        <w:tc>
          <w:tcPr>
            <w:tcW w:w="2829"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金额</w:t>
            </w:r>
          </w:p>
        </w:tc>
        <w:tc>
          <w:tcPr>
            <w:tcW w:w="1122"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经济分类科目编码</w:t>
            </w:r>
          </w:p>
        </w:tc>
        <w:tc>
          <w:tcPr>
            <w:tcW w:w="2330"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经济分类科目（按“款”级功能分类科目）</w:t>
            </w:r>
          </w:p>
        </w:tc>
        <w:tc>
          <w:tcPr>
            <w:tcW w:w="2747"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金额</w:t>
            </w:r>
          </w:p>
        </w:tc>
        <w:tc>
          <w:tcPr>
            <w:tcW w:w="1509"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经济分类科目编码</w:t>
            </w:r>
          </w:p>
        </w:tc>
        <w:tc>
          <w:tcPr>
            <w:tcW w:w="4465"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经济分类科目（按“款”级功能分类科目）</w:t>
            </w:r>
          </w:p>
        </w:tc>
        <w:tc>
          <w:tcPr>
            <w:tcW w:w="2494"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金额</w:t>
            </w:r>
          </w:p>
        </w:tc>
      </w:tr>
      <w:tr>
        <w:tblPrEx>
          <w:tblCellMar>
            <w:top w:w="0" w:type="dxa"/>
            <w:left w:w="0" w:type="dxa"/>
            <w:bottom w:w="0" w:type="dxa"/>
            <w:right w:w="0" w:type="dxa"/>
          </w:tblCellMar>
        </w:tblPrEx>
        <w:trPr>
          <w:trHeight w:val="799" w:hRule="atLeast"/>
        </w:trPr>
        <w:tc>
          <w:tcPr>
            <w:tcW w:w="1289"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3495"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829"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122"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33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74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1509"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465"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94"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301</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工资福利支出</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127.83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商品和服务支出</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20.86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资本性支出</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30101</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基本工资</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25.23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30201</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办公费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1.03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31001</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房屋建筑物购建</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30102</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津贴补贴</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0.83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30202</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印刷费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0.34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31002</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办公设备购置</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30103</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奖金</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30203</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咨询费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31003</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专用设备购置</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30106</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伙食补助费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0.01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30204</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手续费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31005</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基础设施建设</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30107</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绩效工资</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73.55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30205</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水费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0.57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31006</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大型修缮</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333"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30108</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机关事业单位基本养老保险缴费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7.61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30206</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电费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1.12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31007</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信息网络及软件购置更新</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30109</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职业年金缴费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3.80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30207</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邮电费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1.48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31008</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物资储备</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364"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30110</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职工基本医疗保险缴费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4.41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30208</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取暖费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31009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土地补偿</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30111</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公务员医疗补助缴费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30209</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物业管理费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31010</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安置补助</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333"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30112</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其他社会保障缴费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1.36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30211</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差旅费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6.43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31011</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地上附着物和青苗补偿</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30113</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住房公积金</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7.73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30212</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因公出国（境）费用</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31012</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拆迁补偿</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30114</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医疗费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2.16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30213</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维修（护）费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31013</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公务用车购置</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30199</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其他工资福利支出</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1.15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30214</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租赁费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0.27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31019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其他交通工具购置</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303</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对个人和家庭的补助</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5.44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30215</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会议费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31021</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文物和陈列品购置</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30301</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离休费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30216</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培训费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0.12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31022</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无形资产购置</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30302</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退休费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30217</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公务接待费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0.21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31099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其他资本性支出</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30303</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退职（役）费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30218</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专用材料费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312</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对企业补助</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30304</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抚恤金</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30224</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被装购置费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31201</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资本金注入</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30305</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生活补助</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2.66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30225</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专用燃料费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31203</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政府投资基金股权投资</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30306</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救济费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30226</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劳务费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1.00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31204</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费用补贴</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30307</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医疗费补助</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0.30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30227</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委托业务费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31205</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利息补贴</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30308</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助学金</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30228</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工会经费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0.63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31299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其他对企业补助</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30309</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奖励金</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2.48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30229</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福利费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399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其他支出</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30310</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个人农业生产补贴</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30231</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公务用车运行维护费</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2.87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39907</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国家赔偿费用支出</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30311</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代缴社会保险费</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30239</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其他交通费用</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39908</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对民间非营利组织和群众性自治组织补贴</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30399</w:t>
            </w: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其他对个人和家庭的补助</w:t>
            </w: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30240</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税金及附加费用</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39909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经常性赠与</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30299</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其他商品和服务支出</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4.79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39910</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资本性赠与</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307</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债务利息及费用支出</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39999</w:t>
            </w: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其他支出</w:t>
            </w: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r>
      <w:tr>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30701</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国内债务付息</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right"/>
              <w:rPr>
                <w:rFonts w:hint="default" w:cs="宋体"/>
                <w:color w:val="000000"/>
                <w:sz w:val="22"/>
                <w:szCs w:val="22"/>
              </w:rPr>
            </w:pPr>
          </w:p>
        </w:tc>
      </w:tr>
      <w:tr>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30702</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国外债务付息</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right"/>
              <w:rPr>
                <w:rFonts w:hint="default" w:cs="宋体"/>
                <w:color w:val="000000"/>
                <w:sz w:val="22"/>
                <w:szCs w:val="22"/>
              </w:rPr>
            </w:pPr>
          </w:p>
        </w:tc>
      </w:tr>
      <w:tr>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30703</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国内债务发行费用</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right"/>
              <w:rPr>
                <w:rFonts w:hint="default" w:cs="宋体"/>
                <w:color w:val="000000"/>
                <w:sz w:val="22"/>
                <w:szCs w:val="22"/>
              </w:rPr>
            </w:pPr>
          </w:p>
        </w:tc>
      </w:tr>
      <w:tr>
        <w:tblPrEx>
          <w:tblCellMar>
            <w:top w:w="0" w:type="dxa"/>
            <w:left w:w="0" w:type="dxa"/>
            <w:bottom w:w="0" w:type="dxa"/>
            <w:right w:w="0" w:type="dxa"/>
          </w:tblCellMar>
        </w:tblPrEx>
        <w:trPr>
          <w:trHeight w:val="311" w:hRule="atLeast"/>
        </w:trPr>
        <w:tc>
          <w:tcPr>
            <w:tcW w:w="128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349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82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rPr>
                <w:rFonts w:hint="default" w:ascii="Arial" w:hAnsi="Arial" w:cs="Arial"/>
                <w:color w:val="000000"/>
                <w:sz w:val="20"/>
                <w:szCs w:val="20"/>
              </w:rPr>
            </w:pPr>
          </w:p>
        </w:tc>
        <w:tc>
          <w:tcPr>
            <w:tcW w:w="11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30704</w:t>
            </w:r>
          </w:p>
        </w:tc>
        <w:tc>
          <w:tcPr>
            <w:tcW w:w="233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国外债务发行费用</w:t>
            </w:r>
          </w:p>
        </w:tc>
        <w:tc>
          <w:tcPr>
            <w:tcW w:w="27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 </w:t>
            </w:r>
          </w:p>
        </w:tc>
        <w:tc>
          <w:tcPr>
            <w:tcW w:w="1509"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4465"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249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right"/>
              <w:rPr>
                <w:rFonts w:hint="default" w:cs="宋体"/>
                <w:color w:val="000000"/>
                <w:sz w:val="22"/>
                <w:szCs w:val="22"/>
              </w:rPr>
            </w:pPr>
          </w:p>
        </w:tc>
      </w:tr>
      <w:tr>
        <w:tblPrEx>
          <w:tblCellMar>
            <w:top w:w="0" w:type="dxa"/>
            <w:left w:w="0" w:type="dxa"/>
            <w:bottom w:w="0" w:type="dxa"/>
            <w:right w:w="0" w:type="dxa"/>
          </w:tblCellMar>
        </w:tblPrEx>
        <w:trPr>
          <w:trHeight w:val="321" w:hRule="atLeast"/>
        </w:trPr>
        <w:tc>
          <w:tcPr>
            <w:tcW w:w="4784" w:type="dxa"/>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人员经费合计</w:t>
            </w:r>
          </w:p>
        </w:tc>
        <w:tc>
          <w:tcPr>
            <w:tcW w:w="2829" w:type="dxa"/>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133.27 </w:t>
            </w:r>
          </w:p>
        </w:tc>
        <w:tc>
          <w:tcPr>
            <w:tcW w:w="12173" w:type="dxa"/>
            <w:gridSpan w:val="5"/>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公用经费合计</w:t>
            </w:r>
          </w:p>
        </w:tc>
        <w:tc>
          <w:tcPr>
            <w:tcW w:w="2494"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color w:val="000000"/>
                <w:sz w:val="22"/>
                <w:szCs w:val="22"/>
              </w:rPr>
            </w:pPr>
            <w:r>
              <w:rPr>
                <w:rFonts w:cs="宋体"/>
                <w:color w:val="000000"/>
                <w:sz w:val="21"/>
                <w:szCs w:val="21"/>
              </w:rPr>
              <w:t xml:space="preserve">20.86 </w:t>
            </w:r>
          </w:p>
        </w:tc>
      </w:tr>
    </w:tbl>
    <w:p>
      <w:pPr>
        <w:rPr>
          <w:rFonts w:hint="default" w:cs="宋体"/>
          <w:sz w:val="21"/>
          <w:szCs w:val="21"/>
        </w:rPr>
      </w:pPr>
      <w:r>
        <w:rPr>
          <w:rFonts w:cs="宋体"/>
          <w:sz w:val="21"/>
          <w:szCs w:val="21"/>
        </w:rPr>
        <w:t>备注：1.本表反映单位本年度一般公共预算财政拨款基本支出明细情况。</w:t>
      </w:r>
      <w:r>
        <w:rPr>
          <w:rFonts w:cs="宋体"/>
          <w:sz w:val="21"/>
          <w:szCs w:val="21"/>
        </w:rPr>
        <w:br w:type="textWrapping"/>
      </w:r>
      <w:r>
        <w:rPr>
          <w:rFonts w:cs="宋体"/>
          <w:sz w:val="21"/>
          <w:szCs w:val="21"/>
        </w:rPr>
        <w:t xml:space="preserve">      2.本套报表金额单位转换时可能存在尾数误差。</w:t>
      </w:r>
      <w:r>
        <w:rPr>
          <w:rFonts w:cs="宋体"/>
          <w:sz w:val="21"/>
          <w:szCs w:val="21"/>
        </w:rPr>
        <w:br w:type="textWrapping"/>
      </w:r>
      <w:r>
        <w:rPr>
          <w:rFonts w:cs="宋体"/>
          <w:sz w:val="21"/>
          <w:szCs w:val="21"/>
        </w:rPr>
        <w:br w:type="textWrapping"/>
      </w:r>
    </w:p>
    <w:p>
      <w:pPr>
        <w:rPr>
          <w:rFonts w:hint="default" w:cs="宋体"/>
          <w:sz w:val="21"/>
          <w:szCs w:val="21"/>
        </w:rPr>
      </w:pPr>
      <w:r>
        <w:rPr>
          <w:rFonts w:cs="宋体"/>
          <w:sz w:val="21"/>
          <w:szCs w:val="21"/>
        </w:rPr>
        <w:br w:type="page"/>
      </w:r>
    </w:p>
    <w:tbl>
      <w:tblPr>
        <w:tblStyle w:val="7"/>
        <w:tblW w:w="22240" w:type="dxa"/>
        <w:tblInd w:w="0" w:type="dxa"/>
        <w:tblLayout w:type="fixed"/>
        <w:tblCellMar>
          <w:top w:w="0" w:type="dxa"/>
          <w:left w:w="0" w:type="dxa"/>
          <w:bottom w:w="0" w:type="dxa"/>
          <w:right w:w="0" w:type="dxa"/>
        </w:tblCellMar>
      </w:tblPr>
      <w:tblGrid>
        <w:gridCol w:w="2686"/>
        <w:gridCol w:w="4465"/>
        <w:gridCol w:w="2473"/>
        <w:gridCol w:w="2473"/>
        <w:gridCol w:w="2473"/>
        <w:gridCol w:w="2473"/>
        <w:gridCol w:w="2558"/>
        <w:gridCol w:w="2639"/>
      </w:tblGrid>
      <w:tr>
        <w:tblPrEx>
          <w:tblCellMar>
            <w:top w:w="0" w:type="dxa"/>
            <w:left w:w="0" w:type="dxa"/>
            <w:bottom w:w="0" w:type="dxa"/>
            <w:right w:w="0" w:type="dxa"/>
          </w:tblCellMar>
        </w:tblPrEx>
        <w:trPr>
          <w:trHeight w:val="644" w:hRule="atLeast"/>
        </w:trPr>
        <w:tc>
          <w:tcPr>
            <w:tcW w:w="22240" w:type="dxa"/>
            <w:gridSpan w:val="8"/>
            <w:tcBorders>
              <w:top w:val="nil"/>
              <w:left w:val="nil"/>
              <w:bottom w:val="nil"/>
              <w:right w:val="nil"/>
            </w:tcBorders>
            <w:tcMar>
              <w:top w:w="15" w:type="dxa"/>
              <w:left w:w="15" w:type="dxa"/>
              <w:right w:w="15" w:type="dxa"/>
            </w:tcMar>
            <w:vAlign w:val="bottom"/>
          </w:tcPr>
          <w:p>
            <w:pPr>
              <w:jc w:val="center"/>
              <w:textAlignment w:val="bottom"/>
              <w:rPr>
                <w:rFonts w:hint="default" w:cs="宋体"/>
                <w:b/>
                <w:color w:val="000000"/>
                <w:sz w:val="40"/>
                <w:szCs w:val="40"/>
              </w:rPr>
            </w:pPr>
            <w:r>
              <w:rPr>
                <w:rFonts w:cs="宋体"/>
                <w:b/>
                <w:color w:val="000000"/>
                <w:sz w:val="44"/>
                <w:szCs w:val="44"/>
              </w:rPr>
              <w:t>政府性基金预算财政拨款收入支出决算表</w:t>
            </w:r>
          </w:p>
        </w:tc>
      </w:tr>
      <w:tr>
        <w:tblPrEx>
          <w:tblCellMar>
            <w:top w:w="0" w:type="dxa"/>
            <w:left w:w="0" w:type="dxa"/>
            <w:bottom w:w="0" w:type="dxa"/>
            <w:right w:w="0" w:type="dxa"/>
          </w:tblCellMar>
        </w:tblPrEx>
        <w:trPr>
          <w:trHeight w:val="329" w:hRule="atLeast"/>
        </w:trPr>
        <w:tc>
          <w:tcPr>
            <w:tcW w:w="7151" w:type="dxa"/>
            <w:gridSpan w:val="2"/>
            <w:vMerge w:val="restart"/>
            <w:tcBorders>
              <w:top w:val="nil"/>
              <w:left w:val="nil"/>
              <w:right w:val="nil"/>
            </w:tcBorders>
            <w:tcMar>
              <w:top w:w="15" w:type="dxa"/>
              <w:left w:w="15" w:type="dxa"/>
              <w:right w:w="15" w:type="dxa"/>
            </w:tcMar>
            <w:vAlign w:val="bottom"/>
          </w:tcPr>
          <w:p>
            <w:pPr>
              <w:rPr>
                <w:rFonts w:hint="default" w:ascii="Arial" w:hAnsi="Arial" w:cs="Arial"/>
                <w:color w:val="000000"/>
                <w:sz w:val="20"/>
                <w:szCs w:val="20"/>
              </w:rPr>
            </w:pPr>
            <w:r>
              <w:rPr>
                <w:rFonts w:cs="宋体"/>
              </w:rPr>
              <w:t>公开单位</w:t>
            </w:r>
            <w:r>
              <w:rPr>
                <w:rFonts w:cs="宋体"/>
                <w:color w:val="000000"/>
              </w:rPr>
              <w:t xml:space="preserve">： </w:t>
            </w:r>
            <w:r>
              <w:rPr>
                <w:color w:val="000000"/>
              </w:rPr>
              <w:t>垫江县水土保持站</w:t>
            </w:r>
          </w:p>
        </w:tc>
        <w:tc>
          <w:tcPr>
            <w:tcW w:w="2473"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2473"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2473"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2473"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2558"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2639" w:type="dxa"/>
            <w:tcBorders>
              <w:top w:val="nil"/>
              <w:left w:val="nil"/>
              <w:bottom w:val="nil"/>
              <w:right w:val="nil"/>
            </w:tcBorders>
            <w:tcMar>
              <w:top w:w="15" w:type="dxa"/>
              <w:left w:w="15" w:type="dxa"/>
              <w:right w:w="15" w:type="dxa"/>
            </w:tcMar>
            <w:vAlign w:val="bottom"/>
          </w:tcPr>
          <w:p>
            <w:pPr>
              <w:jc w:val="right"/>
              <w:textAlignment w:val="bottom"/>
              <w:rPr>
                <w:rFonts w:hint="default" w:cs="宋体"/>
                <w:color w:val="000000"/>
              </w:rPr>
            </w:pPr>
            <w:r>
              <w:rPr>
                <w:rFonts w:cs="宋体"/>
                <w:color w:val="000000"/>
              </w:rPr>
              <w:t>公开07表</w:t>
            </w:r>
          </w:p>
        </w:tc>
      </w:tr>
      <w:tr>
        <w:tblPrEx>
          <w:tblCellMar>
            <w:top w:w="0" w:type="dxa"/>
            <w:left w:w="0" w:type="dxa"/>
            <w:bottom w:w="0" w:type="dxa"/>
            <w:right w:w="0" w:type="dxa"/>
          </w:tblCellMar>
        </w:tblPrEx>
        <w:trPr>
          <w:trHeight w:val="329" w:hRule="atLeast"/>
        </w:trPr>
        <w:tc>
          <w:tcPr>
            <w:tcW w:w="7151" w:type="dxa"/>
            <w:gridSpan w:val="2"/>
            <w:vMerge w:val="continue"/>
            <w:tcBorders>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2473"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2473"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2473"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2473"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2558"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2639" w:type="dxa"/>
            <w:tcBorders>
              <w:top w:val="nil"/>
              <w:left w:val="nil"/>
              <w:bottom w:val="nil"/>
              <w:right w:val="nil"/>
            </w:tcBorders>
            <w:tcMar>
              <w:top w:w="15" w:type="dxa"/>
              <w:left w:w="15" w:type="dxa"/>
              <w:right w:w="15" w:type="dxa"/>
            </w:tcMar>
            <w:vAlign w:val="bottom"/>
          </w:tcPr>
          <w:p>
            <w:pPr>
              <w:jc w:val="right"/>
              <w:textAlignment w:val="bottom"/>
              <w:rPr>
                <w:rFonts w:hint="default" w:cs="宋体"/>
                <w:color w:val="000000"/>
              </w:rPr>
            </w:pPr>
            <w:r>
              <w:rPr>
                <w:rFonts w:cs="宋体"/>
                <w:color w:val="000000"/>
              </w:rPr>
              <w:t>单位：</w:t>
            </w:r>
            <w:r>
              <w:rPr>
                <w:rFonts w:cs="宋体"/>
              </w:rPr>
              <w:t>万元</w:t>
            </w:r>
          </w:p>
        </w:tc>
      </w:tr>
      <w:tr>
        <w:tblPrEx>
          <w:tblCellMar>
            <w:top w:w="0" w:type="dxa"/>
            <w:left w:w="0" w:type="dxa"/>
            <w:bottom w:w="0" w:type="dxa"/>
            <w:right w:w="0" w:type="dxa"/>
          </w:tblCellMar>
        </w:tblPrEx>
        <w:trPr>
          <w:trHeight w:val="339" w:hRule="atLeast"/>
        </w:trPr>
        <w:tc>
          <w:tcPr>
            <w:tcW w:w="7151"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项目</w:t>
            </w:r>
          </w:p>
        </w:tc>
        <w:tc>
          <w:tcPr>
            <w:tcW w:w="247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年初结转和结余</w:t>
            </w:r>
          </w:p>
        </w:tc>
        <w:tc>
          <w:tcPr>
            <w:tcW w:w="247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本年收入</w:t>
            </w:r>
          </w:p>
        </w:tc>
        <w:tc>
          <w:tcPr>
            <w:tcW w:w="7504"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本年支出</w:t>
            </w:r>
          </w:p>
        </w:tc>
        <w:tc>
          <w:tcPr>
            <w:tcW w:w="2639"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年末结转和结余</w:t>
            </w:r>
          </w:p>
        </w:tc>
      </w:tr>
      <w:tr>
        <w:tblPrEx>
          <w:tblCellMar>
            <w:top w:w="0" w:type="dxa"/>
            <w:left w:w="0" w:type="dxa"/>
            <w:bottom w:w="0" w:type="dxa"/>
            <w:right w:w="0" w:type="dxa"/>
          </w:tblCellMar>
        </w:tblPrEx>
        <w:trPr>
          <w:trHeight w:val="335" w:hRule="atLeast"/>
        </w:trPr>
        <w:tc>
          <w:tcPr>
            <w:tcW w:w="2686"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功能分类科目编码</w:t>
            </w:r>
          </w:p>
        </w:tc>
        <w:tc>
          <w:tcPr>
            <w:tcW w:w="4465"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项目（按“项”级功能分类科目）</w:t>
            </w:r>
          </w:p>
        </w:tc>
        <w:tc>
          <w:tcPr>
            <w:tcW w:w="247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7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7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合计</w:t>
            </w:r>
          </w:p>
        </w:tc>
        <w:tc>
          <w:tcPr>
            <w:tcW w:w="247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基本支出</w:t>
            </w:r>
          </w:p>
        </w:tc>
        <w:tc>
          <w:tcPr>
            <w:tcW w:w="2558"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项目支出</w:t>
            </w:r>
          </w:p>
        </w:tc>
        <w:tc>
          <w:tcPr>
            <w:tcW w:w="263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CellMar>
            <w:top w:w="0" w:type="dxa"/>
            <w:left w:w="0" w:type="dxa"/>
            <w:bottom w:w="0" w:type="dxa"/>
            <w:right w:w="0" w:type="dxa"/>
          </w:tblCellMar>
        </w:tblPrEx>
        <w:trPr>
          <w:trHeight w:val="335" w:hRule="atLeast"/>
        </w:trPr>
        <w:tc>
          <w:tcPr>
            <w:tcW w:w="268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46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7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7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7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7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558"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63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CellMar>
            <w:top w:w="0" w:type="dxa"/>
            <w:left w:w="0" w:type="dxa"/>
            <w:bottom w:w="0" w:type="dxa"/>
            <w:right w:w="0" w:type="dxa"/>
          </w:tblCellMar>
        </w:tblPrEx>
        <w:trPr>
          <w:trHeight w:val="645" w:hRule="atLeast"/>
        </w:trPr>
        <w:tc>
          <w:tcPr>
            <w:tcW w:w="268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46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7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7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7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47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558"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263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CellMar>
            <w:top w:w="0" w:type="dxa"/>
            <w:left w:w="0" w:type="dxa"/>
            <w:bottom w:w="0" w:type="dxa"/>
            <w:right w:w="0" w:type="dxa"/>
          </w:tblCellMar>
        </w:tblPrEx>
        <w:trPr>
          <w:trHeight w:val="339" w:hRule="atLeast"/>
        </w:trPr>
        <w:tc>
          <w:tcPr>
            <w:tcW w:w="7151" w:type="dxa"/>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合计</w:t>
            </w:r>
          </w:p>
        </w:tc>
        <w:tc>
          <w:tcPr>
            <w:tcW w:w="2473"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 </w:t>
            </w:r>
          </w:p>
        </w:tc>
        <w:tc>
          <w:tcPr>
            <w:tcW w:w="2473"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 </w:t>
            </w:r>
          </w:p>
        </w:tc>
        <w:tc>
          <w:tcPr>
            <w:tcW w:w="2473"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 </w:t>
            </w:r>
          </w:p>
        </w:tc>
        <w:tc>
          <w:tcPr>
            <w:tcW w:w="2473"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 </w:t>
            </w:r>
          </w:p>
        </w:tc>
        <w:tc>
          <w:tcPr>
            <w:tcW w:w="2558"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 </w:t>
            </w:r>
          </w:p>
        </w:tc>
        <w:tc>
          <w:tcPr>
            <w:tcW w:w="2639"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 </w:t>
            </w:r>
          </w:p>
        </w:tc>
      </w:tr>
    </w:tbl>
    <w:p>
      <w:pPr>
        <w:rPr>
          <w:rFonts w:hint="default" w:cs="宋体"/>
          <w:sz w:val="21"/>
          <w:szCs w:val="21"/>
        </w:rPr>
      </w:pPr>
      <w:r>
        <w:rPr>
          <w:rFonts w:cs="宋体"/>
          <w:sz w:val="21"/>
          <w:szCs w:val="21"/>
        </w:rPr>
        <w:t>备注：本表反映单位本年度政府性基金预算财政拨款收入支出及结转和结余情况。本单位无政府性基金收支，故本表无数据。</w:t>
      </w:r>
      <w:r>
        <w:rPr>
          <w:rFonts w:cs="宋体"/>
          <w:sz w:val="21"/>
          <w:szCs w:val="21"/>
        </w:rPr>
        <w:br w:type="textWrapping"/>
      </w:r>
      <w:r>
        <w:rPr>
          <w:rFonts w:cs="宋体"/>
          <w:sz w:val="21"/>
          <w:szCs w:val="21"/>
        </w:rPr>
        <w:br w:type="textWrapping"/>
      </w:r>
    </w:p>
    <w:p>
      <w:pPr>
        <w:rPr>
          <w:rFonts w:hint="default" w:cs="宋体"/>
          <w:sz w:val="21"/>
          <w:szCs w:val="21"/>
        </w:rPr>
      </w:pPr>
      <w:r>
        <w:rPr>
          <w:rFonts w:cs="宋体"/>
          <w:sz w:val="21"/>
          <w:szCs w:val="21"/>
        </w:rPr>
        <w:br w:type="page"/>
      </w:r>
    </w:p>
    <w:tbl>
      <w:tblPr>
        <w:tblStyle w:val="7"/>
        <w:tblW w:w="22220" w:type="dxa"/>
        <w:tblInd w:w="0" w:type="dxa"/>
        <w:tblLayout w:type="fixed"/>
        <w:tblCellMar>
          <w:top w:w="0" w:type="dxa"/>
          <w:left w:w="0" w:type="dxa"/>
          <w:bottom w:w="0" w:type="dxa"/>
          <w:right w:w="0" w:type="dxa"/>
        </w:tblCellMar>
      </w:tblPr>
      <w:tblGrid>
        <w:gridCol w:w="2729"/>
        <w:gridCol w:w="4420"/>
        <w:gridCol w:w="4736"/>
        <w:gridCol w:w="5423"/>
        <w:gridCol w:w="4912"/>
      </w:tblGrid>
      <w:tr>
        <w:tblPrEx>
          <w:tblCellMar>
            <w:top w:w="0" w:type="dxa"/>
            <w:left w:w="0" w:type="dxa"/>
            <w:bottom w:w="0" w:type="dxa"/>
            <w:right w:w="0" w:type="dxa"/>
          </w:tblCellMar>
        </w:tblPrEx>
        <w:trPr>
          <w:trHeight w:val="650" w:hRule="atLeast"/>
        </w:trPr>
        <w:tc>
          <w:tcPr>
            <w:tcW w:w="22220" w:type="dxa"/>
            <w:gridSpan w:val="5"/>
            <w:tcBorders>
              <w:top w:val="nil"/>
              <w:left w:val="nil"/>
              <w:bottom w:val="nil"/>
              <w:right w:val="nil"/>
            </w:tcBorders>
            <w:tcMar>
              <w:top w:w="15" w:type="dxa"/>
              <w:left w:w="15" w:type="dxa"/>
              <w:right w:w="15" w:type="dxa"/>
            </w:tcMar>
            <w:vAlign w:val="bottom"/>
          </w:tcPr>
          <w:p>
            <w:pPr>
              <w:jc w:val="center"/>
              <w:textAlignment w:val="bottom"/>
              <w:rPr>
                <w:rFonts w:hint="default" w:cs="宋体"/>
                <w:b/>
                <w:color w:val="000000"/>
                <w:sz w:val="40"/>
                <w:szCs w:val="40"/>
              </w:rPr>
            </w:pPr>
            <w:r>
              <w:rPr>
                <w:rFonts w:cs="宋体"/>
                <w:b/>
                <w:color w:val="000000"/>
                <w:sz w:val="44"/>
                <w:szCs w:val="44"/>
              </w:rPr>
              <w:t>国有资本经营预算财政拨款支出决算表</w:t>
            </w:r>
          </w:p>
        </w:tc>
      </w:tr>
      <w:tr>
        <w:tblPrEx>
          <w:tblCellMar>
            <w:top w:w="0" w:type="dxa"/>
            <w:left w:w="0" w:type="dxa"/>
            <w:bottom w:w="0" w:type="dxa"/>
            <w:right w:w="0" w:type="dxa"/>
          </w:tblCellMar>
        </w:tblPrEx>
        <w:trPr>
          <w:trHeight w:val="332" w:hRule="atLeast"/>
        </w:trPr>
        <w:tc>
          <w:tcPr>
            <w:tcW w:w="7149" w:type="dxa"/>
            <w:gridSpan w:val="2"/>
            <w:vMerge w:val="restart"/>
            <w:tcBorders>
              <w:top w:val="nil"/>
              <w:left w:val="nil"/>
              <w:right w:val="nil"/>
            </w:tcBorders>
            <w:tcMar>
              <w:top w:w="15" w:type="dxa"/>
              <w:left w:w="15" w:type="dxa"/>
              <w:right w:w="15" w:type="dxa"/>
            </w:tcMar>
            <w:vAlign w:val="bottom"/>
          </w:tcPr>
          <w:p>
            <w:pPr>
              <w:rPr>
                <w:rFonts w:hint="default" w:ascii="Arial" w:hAnsi="Arial" w:cs="Arial"/>
                <w:color w:val="000000"/>
                <w:sz w:val="20"/>
                <w:szCs w:val="20"/>
              </w:rPr>
            </w:pPr>
            <w:r>
              <w:rPr>
                <w:rFonts w:cs="宋体"/>
              </w:rPr>
              <w:t>公开单位</w:t>
            </w:r>
            <w:r>
              <w:rPr>
                <w:rFonts w:cs="宋体"/>
                <w:color w:val="000000"/>
              </w:rPr>
              <w:t xml:space="preserve">： </w:t>
            </w:r>
            <w:r>
              <w:rPr>
                <w:color w:val="000000"/>
              </w:rPr>
              <w:t>垫江县水土保持站</w:t>
            </w:r>
          </w:p>
        </w:tc>
        <w:tc>
          <w:tcPr>
            <w:tcW w:w="4736"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5423"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4912" w:type="dxa"/>
            <w:tcBorders>
              <w:top w:val="nil"/>
              <w:left w:val="nil"/>
              <w:bottom w:val="nil"/>
              <w:right w:val="nil"/>
            </w:tcBorders>
            <w:tcMar>
              <w:top w:w="15" w:type="dxa"/>
              <w:left w:w="15" w:type="dxa"/>
              <w:right w:w="15" w:type="dxa"/>
            </w:tcMar>
            <w:vAlign w:val="bottom"/>
          </w:tcPr>
          <w:p>
            <w:pPr>
              <w:jc w:val="right"/>
              <w:textAlignment w:val="bottom"/>
              <w:rPr>
                <w:rFonts w:hint="default" w:cs="宋体"/>
                <w:color w:val="000000"/>
              </w:rPr>
            </w:pPr>
            <w:r>
              <w:rPr>
                <w:rFonts w:cs="宋体"/>
                <w:color w:val="000000"/>
              </w:rPr>
              <w:t>公开08表</w:t>
            </w:r>
          </w:p>
        </w:tc>
      </w:tr>
      <w:tr>
        <w:tblPrEx>
          <w:tblCellMar>
            <w:top w:w="0" w:type="dxa"/>
            <w:left w:w="0" w:type="dxa"/>
            <w:bottom w:w="0" w:type="dxa"/>
            <w:right w:w="0" w:type="dxa"/>
          </w:tblCellMar>
        </w:tblPrEx>
        <w:trPr>
          <w:trHeight w:val="332" w:hRule="atLeast"/>
        </w:trPr>
        <w:tc>
          <w:tcPr>
            <w:tcW w:w="7149" w:type="dxa"/>
            <w:gridSpan w:val="2"/>
            <w:vMerge w:val="continue"/>
            <w:tcBorders>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4736"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5423"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4912" w:type="dxa"/>
            <w:tcBorders>
              <w:top w:val="nil"/>
              <w:left w:val="nil"/>
              <w:bottom w:val="nil"/>
              <w:right w:val="nil"/>
            </w:tcBorders>
            <w:tcMar>
              <w:top w:w="15" w:type="dxa"/>
              <w:left w:w="15" w:type="dxa"/>
              <w:right w:w="15" w:type="dxa"/>
            </w:tcMar>
            <w:vAlign w:val="bottom"/>
          </w:tcPr>
          <w:p>
            <w:pPr>
              <w:jc w:val="right"/>
              <w:textAlignment w:val="bottom"/>
              <w:rPr>
                <w:rFonts w:hint="default" w:cs="宋体"/>
                <w:color w:val="000000"/>
              </w:rPr>
            </w:pPr>
            <w:r>
              <w:rPr>
                <w:rFonts w:cs="宋体"/>
                <w:color w:val="000000"/>
              </w:rPr>
              <w:t>单位：</w:t>
            </w:r>
            <w:r>
              <w:rPr>
                <w:rFonts w:cs="宋体"/>
              </w:rPr>
              <w:t>万元</w:t>
            </w:r>
          </w:p>
        </w:tc>
      </w:tr>
      <w:tr>
        <w:tblPrEx>
          <w:tblCellMar>
            <w:top w:w="0" w:type="dxa"/>
            <w:left w:w="0" w:type="dxa"/>
            <w:bottom w:w="0" w:type="dxa"/>
            <w:right w:w="0" w:type="dxa"/>
          </w:tblCellMar>
        </w:tblPrEx>
        <w:trPr>
          <w:trHeight w:val="422" w:hRule="atLeast"/>
        </w:trPr>
        <w:tc>
          <w:tcPr>
            <w:tcW w:w="7149" w:type="dxa"/>
            <w:gridSpan w:val="2"/>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pPr>
              <w:jc w:val="center"/>
              <w:textAlignment w:val="bottom"/>
              <w:rPr>
                <w:rFonts w:hint="default" w:cs="宋体"/>
                <w:b/>
                <w:color w:val="000000"/>
                <w:sz w:val="22"/>
                <w:szCs w:val="22"/>
              </w:rPr>
            </w:pPr>
            <w:r>
              <w:rPr>
                <w:rFonts w:cs="宋体"/>
                <w:b/>
                <w:color w:val="000000"/>
                <w:sz w:val="22"/>
                <w:szCs w:val="22"/>
              </w:rPr>
              <w:t>项目</w:t>
            </w:r>
          </w:p>
        </w:tc>
        <w:tc>
          <w:tcPr>
            <w:tcW w:w="15071" w:type="dxa"/>
            <w:gridSpan w:val="3"/>
            <w:tcBorders>
              <w:top w:val="single" w:color="000000" w:sz="4" w:space="0"/>
              <w:left w:val="single" w:color="000000" w:sz="4" w:space="0"/>
              <w:bottom w:val="single" w:color="000000" w:sz="4" w:space="0"/>
              <w:right w:val="single" w:color="000000" w:sz="4" w:space="0"/>
            </w:tcBorders>
            <w:shd w:val="clear" w:color="auto" w:fill="C0C0C0"/>
            <w:tcMar>
              <w:top w:w="15" w:type="dxa"/>
              <w:left w:w="15" w:type="dxa"/>
              <w:right w:w="15" w:type="dxa"/>
            </w:tcMar>
            <w:vAlign w:val="bottom"/>
          </w:tcPr>
          <w:p>
            <w:pPr>
              <w:jc w:val="center"/>
              <w:textAlignment w:val="bottom"/>
              <w:rPr>
                <w:rFonts w:hint="default" w:cs="宋体"/>
                <w:b/>
                <w:color w:val="000000"/>
                <w:sz w:val="22"/>
                <w:szCs w:val="22"/>
              </w:rPr>
            </w:pPr>
            <w:r>
              <w:rPr>
                <w:rFonts w:cs="宋体"/>
                <w:b/>
                <w:color w:val="000000"/>
                <w:sz w:val="22"/>
                <w:szCs w:val="22"/>
              </w:rPr>
              <w:t>本年支出</w:t>
            </w:r>
          </w:p>
        </w:tc>
      </w:tr>
      <w:tr>
        <w:tblPrEx>
          <w:tblCellMar>
            <w:top w:w="0" w:type="dxa"/>
            <w:left w:w="0" w:type="dxa"/>
            <w:bottom w:w="0" w:type="dxa"/>
            <w:right w:w="0" w:type="dxa"/>
          </w:tblCellMar>
        </w:tblPrEx>
        <w:trPr>
          <w:trHeight w:val="339" w:hRule="atLeast"/>
        </w:trPr>
        <w:tc>
          <w:tcPr>
            <w:tcW w:w="2729"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功能分类科目编码</w:t>
            </w:r>
          </w:p>
        </w:tc>
        <w:tc>
          <w:tcPr>
            <w:tcW w:w="4420"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科目名称</w:t>
            </w:r>
          </w:p>
        </w:tc>
        <w:tc>
          <w:tcPr>
            <w:tcW w:w="4736"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合计</w:t>
            </w:r>
          </w:p>
        </w:tc>
        <w:tc>
          <w:tcPr>
            <w:tcW w:w="542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基本支出</w:t>
            </w:r>
          </w:p>
        </w:tc>
        <w:tc>
          <w:tcPr>
            <w:tcW w:w="4912"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项目支出</w:t>
            </w:r>
          </w:p>
        </w:tc>
      </w:tr>
      <w:tr>
        <w:tblPrEx>
          <w:tblCellMar>
            <w:top w:w="0" w:type="dxa"/>
            <w:left w:w="0" w:type="dxa"/>
            <w:bottom w:w="0" w:type="dxa"/>
            <w:right w:w="0" w:type="dxa"/>
          </w:tblCellMar>
        </w:tblPrEx>
        <w:trPr>
          <w:trHeight w:val="339" w:hRule="atLeast"/>
        </w:trPr>
        <w:tc>
          <w:tcPr>
            <w:tcW w:w="2729"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42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736"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542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912"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CellMar>
            <w:top w:w="0" w:type="dxa"/>
            <w:left w:w="0" w:type="dxa"/>
            <w:bottom w:w="0" w:type="dxa"/>
            <w:right w:w="0" w:type="dxa"/>
          </w:tblCellMar>
        </w:tblPrEx>
        <w:trPr>
          <w:trHeight w:val="339" w:hRule="atLeast"/>
        </w:trPr>
        <w:tc>
          <w:tcPr>
            <w:tcW w:w="2729"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42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736"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542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912"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CellMar>
            <w:top w:w="0" w:type="dxa"/>
            <w:left w:w="0" w:type="dxa"/>
            <w:bottom w:w="0" w:type="dxa"/>
            <w:right w:w="0" w:type="dxa"/>
          </w:tblCellMar>
        </w:tblPrEx>
        <w:trPr>
          <w:trHeight w:val="312" w:hRule="atLeast"/>
        </w:trPr>
        <w:tc>
          <w:tcPr>
            <w:tcW w:w="2729"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42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736"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542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c>
          <w:tcPr>
            <w:tcW w:w="4912"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2"/>
                <w:szCs w:val="22"/>
              </w:rPr>
            </w:pPr>
          </w:p>
        </w:tc>
      </w:tr>
      <w:tr>
        <w:tblPrEx>
          <w:tblCellMar>
            <w:top w:w="0" w:type="dxa"/>
            <w:left w:w="0" w:type="dxa"/>
            <w:bottom w:w="0" w:type="dxa"/>
            <w:right w:w="0" w:type="dxa"/>
          </w:tblCellMar>
        </w:tblPrEx>
        <w:trPr>
          <w:trHeight w:val="611" w:hRule="atLeast"/>
        </w:trPr>
        <w:tc>
          <w:tcPr>
            <w:tcW w:w="7149"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合计</w:t>
            </w:r>
          </w:p>
        </w:tc>
        <w:tc>
          <w:tcPr>
            <w:tcW w:w="4736"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 </w:t>
            </w:r>
          </w:p>
        </w:tc>
        <w:tc>
          <w:tcPr>
            <w:tcW w:w="5423" w:type="dxa"/>
            <w:tcBorders>
              <w:top w:val="nil"/>
              <w:left w:val="nil"/>
              <w:bottom w:val="single" w:color="000000" w:sz="4" w:space="0"/>
              <w:right w:val="single" w:color="000000" w:sz="4" w:space="0"/>
            </w:tcBorders>
            <w:tcMar>
              <w:top w:w="15" w:type="dxa"/>
              <w:left w:w="15" w:type="dxa"/>
              <w:right w:w="15" w:type="dxa"/>
            </w:tcMar>
            <w:vAlign w:val="center"/>
          </w:tcPr>
          <w:p>
            <w:pPr>
              <w:jc w:val="right"/>
              <w:rPr>
                <w:rFonts w:hint="default" w:cs="宋体"/>
                <w:b/>
                <w:color w:val="000000"/>
                <w:sz w:val="22"/>
                <w:szCs w:val="22"/>
              </w:rPr>
            </w:pPr>
          </w:p>
        </w:tc>
        <w:tc>
          <w:tcPr>
            <w:tcW w:w="4912" w:type="dxa"/>
            <w:tcBorders>
              <w:top w:val="nil"/>
              <w:left w:val="nil"/>
              <w:bottom w:val="single" w:color="000000" w:sz="4" w:space="0"/>
              <w:right w:val="single" w:color="000000" w:sz="4" w:space="0"/>
            </w:tcBorders>
            <w:tcMar>
              <w:top w:w="15" w:type="dxa"/>
              <w:left w:w="15" w:type="dxa"/>
              <w:right w:w="15" w:type="dxa"/>
            </w:tcMar>
            <w:vAlign w:val="center"/>
          </w:tcPr>
          <w:p>
            <w:pPr>
              <w:wordWrap w:val="0"/>
              <w:jc w:val="right"/>
              <w:textAlignment w:val="center"/>
              <w:rPr>
                <w:rFonts w:hint="default" w:cs="宋体"/>
                <w:b/>
                <w:color w:val="000000"/>
                <w:sz w:val="22"/>
                <w:szCs w:val="22"/>
              </w:rPr>
            </w:pPr>
            <w:r>
              <w:rPr>
                <w:rFonts w:cs="宋体"/>
                <w:b/>
                <w:bCs/>
                <w:color w:val="000000"/>
                <w:sz w:val="21"/>
                <w:szCs w:val="21"/>
              </w:rPr>
              <w:t xml:space="preserve"> </w:t>
            </w:r>
          </w:p>
        </w:tc>
      </w:tr>
    </w:tbl>
    <w:p>
      <w:pPr>
        <w:rPr>
          <w:rFonts w:hint="default" w:cs="宋体"/>
          <w:sz w:val="21"/>
          <w:szCs w:val="21"/>
        </w:rPr>
      </w:pPr>
      <w:r>
        <w:rPr>
          <w:rFonts w:cs="宋体"/>
          <w:sz w:val="21"/>
          <w:szCs w:val="21"/>
        </w:rPr>
        <w:t>备注：本表反映单位本年度国有资本经营预算财政拨款支出情况。本单位无国有资本经营收支，故本表无数据。</w:t>
      </w:r>
      <w:r>
        <w:rPr>
          <w:rFonts w:cs="宋体"/>
          <w:sz w:val="21"/>
          <w:szCs w:val="21"/>
        </w:rPr>
        <w:br w:type="textWrapping"/>
      </w:r>
      <w:r>
        <w:rPr>
          <w:rFonts w:cs="宋体"/>
          <w:sz w:val="21"/>
          <w:szCs w:val="21"/>
        </w:rPr>
        <w:br w:type="textWrapping"/>
      </w:r>
    </w:p>
    <w:p>
      <w:pPr>
        <w:rPr>
          <w:rFonts w:hint="default" w:cs="宋体"/>
          <w:sz w:val="21"/>
          <w:szCs w:val="21"/>
        </w:rPr>
      </w:pPr>
      <w:r>
        <w:rPr>
          <w:rFonts w:cs="宋体"/>
          <w:sz w:val="21"/>
          <w:szCs w:val="21"/>
        </w:rPr>
        <w:br w:type="page"/>
      </w:r>
    </w:p>
    <w:tbl>
      <w:tblPr>
        <w:tblStyle w:val="7"/>
        <w:tblW w:w="22168" w:type="dxa"/>
        <w:tblInd w:w="0" w:type="dxa"/>
        <w:tblLayout w:type="fixed"/>
        <w:tblCellMar>
          <w:top w:w="0" w:type="dxa"/>
          <w:left w:w="0" w:type="dxa"/>
          <w:bottom w:w="0" w:type="dxa"/>
          <w:right w:w="0" w:type="dxa"/>
        </w:tblCellMar>
      </w:tblPr>
      <w:tblGrid>
        <w:gridCol w:w="5159"/>
        <w:gridCol w:w="3822"/>
        <w:gridCol w:w="3281"/>
        <w:gridCol w:w="6581"/>
        <w:gridCol w:w="3325"/>
      </w:tblGrid>
      <w:tr>
        <w:tblPrEx>
          <w:tblCellMar>
            <w:top w:w="0" w:type="dxa"/>
            <w:left w:w="0" w:type="dxa"/>
            <w:bottom w:w="0" w:type="dxa"/>
            <w:right w:w="0" w:type="dxa"/>
          </w:tblCellMar>
        </w:tblPrEx>
        <w:trPr>
          <w:trHeight w:val="510" w:hRule="atLeast"/>
        </w:trPr>
        <w:tc>
          <w:tcPr>
            <w:tcW w:w="22168" w:type="dxa"/>
            <w:gridSpan w:val="5"/>
            <w:tcBorders>
              <w:top w:val="nil"/>
              <w:left w:val="nil"/>
              <w:bottom w:val="nil"/>
              <w:right w:val="nil"/>
            </w:tcBorders>
            <w:tcMar>
              <w:top w:w="15" w:type="dxa"/>
              <w:left w:w="15" w:type="dxa"/>
              <w:right w:w="15" w:type="dxa"/>
            </w:tcMar>
            <w:vAlign w:val="bottom"/>
          </w:tcPr>
          <w:p>
            <w:pPr>
              <w:jc w:val="center"/>
              <w:textAlignment w:val="bottom"/>
              <w:rPr>
                <w:rFonts w:hint="default" w:cs="宋体"/>
                <w:b/>
                <w:color w:val="000000"/>
                <w:sz w:val="40"/>
                <w:szCs w:val="40"/>
              </w:rPr>
            </w:pPr>
            <w:r>
              <w:rPr>
                <w:rFonts w:cs="宋体"/>
                <w:b/>
                <w:color w:val="000000"/>
                <w:sz w:val="44"/>
                <w:szCs w:val="44"/>
              </w:rPr>
              <w:t>机构运行信息表</w:t>
            </w:r>
          </w:p>
        </w:tc>
      </w:tr>
      <w:tr>
        <w:tblPrEx>
          <w:tblCellMar>
            <w:top w:w="0" w:type="dxa"/>
            <w:left w:w="0" w:type="dxa"/>
            <w:bottom w:w="0" w:type="dxa"/>
            <w:right w:w="0" w:type="dxa"/>
          </w:tblCellMar>
        </w:tblPrEx>
        <w:trPr>
          <w:trHeight w:val="255" w:hRule="atLeast"/>
        </w:trPr>
        <w:tc>
          <w:tcPr>
            <w:tcW w:w="5159"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3822" w:type="dxa"/>
            <w:tcBorders>
              <w:top w:val="nil"/>
              <w:left w:val="nil"/>
              <w:bottom w:val="nil"/>
              <w:right w:val="nil"/>
            </w:tcBorders>
            <w:tcMar>
              <w:top w:w="15" w:type="dxa"/>
              <w:left w:w="15" w:type="dxa"/>
              <w:right w:w="15" w:type="dxa"/>
            </w:tcMar>
            <w:vAlign w:val="bottom"/>
          </w:tcPr>
          <w:p>
            <w:pPr>
              <w:jc w:val="center"/>
              <w:rPr>
                <w:rFonts w:hint="default" w:ascii="Arial" w:hAnsi="Arial" w:cs="Arial"/>
                <w:color w:val="000000"/>
                <w:sz w:val="20"/>
                <w:szCs w:val="20"/>
              </w:rPr>
            </w:pPr>
          </w:p>
        </w:tc>
        <w:tc>
          <w:tcPr>
            <w:tcW w:w="3281" w:type="dxa"/>
            <w:tcBorders>
              <w:top w:val="nil"/>
              <w:left w:val="nil"/>
              <w:bottom w:val="nil"/>
              <w:right w:val="nil"/>
            </w:tcBorders>
            <w:tcMar>
              <w:top w:w="15" w:type="dxa"/>
              <w:left w:w="15" w:type="dxa"/>
              <w:right w:w="15" w:type="dxa"/>
            </w:tcMar>
            <w:vAlign w:val="bottom"/>
          </w:tcPr>
          <w:p>
            <w:pPr>
              <w:jc w:val="right"/>
              <w:rPr>
                <w:rFonts w:hint="default" w:ascii="Arial" w:hAnsi="Arial" w:cs="Arial"/>
                <w:color w:val="000000"/>
                <w:sz w:val="20"/>
                <w:szCs w:val="20"/>
              </w:rPr>
            </w:pPr>
          </w:p>
        </w:tc>
        <w:tc>
          <w:tcPr>
            <w:tcW w:w="6581"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0"/>
                <w:szCs w:val="20"/>
              </w:rPr>
            </w:pPr>
          </w:p>
        </w:tc>
        <w:tc>
          <w:tcPr>
            <w:tcW w:w="3325" w:type="dxa"/>
            <w:tcBorders>
              <w:top w:val="nil"/>
              <w:left w:val="nil"/>
              <w:bottom w:val="nil"/>
              <w:right w:val="nil"/>
            </w:tcBorders>
            <w:tcMar>
              <w:top w:w="15" w:type="dxa"/>
              <w:left w:w="15" w:type="dxa"/>
              <w:right w:w="15" w:type="dxa"/>
            </w:tcMar>
            <w:vAlign w:val="bottom"/>
          </w:tcPr>
          <w:p>
            <w:pPr>
              <w:jc w:val="right"/>
              <w:textAlignment w:val="bottom"/>
              <w:rPr>
                <w:rFonts w:hint="default" w:cs="宋体"/>
                <w:color w:val="000000"/>
              </w:rPr>
            </w:pPr>
            <w:r>
              <w:rPr>
                <w:rFonts w:cs="宋体"/>
                <w:color w:val="000000"/>
              </w:rPr>
              <w:t>公开09表</w:t>
            </w:r>
          </w:p>
        </w:tc>
      </w:tr>
      <w:tr>
        <w:tblPrEx>
          <w:tblCellMar>
            <w:top w:w="0" w:type="dxa"/>
            <w:left w:w="0" w:type="dxa"/>
            <w:bottom w:w="0" w:type="dxa"/>
            <w:right w:w="0" w:type="dxa"/>
          </w:tblCellMar>
        </w:tblPrEx>
        <w:trPr>
          <w:trHeight w:val="285" w:hRule="atLeast"/>
        </w:trPr>
        <w:tc>
          <w:tcPr>
            <w:tcW w:w="5159" w:type="dxa"/>
            <w:tcBorders>
              <w:top w:val="nil"/>
              <w:left w:val="nil"/>
              <w:bottom w:val="nil"/>
              <w:right w:val="nil"/>
            </w:tcBorders>
            <w:tcMar>
              <w:top w:w="15" w:type="dxa"/>
              <w:left w:w="15" w:type="dxa"/>
              <w:right w:w="15" w:type="dxa"/>
            </w:tcMar>
            <w:vAlign w:val="bottom"/>
          </w:tcPr>
          <w:p>
            <w:pPr>
              <w:textAlignment w:val="bottom"/>
              <w:rPr>
                <w:rFonts w:hint="default" w:ascii="Arial" w:hAnsi="Arial" w:cs="Arial"/>
                <w:color w:val="000000"/>
                <w:sz w:val="22"/>
                <w:szCs w:val="22"/>
              </w:rPr>
            </w:pPr>
            <w:r>
              <w:rPr>
                <w:rFonts w:cs="宋体"/>
              </w:rPr>
              <w:t>公开单位</w:t>
            </w:r>
            <w:r>
              <w:rPr>
                <w:rFonts w:cs="宋体"/>
                <w:color w:val="000000"/>
              </w:rPr>
              <w:t xml:space="preserve">： </w:t>
            </w:r>
            <w:r>
              <w:rPr>
                <w:color w:val="000000"/>
              </w:rPr>
              <w:t>垫江县水土保持站</w:t>
            </w:r>
          </w:p>
        </w:tc>
        <w:tc>
          <w:tcPr>
            <w:tcW w:w="3822" w:type="dxa"/>
            <w:tcBorders>
              <w:top w:val="nil"/>
              <w:left w:val="nil"/>
              <w:bottom w:val="nil"/>
              <w:right w:val="nil"/>
            </w:tcBorders>
            <w:tcMar>
              <w:top w:w="15" w:type="dxa"/>
              <w:left w:w="15" w:type="dxa"/>
              <w:right w:w="15" w:type="dxa"/>
            </w:tcMar>
            <w:vAlign w:val="bottom"/>
          </w:tcPr>
          <w:p>
            <w:pPr>
              <w:jc w:val="center"/>
              <w:rPr>
                <w:rFonts w:hint="default" w:cs="宋体"/>
                <w:color w:val="000000"/>
                <w:sz w:val="22"/>
                <w:szCs w:val="22"/>
              </w:rPr>
            </w:pPr>
          </w:p>
        </w:tc>
        <w:tc>
          <w:tcPr>
            <w:tcW w:w="3281" w:type="dxa"/>
            <w:tcBorders>
              <w:top w:val="nil"/>
              <w:left w:val="nil"/>
              <w:bottom w:val="nil"/>
              <w:right w:val="nil"/>
            </w:tcBorders>
            <w:tcMar>
              <w:top w:w="15" w:type="dxa"/>
              <w:left w:w="15" w:type="dxa"/>
              <w:right w:w="15" w:type="dxa"/>
            </w:tcMar>
            <w:vAlign w:val="bottom"/>
          </w:tcPr>
          <w:p>
            <w:pPr>
              <w:jc w:val="right"/>
              <w:rPr>
                <w:rFonts w:hint="default" w:ascii="Arial" w:hAnsi="Arial" w:cs="Arial"/>
                <w:color w:val="000000"/>
                <w:sz w:val="22"/>
                <w:szCs w:val="22"/>
              </w:rPr>
            </w:pPr>
          </w:p>
        </w:tc>
        <w:tc>
          <w:tcPr>
            <w:tcW w:w="6581" w:type="dxa"/>
            <w:tcBorders>
              <w:top w:val="nil"/>
              <w:left w:val="nil"/>
              <w:bottom w:val="nil"/>
              <w:right w:val="nil"/>
            </w:tcBorders>
            <w:tcMar>
              <w:top w:w="15" w:type="dxa"/>
              <w:left w:w="15" w:type="dxa"/>
              <w:right w:w="15" w:type="dxa"/>
            </w:tcMar>
            <w:vAlign w:val="bottom"/>
          </w:tcPr>
          <w:p>
            <w:pPr>
              <w:rPr>
                <w:rFonts w:hint="default" w:ascii="Arial" w:hAnsi="Arial" w:cs="Arial"/>
                <w:color w:val="000000"/>
                <w:sz w:val="22"/>
                <w:szCs w:val="22"/>
              </w:rPr>
            </w:pPr>
          </w:p>
        </w:tc>
        <w:tc>
          <w:tcPr>
            <w:tcW w:w="3325" w:type="dxa"/>
            <w:tcBorders>
              <w:top w:val="nil"/>
              <w:left w:val="nil"/>
              <w:bottom w:val="nil"/>
              <w:right w:val="nil"/>
            </w:tcBorders>
            <w:tcMar>
              <w:top w:w="15" w:type="dxa"/>
              <w:left w:w="15" w:type="dxa"/>
              <w:right w:w="15" w:type="dxa"/>
            </w:tcMar>
            <w:vAlign w:val="bottom"/>
          </w:tcPr>
          <w:p>
            <w:pPr>
              <w:jc w:val="right"/>
              <w:textAlignment w:val="bottom"/>
              <w:rPr>
                <w:rFonts w:hint="default" w:cs="宋体"/>
                <w:color w:val="000000"/>
              </w:rPr>
            </w:pPr>
            <w:r>
              <w:rPr>
                <w:rFonts w:cs="宋体"/>
                <w:color w:val="000000"/>
              </w:rPr>
              <w:t>单位：</w:t>
            </w:r>
            <w:r>
              <w:rPr>
                <w:rFonts w:cs="宋体"/>
              </w:rPr>
              <w:t>万元</w:t>
            </w:r>
          </w:p>
        </w:tc>
      </w:tr>
      <w:tr>
        <w:tblPrEx>
          <w:tblCellMar>
            <w:top w:w="0" w:type="dxa"/>
            <w:left w:w="0" w:type="dxa"/>
            <w:bottom w:w="0" w:type="dxa"/>
            <w:right w:w="0" w:type="dxa"/>
          </w:tblCellMar>
        </w:tblPrEx>
        <w:trPr>
          <w:trHeight w:val="308" w:hRule="atLeast"/>
        </w:trPr>
        <w:tc>
          <w:tcPr>
            <w:tcW w:w="5159" w:type="dxa"/>
            <w:tcBorders>
              <w:top w:val="single" w:color="000000" w:sz="4" w:space="0"/>
              <w:left w:val="single" w:color="000000" w:sz="4" w:space="0"/>
              <w:bottom w:val="single" w:color="000000" w:sz="4" w:space="0"/>
              <w:right w:val="nil"/>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项  目</w:t>
            </w:r>
          </w:p>
        </w:tc>
        <w:tc>
          <w:tcPr>
            <w:tcW w:w="3822"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预算数</w:t>
            </w:r>
          </w:p>
        </w:tc>
        <w:tc>
          <w:tcPr>
            <w:tcW w:w="3281" w:type="dxa"/>
            <w:tcBorders>
              <w:top w:val="single" w:color="000000" w:sz="4" w:space="0"/>
              <w:left w:val="nil"/>
              <w:bottom w:val="nil"/>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决算数</w:t>
            </w:r>
          </w:p>
        </w:tc>
        <w:tc>
          <w:tcPr>
            <w:tcW w:w="6581" w:type="dxa"/>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项  目</w:t>
            </w:r>
          </w:p>
        </w:tc>
        <w:tc>
          <w:tcPr>
            <w:tcW w:w="3325" w:type="dxa"/>
            <w:tcBorders>
              <w:top w:val="single" w:color="000000" w:sz="4" w:space="0"/>
              <w:left w:val="nil"/>
              <w:bottom w:val="nil"/>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2"/>
                <w:szCs w:val="22"/>
              </w:rPr>
            </w:pPr>
            <w:r>
              <w:rPr>
                <w:rFonts w:cs="宋体"/>
                <w:b/>
                <w:color w:val="000000"/>
                <w:sz w:val="22"/>
                <w:szCs w:val="22"/>
              </w:rPr>
              <w:t>决算数</w:t>
            </w:r>
          </w:p>
        </w:tc>
      </w:tr>
      <w:tr>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一、“三公”经费支出</w:t>
            </w:r>
          </w:p>
        </w:tc>
        <w:tc>
          <w:tcPr>
            <w:tcW w:w="3822"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四、机关运行经费</w:t>
            </w: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r>
      <w:tr>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（一）支出合计</w:t>
            </w:r>
          </w:p>
        </w:tc>
        <w:tc>
          <w:tcPr>
            <w:tcW w:w="3822"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3.07 </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3.07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（一）行政单位</w:t>
            </w: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r>
      <w:tr>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1．因公出国（境）费</w:t>
            </w:r>
          </w:p>
        </w:tc>
        <w:tc>
          <w:tcPr>
            <w:tcW w:w="3822"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（二）参照公务员法管理事业单位</w:t>
            </w: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r>
      <w:tr>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2．公务用车购置及运行维护费</w:t>
            </w:r>
          </w:p>
        </w:tc>
        <w:tc>
          <w:tcPr>
            <w:tcW w:w="3822"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2.87 </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2.87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五、资产信息</w:t>
            </w: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r>
      <w:tr>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（1）公务用车购置费</w:t>
            </w:r>
          </w:p>
        </w:tc>
        <w:tc>
          <w:tcPr>
            <w:tcW w:w="3822"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（一）车辆数合计（辆）</w:t>
            </w: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1 </w:t>
            </w:r>
          </w:p>
        </w:tc>
      </w:tr>
      <w:tr>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（2）公务用车运行维护费</w:t>
            </w:r>
          </w:p>
        </w:tc>
        <w:tc>
          <w:tcPr>
            <w:tcW w:w="3822"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2.87 </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2.87 </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1．副部（省）级及以上领导用车</w:t>
            </w: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r>
      <w:tr>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3．公务接待费</w:t>
            </w:r>
          </w:p>
        </w:tc>
        <w:tc>
          <w:tcPr>
            <w:tcW w:w="3822"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0.21 </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0.21 </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2．主要领导干部用车</w:t>
            </w: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r>
      <w:tr>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（1）国内接待费</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0.21 </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3．机要通信用车</w:t>
            </w: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r>
      <w:tr>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其中：外事接待费</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4．应急保障用车</w:t>
            </w: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1 </w:t>
            </w:r>
          </w:p>
        </w:tc>
      </w:tr>
      <w:tr>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（2）国（境）外接待费</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5．执法执勤用车</w:t>
            </w: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r>
      <w:tr>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（二）相关统计数</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6．特种专业技术用车</w:t>
            </w: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r>
      <w:tr>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1．因公出国（境）团组数（个）</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7．离退休干部用车</w:t>
            </w: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r>
      <w:tr>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2．因公出国（境）人次数（人）</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8．其他用车</w:t>
            </w: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r>
      <w:tr>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3．公务用车购置数（辆）</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c>
          <w:tcPr>
            <w:tcW w:w="6581" w:type="dxa"/>
            <w:tcBorders>
              <w:top w:val="nil"/>
              <w:left w:val="nil"/>
              <w:bottom w:val="single" w:color="000000" w:sz="4" w:space="0"/>
              <w:right w:val="single" w:color="000000" w:sz="4" w:space="0"/>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（二）单价100万元（含）以上设备（不含车辆）</w:t>
            </w: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r>
      <w:tr>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4．公务用车保有量（辆）</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1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六、政府采购支出信息</w:t>
            </w: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r>
      <w:tr>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5．国内公务接待批次（个）</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3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（一）政府采购支出合计</w:t>
            </w: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r>
      <w:tr>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其中：外事接待批次（个）</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1．政府采购货物支出</w:t>
            </w: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r>
      <w:tr>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6．国内公务接待人次（人）</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28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2．政府采购工程支出</w:t>
            </w: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r>
      <w:tr>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其中：外事接待人次（人）</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3．政府采购服务支出</w:t>
            </w: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r>
      <w:tr>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7．国（境）外公务接待批次（个）</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（二）政府采购授予中小企业合同金额</w:t>
            </w: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r>
      <w:tr>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BFBFBF"/>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8．国（境）外公务接待人次（人）</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FFFFFF"/>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 xml:space="preserve">        其中：授予小微企业合同金额</w:t>
            </w: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r>
      <w:tr>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二、会议费</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jc w:val="right"/>
              <w:rPr>
                <w:rFonts w:hint="default" w:ascii="Arial" w:hAnsi="Arial" w:cs="Arial"/>
                <w:color w:val="000000"/>
                <w:sz w:val="20"/>
                <w:szCs w:val="20"/>
              </w:rPr>
            </w:pPr>
          </w:p>
        </w:tc>
      </w:tr>
      <w:tr>
        <w:tblPrEx>
          <w:tblCellMar>
            <w:top w:w="0" w:type="dxa"/>
            <w:left w:w="0" w:type="dxa"/>
            <w:bottom w:w="0" w:type="dxa"/>
            <w:right w:w="0" w:type="dxa"/>
          </w:tblCellMar>
        </w:tblPrEx>
        <w:trPr>
          <w:trHeight w:val="308" w:hRule="atLeast"/>
        </w:trPr>
        <w:tc>
          <w:tcPr>
            <w:tcW w:w="5159" w:type="dxa"/>
            <w:tcBorders>
              <w:top w:val="nil"/>
              <w:left w:val="single" w:color="000000" w:sz="4" w:space="0"/>
              <w:bottom w:val="single" w:color="000000" w:sz="4" w:space="0"/>
              <w:right w:val="nil"/>
            </w:tcBorders>
            <w:shd w:val="clear" w:color="FFFFFF" w:fill="C0C0C0"/>
            <w:tcMar>
              <w:top w:w="15" w:type="dxa"/>
              <w:left w:w="15" w:type="dxa"/>
              <w:right w:w="15" w:type="dxa"/>
            </w:tcMar>
            <w:vAlign w:val="center"/>
          </w:tcPr>
          <w:p>
            <w:pPr>
              <w:textAlignment w:val="center"/>
              <w:rPr>
                <w:rFonts w:hint="default" w:cs="宋体"/>
                <w:color w:val="000000"/>
                <w:sz w:val="22"/>
                <w:szCs w:val="22"/>
              </w:rPr>
            </w:pPr>
            <w:r>
              <w:rPr>
                <w:rFonts w:cs="宋体"/>
                <w:color w:val="000000"/>
                <w:sz w:val="22"/>
                <w:szCs w:val="22"/>
              </w:rPr>
              <w:t>三、培训费</w:t>
            </w:r>
          </w:p>
        </w:tc>
        <w:tc>
          <w:tcPr>
            <w:tcW w:w="382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textAlignment w:val="center"/>
              <w:rPr>
                <w:rFonts w:hint="default" w:cs="宋体"/>
                <w:color w:val="000000"/>
                <w:sz w:val="22"/>
                <w:szCs w:val="22"/>
              </w:rPr>
            </w:pPr>
            <w:r>
              <w:rPr>
                <w:rFonts w:cs="宋体"/>
                <w:color w:val="000000"/>
                <w:sz w:val="22"/>
                <w:szCs w:val="22"/>
              </w:rPr>
              <w:t>—</w:t>
            </w:r>
          </w:p>
        </w:tc>
        <w:tc>
          <w:tcPr>
            <w:tcW w:w="3281"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bottom"/>
          </w:tcPr>
          <w:p>
            <w:pPr>
              <w:wordWrap w:val="0"/>
              <w:jc w:val="right"/>
              <w:textAlignment w:val="bottom"/>
              <w:rPr>
                <w:rFonts w:hint="default" w:ascii="Arial" w:hAnsi="Arial" w:cs="Arial"/>
                <w:color w:val="000000"/>
                <w:sz w:val="20"/>
                <w:szCs w:val="20"/>
              </w:rPr>
            </w:pPr>
            <w:r>
              <w:rPr>
                <w:rFonts w:cs="宋体"/>
                <w:color w:val="000000"/>
                <w:sz w:val="21"/>
                <w:szCs w:val="21"/>
              </w:rPr>
              <w:t xml:space="preserve">0.12 </w:t>
            </w:r>
          </w:p>
        </w:tc>
        <w:tc>
          <w:tcPr>
            <w:tcW w:w="6581" w:type="dxa"/>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rPr>
                <w:rFonts w:hint="default" w:cs="宋体"/>
                <w:color w:val="000000"/>
                <w:sz w:val="22"/>
                <w:szCs w:val="22"/>
              </w:rPr>
            </w:pPr>
          </w:p>
        </w:tc>
        <w:tc>
          <w:tcPr>
            <w:tcW w:w="332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bottom"/>
          </w:tcPr>
          <w:p>
            <w:pPr>
              <w:jc w:val="right"/>
              <w:rPr>
                <w:rFonts w:hint="default" w:ascii="Arial" w:hAnsi="Arial" w:cs="Arial"/>
                <w:color w:val="000000"/>
                <w:sz w:val="20"/>
                <w:szCs w:val="20"/>
              </w:rPr>
            </w:pPr>
          </w:p>
        </w:tc>
      </w:tr>
    </w:tbl>
    <w:p>
      <w:pPr>
        <w:rPr>
          <w:rFonts w:hint="default" w:cs="宋体"/>
          <w:sz w:val="21"/>
          <w:szCs w:val="21"/>
        </w:rPr>
      </w:pPr>
      <w:r>
        <w:rPr>
          <w:rFonts w:cs="宋体"/>
          <w:sz w:val="21"/>
          <w:szCs w:val="21"/>
        </w:rPr>
        <w:t>备注：1.本表反映单位本年度财政拨款“三公”经费支出预决算情况。其中，预算数为“三公”经费全年预算数，反映按规定程序调整后的预算数；决算数为包括本年度财政拨款和以前年度结转资金安排的实际支出。</w:t>
      </w:r>
      <w:r>
        <w:rPr>
          <w:rFonts w:cs="宋体"/>
          <w:sz w:val="21"/>
          <w:szCs w:val="21"/>
        </w:rPr>
        <w:br w:type="textWrapping"/>
      </w:r>
      <w:r>
        <w:rPr>
          <w:rFonts w:cs="宋体"/>
          <w:sz w:val="21"/>
          <w:szCs w:val="21"/>
        </w:rPr>
        <w:t xml:space="preserve">      2.本套报表金额单位转换时可能存在尾数误差。</w:t>
      </w:r>
      <w:r>
        <w:rPr>
          <w:rFonts w:cs="宋体"/>
          <w:sz w:val="21"/>
          <w:szCs w:val="21"/>
        </w:rPr>
        <w:br w:type="textWrapping"/>
      </w:r>
      <w:r>
        <w:rPr>
          <w:rFonts w:cs="宋体"/>
          <w:sz w:val="21"/>
          <w:szCs w:val="21"/>
        </w:rPr>
        <w:br w:type="textWrapping"/>
      </w: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rPr>
          <w:rFonts w:hint="default" w:cs="宋体"/>
          <w:color w:val="000000"/>
          <w:sz w:val="21"/>
          <w:szCs w:val="21"/>
        </w:rPr>
      </w:pPr>
    </w:p>
    <w:p>
      <w:pPr>
        <w:pStyle w:val="11"/>
        <w:autoSpaceDE w:val="0"/>
        <w:ind w:firstLine="0" w:firstLineChars="0"/>
        <w:rPr>
          <w:rFonts w:cs="宋体"/>
          <w:sz w:val="21"/>
          <w:szCs w:val="21"/>
        </w:rPr>
      </w:pPr>
    </w:p>
    <w:sectPr>
      <w:headerReference r:id="rId4" w:type="default"/>
      <w:footerReference r:id="rId5" w:type="default"/>
      <w:pgSz w:w="23811" w:h="16838" w:orient="landscape"/>
      <w:pgMar w:top="567" w:right="454" w:bottom="567" w:left="1037" w:header="0" w:footer="283"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script"/>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方正仿宋_GBK">
    <w:panose1 w:val="03000509000000000000"/>
    <w:charset w:val="86"/>
    <w:family w:val="script"/>
    <w:pitch w:val="default"/>
    <w:sig w:usb0="00000001" w:usb1="080E0000" w:usb2="00000000" w:usb3="00000000" w:csb0="00040000" w:csb1="00000000"/>
  </w:font>
  <w:font w:name="微软雅黑">
    <w:panose1 w:val="020B0503020204020204"/>
    <w:charset w:val="86"/>
    <w:family w:val="swiss"/>
    <w:pitch w:val="default"/>
    <w:sig w:usb0="80000287" w:usb1="280F3C52" w:usb2="00000016" w:usb3="00000000" w:csb0="0004001F" w:csb1="00000000"/>
  </w:font>
  <w:font w:name="Arial">
    <w:panose1 w:val="020B0604020202020204"/>
    <w:charset w:val="00"/>
    <w:family w:val="swiss"/>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rPr>
        <w:rFonts w:hint="default"/>
      </w:rPr>
    </w:pPr>
    <w:r>
      <w:rPr>
        <w:rFonts w:hint="default"/>
      </w:rPr>
      <w:pict>
        <v:rect id="文本框 1" o:spid="_x0000_s3073" o:spt="1" style="position:absolute;left:0pt;margin-top:0pt;height:144pt;width:144pt;mso-position-horizontal:center;mso-position-horizontal-relative:margin;mso-wrap-style:none;z-index:251661312;mso-width-relative:page;mso-height-relative:page;" filled="f" o:preferrelative="t" stroked="f" coordsize="21600,21600">
          <v:path/>
          <v:fill on="f" focussize="0,0"/>
          <v:stroke on="f"/>
          <v:imagedata o:title=""/>
          <o:lock v:ext="edit"/>
          <v:textbox inset="0mm,0mm,0mm,0mm" style="mso-fit-shape-to-text:t;">
            <w:txbxContent>
              <w:p>
                <w:pPr>
                  <w:pStyle w:val="3"/>
                  <w:rPr>
                    <w:rFonts w:hint="default"/>
                  </w:rPr>
                </w:pPr>
                <w:r>
                  <w:fldChar w:fldCharType="begin"/>
                </w:r>
                <w:r>
                  <w:instrText xml:space="preserve"> PAGE  \* MERGEFORMAT </w:instrText>
                </w:r>
                <w:r>
                  <w:fldChar w:fldCharType="separate"/>
                </w:r>
                <w:r>
                  <w:rPr>
                    <w:rFonts w:hint="default"/>
                  </w:rPr>
                  <w:t>- 9 -</w:t>
                </w:r>
                <w:r>
                  <w:fldChar w:fldCharType="end"/>
                </w:r>
              </w:p>
            </w:txbxContent>
          </v:textbox>
        </v:rect>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both"/>
      <w:rPr>
        <w:rFonts w:hint="default"/>
      </w:rPr>
    </w:pPr>
    <w:r>
      <w:rPr>
        <w:rFonts w:hint="default"/>
      </w:rPr>
      <w:pict>
        <v:rect id="文本框 127" o:spid="_x0000_s3074" o:spt="1" style="position:absolute;left:0pt;margin-top:0pt;height:144pt;width:144pt;mso-position-horizontal:center;mso-position-horizontal-relative:margin;mso-wrap-style:none;z-index:251660288;mso-width-relative:page;mso-height-relative:page;" filled="f" o:preferrelative="t" stroked="f" coordsize="21600,21600" o:allowoverlap="f">
          <v:path/>
          <v:fill on="f" focussize="0,0"/>
          <v:stroke on="f"/>
          <v:imagedata o:title=""/>
          <o:lock v:ext="edit"/>
          <v:textbox inset="0mm,0mm,0mm,0mm" style="mso-fit-shape-to-text:t;">
            <w:txbxContent>
              <w:p>
                <w:pPr>
                  <w:pStyle w:val="3"/>
                  <w:rPr>
                    <w:rFonts w:hint="default"/>
                  </w:rPr>
                </w:pPr>
                <w:r>
                  <w:t xml:space="preserve"> </w:t>
                </w:r>
                <w:r>
                  <w:fldChar w:fldCharType="begin"/>
                </w:r>
                <w:r>
                  <w:instrText xml:space="preserve">PAGE   \* MERGEFORMAT</w:instrText>
                </w:r>
                <w:r>
                  <w:fldChar w:fldCharType="separate"/>
                </w:r>
                <w:r>
                  <w:rPr>
                    <w:rFonts w:hint="default"/>
                    <w:lang w:val="zh-CN"/>
                  </w:rPr>
                  <w:t>-</w:t>
                </w:r>
                <w:r>
                  <w:rPr>
                    <w:rFonts w:hint="default"/>
                  </w:rPr>
                  <w:t xml:space="preserve"> 21 -</w:t>
                </w:r>
                <w:r>
                  <w:fldChar w:fldCharType="end"/>
                </w:r>
                <w:r>
                  <w:t xml:space="preserve"> </w:t>
                </w:r>
              </w:p>
            </w:txbxContent>
          </v:textbox>
        </v:rect>
      </w:pict>
    </w:r>
    <w:r>
      <w:rPr>
        <w:rFonts w:hint="default"/>
      </w:rPr>
      <w:pict>
        <v:rect id="文本框 126" o:spid="_x0000_s3075" o:spt="1" style="position:absolute;left:0pt;margin-top:1160.4pt;height:17.4pt;width:144pt;mso-position-horizontal:center;mso-position-horizontal-relative:margin;mso-position-vertical-relative:page;mso-wrap-style:none;z-index:251659264;mso-width-relative:page;mso-height-relative:page;" filled="f" o:preferrelative="t" stroked="f" coordsize="21600,21600" o:allowoverlap="f">
          <v:path/>
          <v:fill on="f" focussize="0,0"/>
          <v:stroke on="f"/>
          <v:imagedata o:title=""/>
          <o:lock v:ext="edit"/>
          <v:textbox inset="0mm,0mm,0mm,0mm">
            <w:txbxContent>
              <w:p>
                <w:pPr>
                  <w:pStyle w:val="3"/>
                  <w:jc w:val="both"/>
                  <w:rPr>
                    <w:rFonts w:hint="default" w:cs="宋体"/>
                  </w:rPr>
                </w:pPr>
                <w:r>
                  <w:rPr>
                    <w:rFonts w:cs="宋体"/>
                  </w:rPr>
                  <w:t>— 27.1 —</w:t>
                </w:r>
              </w:p>
            </w:txbxContent>
          </v:textbox>
        </v:rect>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tabs>
        <w:tab w:val="left" w:pos="1758"/>
        <w:tab w:val="clear" w:pos="4153"/>
        <w:tab w:val="clear" w:pos="8306"/>
      </w:tabs>
      <w:rPr>
        <w:rFonts w:hint="default"/>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6C5A7FD"/>
    <w:multiLevelType w:val="singleLevel"/>
    <w:tmpl w:val="66C5A7FD"/>
    <w:lvl w:ilvl="0" w:tentative="0">
      <w:start w:val="4"/>
      <w:numFmt w:val="chineseCounting"/>
      <w:suff w:val="nothing"/>
      <w:lvlText w:val="%1、"/>
      <w:lvlJc w:val="left"/>
    </w:lvl>
  </w:abstractNum>
  <w:abstractNum w:abstractNumId="1">
    <w:nsid w:val="66C6B30F"/>
    <w:multiLevelType w:val="singleLevel"/>
    <w:tmpl w:val="66C6B30F"/>
    <w:lvl w:ilvl="0" w:tentative="0">
      <w:start w:val="2"/>
      <w:numFmt w:val="chineseCounting"/>
      <w:suff w:val="nothing"/>
      <w:lvlText w:val="（%1）"/>
      <w:lvlJc w:val="left"/>
    </w:lvl>
  </w:abstractNum>
  <w:abstractNum w:abstractNumId="2">
    <w:nsid w:val="66C8030F"/>
    <w:multiLevelType w:val="singleLevel"/>
    <w:tmpl w:val="66C8030F"/>
    <w:lvl w:ilvl="0" w:tentative="0">
      <w:start w:val="3"/>
      <w:numFmt w:val="decimal"/>
      <w:suff w:val="nothing"/>
      <w:lvlText w:val="（%1）"/>
      <w:lvlJc w:val="left"/>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cumentProtection w:enforcement="0"/>
  <w:defaultTabStop w:val="420"/>
  <w:drawingGridVerticalSpacing w:val="156"/>
  <w:noPunctuationKerning w:val="1"/>
  <w:characterSpacingControl w:val="compressPunctuation"/>
  <w:hdrShapeDefaults>
    <o:shapelayout v:ext="edit">
      <o:idmap v:ext="edit" data="2,3"/>
    </o:shapelayout>
  </w:hdrShapeDefaults>
  <w:compat>
    <w:spaceForUL/>
    <w:balanceSingleByteDoubleByteWidth/>
    <w:doNotLeaveBackslashAlone/>
    <w:ulTrailSpace/>
    <w:doNotExpandShiftReturn/>
    <w:adjustLineHeightInTable/>
    <w:doNotBreakWrappedTables/>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2"/>
  </w:compat>
  <w:docVars>
    <w:docVar w:name="commondata" w:val="eyJoZGlkIjoiNDMxNmRhMWNiN2NiY2I5ODgzNWM0NWI3YmYxNTA4ZGEifQ=="/>
  </w:docVars>
  <w:rsids>
    <w:rsidRoot w:val="00B03CCD"/>
    <w:rsid w:val="000E021E"/>
    <w:rsid w:val="001455A2"/>
    <w:rsid w:val="0052289B"/>
    <w:rsid w:val="00550ABE"/>
    <w:rsid w:val="007B419D"/>
    <w:rsid w:val="009B67B8"/>
    <w:rsid w:val="00B03CCD"/>
    <w:rsid w:val="00B13C7B"/>
    <w:rsid w:val="00F73F90"/>
    <w:rsid w:val="01474EBF"/>
    <w:rsid w:val="017F0884"/>
    <w:rsid w:val="01F3521E"/>
    <w:rsid w:val="02BC6109"/>
    <w:rsid w:val="035D4591"/>
    <w:rsid w:val="03B87EA0"/>
    <w:rsid w:val="03E3214F"/>
    <w:rsid w:val="044C50BA"/>
    <w:rsid w:val="05BC6D49"/>
    <w:rsid w:val="06194FF1"/>
    <w:rsid w:val="06A2550B"/>
    <w:rsid w:val="06F80EE2"/>
    <w:rsid w:val="07001CCA"/>
    <w:rsid w:val="070B051A"/>
    <w:rsid w:val="075678DB"/>
    <w:rsid w:val="079D7CC7"/>
    <w:rsid w:val="08051BCA"/>
    <w:rsid w:val="086C12F4"/>
    <w:rsid w:val="08705944"/>
    <w:rsid w:val="08BA052C"/>
    <w:rsid w:val="08DB07BA"/>
    <w:rsid w:val="0969353F"/>
    <w:rsid w:val="098305D0"/>
    <w:rsid w:val="0A3317EA"/>
    <w:rsid w:val="0A5C4B69"/>
    <w:rsid w:val="0A86124A"/>
    <w:rsid w:val="0AB54CC0"/>
    <w:rsid w:val="0B9335CE"/>
    <w:rsid w:val="0BF2311A"/>
    <w:rsid w:val="0C7927C4"/>
    <w:rsid w:val="0C9B098C"/>
    <w:rsid w:val="0CD10396"/>
    <w:rsid w:val="0D673E11"/>
    <w:rsid w:val="0DDA54E4"/>
    <w:rsid w:val="0E3A5F83"/>
    <w:rsid w:val="0F836721"/>
    <w:rsid w:val="0FA25D96"/>
    <w:rsid w:val="107B59E5"/>
    <w:rsid w:val="10EC0126"/>
    <w:rsid w:val="10F70B9A"/>
    <w:rsid w:val="111445C7"/>
    <w:rsid w:val="114278C6"/>
    <w:rsid w:val="1158083A"/>
    <w:rsid w:val="11643A4B"/>
    <w:rsid w:val="11ED0F98"/>
    <w:rsid w:val="11F03528"/>
    <w:rsid w:val="12C921C4"/>
    <w:rsid w:val="13871C70"/>
    <w:rsid w:val="13A71CB4"/>
    <w:rsid w:val="13AF1D43"/>
    <w:rsid w:val="13CE1647"/>
    <w:rsid w:val="13FD55AB"/>
    <w:rsid w:val="14200702"/>
    <w:rsid w:val="163A6CEE"/>
    <w:rsid w:val="173708E3"/>
    <w:rsid w:val="17C374FC"/>
    <w:rsid w:val="18166994"/>
    <w:rsid w:val="182E4AB6"/>
    <w:rsid w:val="189079DC"/>
    <w:rsid w:val="189B0D0B"/>
    <w:rsid w:val="18B43F7C"/>
    <w:rsid w:val="194A1770"/>
    <w:rsid w:val="19801C57"/>
    <w:rsid w:val="19A33B9D"/>
    <w:rsid w:val="19B906A4"/>
    <w:rsid w:val="1B6F15B6"/>
    <w:rsid w:val="1BAA2EDC"/>
    <w:rsid w:val="1CA55E64"/>
    <w:rsid w:val="1D014A01"/>
    <w:rsid w:val="1D022362"/>
    <w:rsid w:val="1D1B04B0"/>
    <w:rsid w:val="1DA52501"/>
    <w:rsid w:val="1DBD6767"/>
    <w:rsid w:val="1DC52125"/>
    <w:rsid w:val="1DD26311"/>
    <w:rsid w:val="1E374ACB"/>
    <w:rsid w:val="1ECF0A66"/>
    <w:rsid w:val="1EF67CA4"/>
    <w:rsid w:val="1F020D3A"/>
    <w:rsid w:val="1F2C5189"/>
    <w:rsid w:val="1F4B0B02"/>
    <w:rsid w:val="1FBB35CD"/>
    <w:rsid w:val="1FCD26AF"/>
    <w:rsid w:val="20642787"/>
    <w:rsid w:val="21556F04"/>
    <w:rsid w:val="22403BD3"/>
    <w:rsid w:val="22C419A9"/>
    <w:rsid w:val="23CA2A3A"/>
    <w:rsid w:val="24925A8E"/>
    <w:rsid w:val="24B92327"/>
    <w:rsid w:val="24C14514"/>
    <w:rsid w:val="25217F93"/>
    <w:rsid w:val="2533755C"/>
    <w:rsid w:val="25791755"/>
    <w:rsid w:val="26396DF4"/>
    <w:rsid w:val="27167136"/>
    <w:rsid w:val="27466604"/>
    <w:rsid w:val="27B23302"/>
    <w:rsid w:val="29310A5F"/>
    <w:rsid w:val="29C37A35"/>
    <w:rsid w:val="2A076083"/>
    <w:rsid w:val="2A73162E"/>
    <w:rsid w:val="2B167953"/>
    <w:rsid w:val="2B200583"/>
    <w:rsid w:val="2B8209DE"/>
    <w:rsid w:val="2C636760"/>
    <w:rsid w:val="2C6762A3"/>
    <w:rsid w:val="2FCA4B37"/>
    <w:rsid w:val="2FE029D7"/>
    <w:rsid w:val="2FF06E00"/>
    <w:rsid w:val="30586FEC"/>
    <w:rsid w:val="315B5591"/>
    <w:rsid w:val="315F0B22"/>
    <w:rsid w:val="31D84415"/>
    <w:rsid w:val="32285F6F"/>
    <w:rsid w:val="32770556"/>
    <w:rsid w:val="329C0913"/>
    <w:rsid w:val="32AA0460"/>
    <w:rsid w:val="3337290D"/>
    <w:rsid w:val="33E31118"/>
    <w:rsid w:val="33EF7674"/>
    <w:rsid w:val="342D7BC6"/>
    <w:rsid w:val="352930DB"/>
    <w:rsid w:val="35573069"/>
    <w:rsid w:val="355F6038"/>
    <w:rsid w:val="358C217E"/>
    <w:rsid w:val="36C9128A"/>
    <w:rsid w:val="37841E99"/>
    <w:rsid w:val="37BF1123"/>
    <w:rsid w:val="383C3F15"/>
    <w:rsid w:val="38BE4696"/>
    <w:rsid w:val="3939115E"/>
    <w:rsid w:val="39B82A39"/>
    <w:rsid w:val="39C42CA8"/>
    <w:rsid w:val="39DC4FD6"/>
    <w:rsid w:val="39F03D7A"/>
    <w:rsid w:val="39F33306"/>
    <w:rsid w:val="3A2C1C67"/>
    <w:rsid w:val="3ADD7F09"/>
    <w:rsid w:val="3B1705E5"/>
    <w:rsid w:val="3B18334B"/>
    <w:rsid w:val="3B36794F"/>
    <w:rsid w:val="3B6F6EE0"/>
    <w:rsid w:val="3C566AD6"/>
    <w:rsid w:val="3C594871"/>
    <w:rsid w:val="3C623DA1"/>
    <w:rsid w:val="3C6A5B02"/>
    <w:rsid w:val="3D2757A1"/>
    <w:rsid w:val="3D3D4FC4"/>
    <w:rsid w:val="3DDF3AB1"/>
    <w:rsid w:val="3E1D0952"/>
    <w:rsid w:val="3E42660A"/>
    <w:rsid w:val="3E7555B1"/>
    <w:rsid w:val="3E787ED9"/>
    <w:rsid w:val="3F032E93"/>
    <w:rsid w:val="3F0527E5"/>
    <w:rsid w:val="3F694D83"/>
    <w:rsid w:val="3F885DCC"/>
    <w:rsid w:val="3FCD675E"/>
    <w:rsid w:val="4004000C"/>
    <w:rsid w:val="411B6CE5"/>
    <w:rsid w:val="412070D7"/>
    <w:rsid w:val="41314E40"/>
    <w:rsid w:val="41E0734B"/>
    <w:rsid w:val="426C1EA8"/>
    <w:rsid w:val="42736402"/>
    <w:rsid w:val="42C4601A"/>
    <w:rsid w:val="42E86A87"/>
    <w:rsid w:val="43307B09"/>
    <w:rsid w:val="439A3EB9"/>
    <w:rsid w:val="439E597D"/>
    <w:rsid w:val="43BB152F"/>
    <w:rsid w:val="44C37687"/>
    <w:rsid w:val="455C6BD8"/>
    <w:rsid w:val="45CB699A"/>
    <w:rsid w:val="465B470D"/>
    <w:rsid w:val="469D6AD4"/>
    <w:rsid w:val="46AD3081"/>
    <w:rsid w:val="471E6C84"/>
    <w:rsid w:val="4748792B"/>
    <w:rsid w:val="475D719D"/>
    <w:rsid w:val="47674801"/>
    <w:rsid w:val="48225EF7"/>
    <w:rsid w:val="488F422B"/>
    <w:rsid w:val="48E36915"/>
    <w:rsid w:val="48EB6572"/>
    <w:rsid w:val="495C4A24"/>
    <w:rsid w:val="497135DF"/>
    <w:rsid w:val="4A263DF2"/>
    <w:rsid w:val="4A6F6675"/>
    <w:rsid w:val="4B135857"/>
    <w:rsid w:val="4B7951CB"/>
    <w:rsid w:val="4B7C315C"/>
    <w:rsid w:val="4DAC4ACA"/>
    <w:rsid w:val="4DBE01D2"/>
    <w:rsid w:val="4F0C6BA3"/>
    <w:rsid w:val="4F186D58"/>
    <w:rsid w:val="4F420F8A"/>
    <w:rsid w:val="50F06B6E"/>
    <w:rsid w:val="51D21804"/>
    <w:rsid w:val="52234D33"/>
    <w:rsid w:val="522F6E0C"/>
    <w:rsid w:val="52463BA1"/>
    <w:rsid w:val="52F163D4"/>
    <w:rsid w:val="531A2DB4"/>
    <w:rsid w:val="53C0244D"/>
    <w:rsid w:val="53DD4D4E"/>
    <w:rsid w:val="53E578CE"/>
    <w:rsid w:val="541330F0"/>
    <w:rsid w:val="54272666"/>
    <w:rsid w:val="543B029D"/>
    <w:rsid w:val="54861779"/>
    <w:rsid w:val="552256E1"/>
    <w:rsid w:val="554E5773"/>
    <w:rsid w:val="555A3CBC"/>
    <w:rsid w:val="5582012B"/>
    <w:rsid w:val="558E4E05"/>
    <w:rsid w:val="55BE2E85"/>
    <w:rsid w:val="56530F5D"/>
    <w:rsid w:val="567700D3"/>
    <w:rsid w:val="56FF7E9E"/>
    <w:rsid w:val="578867FC"/>
    <w:rsid w:val="5842572D"/>
    <w:rsid w:val="5A3B59D6"/>
    <w:rsid w:val="5AD134D8"/>
    <w:rsid w:val="5BAC6AF2"/>
    <w:rsid w:val="5C263CE4"/>
    <w:rsid w:val="5C5D2777"/>
    <w:rsid w:val="5CDD1139"/>
    <w:rsid w:val="5CF66BF3"/>
    <w:rsid w:val="5D1051A5"/>
    <w:rsid w:val="5D290C69"/>
    <w:rsid w:val="5F2D4A41"/>
    <w:rsid w:val="60C74F6C"/>
    <w:rsid w:val="61025A59"/>
    <w:rsid w:val="612977F3"/>
    <w:rsid w:val="613D5BBC"/>
    <w:rsid w:val="61536C39"/>
    <w:rsid w:val="62944DD7"/>
    <w:rsid w:val="6319381F"/>
    <w:rsid w:val="63C25DC5"/>
    <w:rsid w:val="63C62057"/>
    <w:rsid w:val="64571EF5"/>
    <w:rsid w:val="646C7950"/>
    <w:rsid w:val="64FB113D"/>
    <w:rsid w:val="656152C6"/>
    <w:rsid w:val="6587477F"/>
    <w:rsid w:val="658C3A08"/>
    <w:rsid w:val="65C031CA"/>
    <w:rsid w:val="65CE6852"/>
    <w:rsid w:val="66267C04"/>
    <w:rsid w:val="663F505A"/>
    <w:rsid w:val="66EE5541"/>
    <w:rsid w:val="67924660"/>
    <w:rsid w:val="68407834"/>
    <w:rsid w:val="6883293E"/>
    <w:rsid w:val="688412AD"/>
    <w:rsid w:val="68EB1B71"/>
    <w:rsid w:val="6900333D"/>
    <w:rsid w:val="6AAD2300"/>
    <w:rsid w:val="6B474EF5"/>
    <w:rsid w:val="6C0A5AC5"/>
    <w:rsid w:val="6C560CAE"/>
    <w:rsid w:val="6C576495"/>
    <w:rsid w:val="6D8952C5"/>
    <w:rsid w:val="6D903FF5"/>
    <w:rsid w:val="6DA955B8"/>
    <w:rsid w:val="6DE346AB"/>
    <w:rsid w:val="6DE5391A"/>
    <w:rsid w:val="6EFD1324"/>
    <w:rsid w:val="6F5A53AC"/>
    <w:rsid w:val="6FAC003D"/>
    <w:rsid w:val="6FE55E12"/>
    <w:rsid w:val="6FFB2E76"/>
    <w:rsid w:val="708F6F7F"/>
    <w:rsid w:val="70A06CA5"/>
    <w:rsid w:val="70D94BD3"/>
    <w:rsid w:val="71C34D91"/>
    <w:rsid w:val="72DB435C"/>
    <w:rsid w:val="72E2613A"/>
    <w:rsid w:val="72F771F4"/>
    <w:rsid w:val="73934AD2"/>
    <w:rsid w:val="750837F0"/>
    <w:rsid w:val="754758CF"/>
    <w:rsid w:val="75707339"/>
    <w:rsid w:val="764F62AB"/>
    <w:rsid w:val="765C45EC"/>
    <w:rsid w:val="768A7619"/>
    <w:rsid w:val="772E1EBA"/>
    <w:rsid w:val="781926BC"/>
    <w:rsid w:val="796D60A4"/>
    <w:rsid w:val="79A031D5"/>
    <w:rsid w:val="7A1525F7"/>
    <w:rsid w:val="7B420052"/>
    <w:rsid w:val="7BD06A28"/>
    <w:rsid w:val="7C3A7C0B"/>
    <w:rsid w:val="7C5248E4"/>
    <w:rsid w:val="7C566698"/>
    <w:rsid w:val="7C5866A3"/>
    <w:rsid w:val="7D0A4B32"/>
    <w:rsid w:val="7D7406BB"/>
    <w:rsid w:val="7DE94331"/>
    <w:rsid w:val="7F446A19"/>
    <w:rsid w:val="7F7452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99"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99"/>
    <w:rPr>
      <w:rFonts w:hint="eastAsia" w:ascii="宋体" w:hAnsi="宋体" w:eastAsia="宋体" w:cs="Times New Roman"/>
      <w:sz w:val="24"/>
      <w:szCs w:val="24"/>
      <w:lang w:val="en-US" w:eastAsia="zh-CN" w:bidi="ar-SA"/>
    </w:rPr>
  </w:style>
  <w:style w:type="character" w:default="1" w:styleId="9">
    <w:name w:val="Default Paragraph Font"/>
    <w:semiHidden/>
    <w:unhideWhenUsed/>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2">
    <w:name w:val="Normal Indent"/>
    <w:basedOn w:val="1"/>
    <w:next w:val="1"/>
    <w:qFormat/>
    <w:uiPriority w:val="0"/>
    <w:pPr>
      <w:ind w:firstLine="567"/>
    </w:pPr>
    <w:rPr>
      <w:rFonts w:cs="宋体"/>
    </w:rPr>
  </w:style>
  <w:style w:type="paragraph" w:styleId="3">
    <w:name w:val="footer"/>
    <w:basedOn w:val="1"/>
    <w:qFormat/>
    <w:uiPriority w:val="0"/>
    <w:pPr>
      <w:tabs>
        <w:tab w:val="center" w:pos="4153"/>
        <w:tab w:val="right" w:pos="8306"/>
      </w:tabs>
      <w:snapToGrid w:val="0"/>
    </w:pPr>
    <w:rPr>
      <w:sz w:val="18"/>
      <w:szCs w:val="18"/>
    </w:rPr>
  </w:style>
  <w:style w:type="paragraph" w:styleId="4">
    <w:name w:val="header"/>
    <w:basedOn w:val="1"/>
    <w:link w:val="16"/>
    <w:qFormat/>
    <w:uiPriority w:val="99"/>
    <w:pPr>
      <w:tabs>
        <w:tab w:val="center" w:pos="4153"/>
        <w:tab w:val="right" w:pos="8306"/>
      </w:tabs>
      <w:snapToGrid w:val="0"/>
      <w:jc w:val="center"/>
    </w:pPr>
    <w:rPr>
      <w:sz w:val="18"/>
      <w:szCs w:val="18"/>
    </w:rPr>
  </w:style>
  <w:style w:type="paragraph" w:styleId="5">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6">
    <w:name w:val="Normal (Web)"/>
    <w:basedOn w:val="1"/>
    <w:unhideWhenUsed/>
    <w:qFormat/>
    <w:uiPriority w:val="0"/>
    <w:pPr>
      <w:spacing w:before="100" w:beforeAutospacing="1" w:after="100" w:afterAutospacing="1"/>
    </w:p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Strong"/>
    <w:qFormat/>
    <w:uiPriority w:val="0"/>
    <w:rPr>
      <w:b/>
    </w:rPr>
  </w:style>
  <w:style w:type="paragraph" w:customStyle="1" w:styleId="11">
    <w:name w:val="列出段落1"/>
    <w:basedOn w:val="1"/>
    <w:qFormat/>
    <w:uiPriority w:val="99"/>
    <w:pPr>
      <w:ind w:firstLine="420" w:firstLineChars="200"/>
    </w:pPr>
    <w:rPr>
      <w:rFonts w:hint="default"/>
    </w:rPr>
  </w:style>
  <w:style w:type="paragraph" w:customStyle="1" w:styleId="12">
    <w:name w:val="普通(网站) Char"/>
    <w:qFormat/>
    <w:uiPriority w:val="0"/>
    <w:pPr>
      <w:spacing w:before="100" w:beforeAutospacing="1" w:after="100" w:afterAutospacing="1"/>
    </w:pPr>
    <w:rPr>
      <w:rFonts w:ascii="宋体" w:hAnsi="宋体" w:eastAsia="宋体" w:cs="Times New Roman"/>
      <w:sz w:val="24"/>
      <w:szCs w:val="24"/>
      <w:lang w:val="en-US" w:eastAsia="zh-CN" w:bidi="ar-SA"/>
    </w:rPr>
  </w:style>
  <w:style w:type="paragraph" w:customStyle="1" w:styleId="13">
    <w:name w:val="列出段落2"/>
    <w:qFormat/>
    <w:uiPriority w:val="99"/>
    <w:pPr>
      <w:ind w:firstLine="420" w:firstLineChars="200"/>
    </w:pPr>
    <w:rPr>
      <w:rFonts w:ascii="宋体" w:hAnsi="宋体" w:eastAsia="宋体" w:cs="Times New Roman"/>
      <w:sz w:val="24"/>
      <w:szCs w:val="24"/>
      <w:lang w:val="en-US" w:eastAsia="zh-CN" w:bidi="ar-SA"/>
    </w:rPr>
  </w:style>
  <w:style w:type="character" w:customStyle="1" w:styleId="14">
    <w:name w:val="21"/>
    <w:qFormat/>
    <w:uiPriority w:val="0"/>
    <w:rPr>
      <w:rFonts w:hint="default" w:ascii="Wingdings" w:hAnsi="Wingdings" w:cs="Wingdings"/>
      <w:b/>
      <w:bCs/>
    </w:rPr>
  </w:style>
  <w:style w:type="character" w:customStyle="1" w:styleId="15">
    <w:name w:val="16"/>
    <w:basedOn w:val="9"/>
    <w:qFormat/>
    <w:uiPriority w:val="0"/>
    <w:rPr>
      <w:rFonts w:hint="default" w:ascii="Times New Roman" w:hAnsi="Times New Roman" w:cs="Times New Roman"/>
      <w:b/>
    </w:rPr>
  </w:style>
  <w:style w:type="character" w:customStyle="1" w:styleId="16">
    <w:name w:val="页眉 字符"/>
    <w:basedOn w:val="9"/>
    <w:link w:val="4"/>
    <w:qFormat/>
    <w:uiPriority w:val="99"/>
    <w:rPr>
      <w:rFonts w:ascii="宋体" w:hAnsi="宋体"/>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3073"/>
    <customShpInfo spid="_x0000_s3074"/>
    <customShpInfo spid="_x0000_s3075"/>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21</Pages>
  <Words>2068</Words>
  <Characters>11788</Characters>
  <Lines>98</Lines>
  <Paragraphs>27</Paragraphs>
  <TotalTime>25</TotalTime>
  <ScaleCrop>false</ScaleCrop>
  <LinksUpToDate>false</LinksUpToDate>
  <CharactersWithSpaces>13829</CharactersWithSpaces>
  <Application>WPS Office_11.8.2.8950_F1E327BC-269C-435d-A152-05C5408002CA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2024-07-11T02:00:00Z</dcterms:created>
  <dc:creator>Administrator</dc:creator>
  <cp:lastModifiedBy>Administrator</cp:lastModifiedBy>
  <dcterms:modified xsi:type="dcterms:W3CDTF">2024-09-10T08:32:47Z</dcterms:modified>
  <dc:title>垫江县水土保持站2023年度决算公开说明</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2052-11.8.2.8950</vt:lpwstr>
  </property>
  <property fmtid="{D5CDD505-2E9C-101B-9397-08002B2CF9AE}" pid="3" name="ICV">
    <vt:lpwstr>BB46EABDBB2749749395447164B066B3_12</vt:lpwstr>
  </property>
</Properties>
</file>