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line="50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垫江县水利局2023年度决算公开说明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1.负责保障水资源的合理开发利用。贯彻执行水利水资源法律法规规章及方针政策。研究提出全县水利规划和建议，组织编制全县水资源规划、河流域及湖库区域综合规划、防洪规划等水利规划。</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负责生活、生产经营和生态环境用水的统筹和保障。组织实施最严格水资源管理制度，实施水资源的统一监督管理，拟订全县水中长期供求规划、水量分配方案并监督实施。负责全县水资源调度。组织实施取水许可、水资源论证和防洪论证制度，组织实施开展水资源有偿使用工作。指导水利行业供水和村镇供水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负责组织实施水利工程建设有关制度，负责提出全县水利固定资产投资规模、方向、具体安排建议并组织指导实施，按县政府规定权限审批、核准规划内和年度计划规模内固定资产投资项目，提出县级及以上水利资金安排建议并负责项目实施的监督管理。</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4.负责水资源保护工作。组织编制并实施水资源保护规划。指导饮用水水源保护有关工作，指导地下水开发利用和地下水资源管理保护。</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5.负责节约用水工作。组织实施节约用水政策，组织编制节约用水规划并监督实施。组织实施用水总量控制等管理制度，指导和推动节水型社会建设工作。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组织实施水文工作。负责全县水文水资源监测、水文站网建设和管理。对河流、湖库和地下水实施监测，发布水文水资源信息、情报预报和垫江县水资源公报。按规定组织开展水资源、水能资源调查评价和水资源承载能力监测预警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组织实施水利设施、水域及其岸线的管理、保护与综合利用。组织实施水利基础设施网络建设。指导河流、湖库及河口的治理、开发和保护。指导河库水生态保护与修复、生态流量水量管理以及水系连通工作。承担全县河（库）长制工作的组织和协调及垫江县河长办公室日常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8.监督和实施水利工程建设与运行管理。组织实施重要水利工程建设与运行管理。</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负责水土保持工作。拟订水土保持规划并监督实施，组织实施水土流失的综合防治、监测预报并定期公告。负责建设项目水土保持监督管理工作，指导重点水土保持建设项目的实施。承担垫江县水土保持委员会办公室日常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10.负责农村水利工作。组织开展大中型灌排工程建设与改造。组织指导农村饮水安全工程建设管理工作，组织指导节水灌溉有关工作。指导农村水利改革创新和社会化服务体系建设。指导农村水能资源开发、小水电改造和水电农村电气化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11.负责水利工程移民管理工作。组织实施水利工程移民有关政策，组织实施水利工程移民安置验收、监督评估等制度。负责组织实施水库移民后期扶持政策，负责三峡工程后续工作规划、组织实施和监督管理。</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12.负责组织涉水违法事件的查处，协调跨乡镇（街道）的水事纠纷，组织水政监察和水行政执法工作，具体执法交由执法队伍承担，并以部门的名义统一执法。依法负责水利行业安全生产工作。实施水利建设市场的监督管理，组织实施水利工程建设的监督。</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13.开展水利科技和外事工作。组织开展水利行业质量监督工作，监督实施水利行业的技术标准和规程规范，组织实施水利科学技术推广。负责水利对外交流、合作等有关涉外事务。</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14.负责落实综合防灾减灾规划相关要求，组织编制全县洪水干旱灾害防治规划并组织实施。承担水情旱情监测预警工作。组织编制中小河流、湖库和重要水工程的防御洪水抗御旱灾调度及应急水量调度方案，按程序报批并组织实施。承担防御洪水应急抢险的技术支撑工作。</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15.将原县水务局所属县人民政府防汛抗旱指挥部办公室依法承担的行政决策、行政许可等行政职能划入县水利局。除综合行政执法机构外，所属事业单位不再承担行政职能。</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16.完成县委、县政府交办的其他任务。</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17.职能转变。垫江县水利局应切实加强水资源合理利用、优化配置和节约保护。坚持节水优先，从增加供给转向更加重视需求管理，严格控制用水总量和提高用水效率。坚持保护优先，加强水资源、水域和水利工程的管理保护，维护河库健康美丽。坚持统筹兼顾，保障合理用水需求和水资源的可持续利用，为经济社会发展提供水安全保障。</w:t>
      </w:r>
    </w:p>
    <w:p>
      <w:pPr>
        <w:autoSpaceDE w:val="0"/>
        <w:spacing w:line="560" w:lineRule="exact"/>
        <w:ind w:firstLine="640" w:firstLineChars="200"/>
        <w:jc w:val="both"/>
        <w:rPr>
          <w:rFonts w:hint="default" w:ascii="方正仿宋_GBK" w:hAnsi="方正仿宋_GBK" w:eastAsia="方正仿宋_GBK" w:cs="方正仿宋_GBK"/>
          <w:b/>
          <w:sz w:val="32"/>
          <w:szCs w:val="32"/>
          <w:shd w:val="clear" w:color="auto" w:fill="FFFFFF"/>
        </w:rPr>
      </w:pPr>
      <w:r>
        <w:rPr>
          <w:rFonts w:ascii="方正仿宋_GBK" w:hAnsi="方正仿宋_GBK" w:eastAsia="方正仿宋_GBK" w:cs="方正仿宋_GBK"/>
          <w:sz w:val="32"/>
          <w:szCs w:val="32"/>
          <w:shd w:val="clear" w:color="auto" w:fill="FFFFFF"/>
        </w:rPr>
        <w:t>18.与有关部门职责分工。关于防汛抗旱工作。垫江县水利局负责落实综合防灾减灾规划相关要求，组织编制洪水干旱灾害防治规划并指导实施；承担日常水情旱情监测预警工作；组织编制中小河流、湖库和重要水工程的防御洪水抗御旱灾调度和应急水量调度方案，按程序报批并组织实施；承担防御洪水应急抢险的技术支撑工作。垫江县应急管理局负责组织编制全县总体应急预案，综合协调应急预案衔接工作，组织开展预案演练，组织协调防汛抗旱应急救援工作；承担应对重大灾害指挥部工作，组织重大灾害应急处置工作，组织编制综合防灾减灾规划，指导协调相关部门水旱灾害等防治工作；会同县级有关部门建立统一的应急管理信息平台，建立监测预警和灾情报告制度，健全自然灾害信息资源获取和共享机制，依法统一发布灾情，开展多灾种和灾害综合监测预警，指导开展自然灾害综合风险评估。</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12"/>
        <w:autoSpaceDE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水利局机关内设9个机构，包括：办公室、规划计划科、财务科、水资源管理科、法规监督科、建设管理科、运行管理科、水文与灾害防御科、移民工作科。</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11043.48万元，支出总计11043.48万元。收支较上年决算数减少13250.83万元，下降54.54%，主要原因是大中型水库移民后期扶持基金支出、农业土地开发资金安排的支出、水利前期工作、防汛抗旱、国家重大水利工程建设基金安排的支出等项目减少。</w:t>
      </w:r>
    </w:p>
    <w:p>
      <w:pPr>
        <w:pStyle w:val="6"/>
        <w:shd w:val="clear" w:color="auto" w:fill="FFFFFF"/>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10072.06万元，较上年决算数减少12958.21万元，下降56.27%，主要原因是大中型水库移民后期扶持基金支出、农业土地开发资金安排的支出、水利前期工作、防汛抗旱、国家重大水利工程建设基金安排的支出等项目减少。其中：财政拨款收入</w:t>
      </w:r>
      <w:r>
        <w:rPr>
          <w:rFonts w:ascii="方正仿宋_GBK" w:hAnsi="方正仿宋_GBK" w:eastAsia="方正仿宋_GBK" w:cs="方正仿宋_GBK"/>
          <w:sz w:val="32"/>
          <w:szCs w:val="32"/>
        </w:rPr>
        <w:t>9494.04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94.26</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578.02</w:t>
      </w:r>
      <w:r>
        <w:rPr>
          <w:rFonts w:ascii="方正仿宋_GBK" w:hAnsi="方正仿宋_GBK" w:eastAsia="方正仿宋_GBK" w:cs="方正仿宋_GBK"/>
          <w:sz w:val="32"/>
          <w:szCs w:val="32"/>
          <w:shd w:val="clear" w:color="auto" w:fill="FFFFFF"/>
        </w:rPr>
        <w:t>万元，占5.74%。此外，使用非财政拨款结余和专用结余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971.42</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10128.63</w:t>
      </w:r>
      <w:r>
        <w:rPr>
          <w:rFonts w:ascii="方正仿宋_GBK" w:hAnsi="方正仿宋_GBK" w:eastAsia="方正仿宋_GBK" w:cs="方正仿宋_GBK"/>
          <w:sz w:val="32"/>
          <w:szCs w:val="32"/>
          <w:shd w:val="clear" w:color="auto" w:fill="FFFFFF"/>
        </w:rPr>
        <w:t>万元，较上年决算数减少13442.51万元，下降57.03%，主要原因是大中型水库移民后期扶持基金支出、农业土地开发资金安排的支出、水利前期工作、防汛抗旱、国家重大水利工程建设基金安排的支出等项目减少。其中：基本支出</w:t>
      </w:r>
      <w:r>
        <w:rPr>
          <w:rFonts w:ascii="方正仿宋_GBK" w:hAnsi="方正仿宋_GBK" w:eastAsia="方正仿宋_GBK" w:cs="方正仿宋_GBK"/>
          <w:sz w:val="32"/>
          <w:szCs w:val="32"/>
        </w:rPr>
        <w:t>5279.31</w:t>
      </w:r>
      <w:r>
        <w:rPr>
          <w:rFonts w:ascii="方正仿宋_GBK" w:hAnsi="方正仿宋_GBK" w:eastAsia="方正仿宋_GBK" w:cs="方正仿宋_GBK"/>
          <w:sz w:val="32"/>
          <w:szCs w:val="32"/>
          <w:shd w:val="clear" w:color="auto" w:fill="FFFFFF"/>
        </w:rPr>
        <w:t>万元，占52.12%；项目支出</w:t>
      </w:r>
      <w:r>
        <w:rPr>
          <w:rFonts w:ascii="方正仿宋_GBK" w:hAnsi="方正仿宋_GBK" w:eastAsia="方正仿宋_GBK" w:cs="方正仿宋_GBK"/>
          <w:sz w:val="32"/>
          <w:szCs w:val="32"/>
        </w:rPr>
        <w:t>4849.33</w:t>
      </w:r>
      <w:r>
        <w:rPr>
          <w:rFonts w:ascii="方正仿宋_GBK" w:hAnsi="方正仿宋_GBK" w:eastAsia="方正仿宋_GBK" w:cs="方正仿宋_GBK"/>
          <w:sz w:val="32"/>
          <w:szCs w:val="32"/>
          <w:shd w:val="clear" w:color="auto" w:fill="FFFFFF"/>
        </w:rPr>
        <w:t>万元，占47.88%；经营支出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914.85</w:t>
      </w:r>
      <w:r>
        <w:rPr>
          <w:rFonts w:ascii="方正仿宋_GBK" w:hAnsi="方正仿宋_GBK" w:eastAsia="方正仿宋_GBK" w:cs="方正仿宋_GBK"/>
          <w:sz w:val="32"/>
          <w:szCs w:val="32"/>
          <w:shd w:val="clear" w:color="auto" w:fill="FFFFFF"/>
        </w:rPr>
        <w:t>万元，较上年决算数增加191.68万元，增长26.51%，主要原因是水利工程运行与维护、农村基础设施建设等结转结余增加。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10280.39万元。与2022年相比，财政拨款收、支总计各减少13459.75万元，下降56.70%。主要原因是大中型水库移民后期扶持基金支出、农业土地开发资金安排的支出、水利前期工作、防汛抗旱、国家重大水利工程建设基金安排的支出等项目减少。</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9450.04</w:t>
      </w:r>
      <w:r>
        <w:rPr>
          <w:rFonts w:ascii="方正仿宋_GBK" w:hAnsi="方正仿宋_GBK" w:eastAsia="方正仿宋_GBK" w:cs="方正仿宋_GBK"/>
          <w:sz w:val="32"/>
          <w:szCs w:val="32"/>
          <w:shd w:val="clear" w:color="auto" w:fill="FFFFFF"/>
        </w:rPr>
        <w:t>万元，较上年决算数减少4552.28万元，下降32.51%。主要原因是农业土地开发资金安排的支出、水利前期工作、防汛抗旱等项目减少。较年初预算数增加1407.25万元，增长17.50%。主要原因是水利建设项目增加。此外，年初财政拨款结转和结余</w:t>
      </w:r>
      <w:r>
        <w:rPr>
          <w:rFonts w:ascii="方正仿宋_GBK" w:hAnsi="方正仿宋_GBK" w:eastAsia="方正仿宋_GBK" w:cs="方正仿宋_GBK"/>
          <w:sz w:val="32"/>
          <w:szCs w:val="32"/>
        </w:rPr>
        <w:t>786.35</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9769.94</w:t>
      </w:r>
      <w:r>
        <w:rPr>
          <w:rFonts w:ascii="方正仿宋_GBK" w:hAnsi="方正仿宋_GBK" w:eastAsia="方正仿宋_GBK" w:cs="方正仿宋_GBK"/>
          <w:sz w:val="32"/>
          <w:szCs w:val="32"/>
          <w:shd w:val="clear" w:color="auto" w:fill="FFFFFF"/>
        </w:rPr>
        <w:t>万元，较上年决算数减少4735.62万元，下降32.65%。主要原因是农业土地开发资金安排的支出、水利前期工作、防汛抗旱等项目减少。较年初预算数增加1727.15万元，增长21.47%。主要原因是水利建设项目增加。</w:t>
      </w:r>
    </w:p>
    <w:p>
      <w:pPr>
        <w:pStyle w:val="15"/>
        <w:autoSpaceDE w:val="0"/>
        <w:spacing w:before="0" w:beforeAutospacing="0" w:afterAutospacing="0" w:line="56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466.46</w:t>
      </w:r>
      <w:r>
        <w:rPr>
          <w:rFonts w:ascii="方正仿宋_GBK" w:hAnsi="方正仿宋_GBK" w:eastAsia="方正仿宋_GBK" w:cs="方正仿宋_GBK"/>
          <w:sz w:val="32"/>
          <w:szCs w:val="32"/>
          <w:shd w:val="clear" w:color="auto" w:fill="FFFFFF"/>
        </w:rPr>
        <w:t>万元，较上年决算数减少91.87万元，下降16.45%，主要原因是</w:t>
      </w:r>
      <w:r>
        <w:rPr>
          <w:rFonts w:ascii="方正仿宋_GBK" w:hAnsi="方正仿宋_GBK" w:eastAsia="方正仿宋_GBK" w:cs="方正仿宋_GBK"/>
          <w:sz w:val="32"/>
          <w:szCs w:val="32"/>
          <w:lang w:bidi="ar"/>
        </w:rPr>
        <w:t>本年度使用上年度农林水支出结</w:t>
      </w:r>
      <w:r>
        <w:rPr>
          <w:rFonts w:ascii="方正仿宋_GBK" w:hAnsi="方正仿宋_GBK" w:eastAsia="方正仿宋_GBK" w:cs="方正仿宋_GBK"/>
          <w:color w:val="000000"/>
          <w:sz w:val="32"/>
          <w:szCs w:val="32"/>
        </w:rPr>
        <w:t>转资金</w:t>
      </w:r>
      <w:r>
        <w:rPr>
          <w:rFonts w:ascii="方正仿宋_GBK" w:hAnsi="方正仿宋_GBK" w:eastAsia="方正仿宋_GBK" w:cs="方正仿宋_GBK"/>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0.02</w:t>
      </w:r>
      <w:r>
        <w:rPr>
          <w:rFonts w:ascii="方正仿宋_GBK" w:hAnsi="方正仿宋_GBK" w:eastAsia="方正仿宋_GBK" w:cs="方正仿宋_GBK"/>
          <w:sz w:val="32"/>
          <w:szCs w:val="32"/>
          <w:shd w:val="clear" w:color="auto" w:fill="FFFFFF"/>
        </w:rPr>
        <w:t>%，较年初预算数增加1.7万元，增长100.00%，主要原因是政协委员履职经费、非公组织党组织书记工作津贴增加。</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9.18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%，较年初预算数减少3.34万元，下降26.68%，主要原因是节约开支减少相关支出。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896.51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9.18</w:t>
      </w:r>
      <w:r>
        <w:rPr>
          <w:rFonts w:ascii="方正仿宋_GBK" w:hAnsi="方正仿宋_GBK" w:eastAsia="方正仿宋_GBK" w:cs="方正仿宋_GBK"/>
          <w:sz w:val="32"/>
          <w:szCs w:val="32"/>
          <w:shd w:val="clear" w:color="auto" w:fill="FFFFFF"/>
        </w:rPr>
        <w:t>%，较年初预算数增加87.53万元，增长10.82%，主要原因是正常增资、政策性调资等引起基数增加。</w:t>
      </w:r>
    </w:p>
    <w:p>
      <w:pPr>
        <w:ind w:firstLine="640" w:firstLineChars="200"/>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145.54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1.49</w:t>
      </w:r>
      <w:r>
        <w:rPr>
          <w:rFonts w:ascii="方正仿宋_GBK" w:hAnsi="方正仿宋_GBK" w:eastAsia="方正仿宋_GBK" w:cs="方正仿宋_GBK"/>
          <w:sz w:val="32"/>
          <w:szCs w:val="32"/>
          <w:shd w:val="clear" w:color="auto" w:fill="FFFFFF"/>
        </w:rPr>
        <w:t>%，较年初预算数减少8.06万元，下降5.25%，主要原因是</w:t>
      </w:r>
      <w:r>
        <w:rPr>
          <w:rFonts w:ascii="方正仿宋_GBK" w:hAnsi="方正仿宋_GBK" w:eastAsia="方正仿宋_GBK" w:cs="方正仿宋_GBK"/>
          <w:color w:val="000000"/>
          <w:sz w:val="32"/>
          <w:szCs w:val="32"/>
        </w:rPr>
        <w:t>政策性调资引起基数变化。</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（5）农林水支出</w:t>
      </w:r>
      <w:r>
        <w:rPr>
          <w:rFonts w:ascii="方正仿宋_GBK" w:hAnsi="方正仿宋_GBK" w:eastAsia="方正仿宋_GBK" w:cs="方正仿宋_GBK"/>
          <w:sz w:val="32"/>
          <w:szCs w:val="32"/>
        </w:rPr>
        <w:t>8480.74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86.80</w:t>
      </w:r>
      <w:r>
        <w:rPr>
          <w:rFonts w:ascii="方正仿宋_GBK" w:hAnsi="方正仿宋_GBK" w:eastAsia="方正仿宋_GBK" w:cs="方正仿宋_GBK"/>
          <w:sz w:val="32"/>
          <w:szCs w:val="32"/>
          <w:shd w:val="clear" w:color="auto" w:fill="FFFFFF"/>
        </w:rPr>
        <w:t>%，较年初预算数增加1610.94万元，增长23.45%，主要原因是水利建设项目增加。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（6）住房保障支出236.26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2.42</w:t>
      </w:r>
      <w:r>
        <w:rPr>
          <w:rFonts w:ascii="方正仿宋_GBK" w:hAnsi="方正仿宋_GBK" w:eastAsia="方正仿宋_GBK" w:cs="方正仿宋_GBK"/>
          <w:sz w:val="32"/>
          <w:szCs w:val="32"/>
          <w:shd w:val="clear" w:color="auto" w:fill="FFFFFF"/>
        </w:rPr>
        <w:t>%，较年初预算数增加38.38万元，增长19.40%，主要原因是水利建设项目增加。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12"/>
        <w:autoSpaceDE w:val="0"/>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5034.54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4473.74</w:t>
      </w:r>
      <w:r>
        <w:rPr>
          <w:rFonts w:ascii="方正仿宋_GBK" w:hAnsi="方正仿宋_GBK" w:eastAsia="方正仿宋_GBK" w:cs="方正仿宋_GBK"/>
          <w:sz w:val="32"/>
          <w:szCs w:val="32"/>
          <w:shd w:val="clear" w:color="auto" w:fill="FFFFFF"/>
        </w:rPr>
        <w:t>万元，较上年决算数增加139.53万元，增长3.22%，主要原因是</w:t>
      </w:r>
      <w:r>
        <w:rPr>
          <w:rFonts w:hint="eastAsia" w:ascii="方正仿宋_GBK" w:hAnsi="方正仿宋_GBK" w:eastAsia="方正仿宋_GBK" w:cs="方正仿宋_GBK"/>
          <w:sz w:val="32"/>
          <w:szCs w:val="32"/>
          <w:shd w:val="clear" w:color="auto" w:fill="FFFFFF"/>
        </w:rPr>
        <w:t>正常增资调资人员社保、公积金等增加。</w:t>
      </w:r>
      <w:r>
        <w:rPr>
          <w:rFonts w:ascii="方正仿宋_GBK" w:hAnsi="方正仿宋_GBK" w:eastAsia="方正仿宋_GBK" w:cs="方正仿宋_GBK"/>
          <w:sz w:val="32"/>
          <w:szCs w:val="32"/>
          <w:shd w:val="clear" w:color="auto" w:fill="FFFFFF"/>
        </w:rPr>
        <w:t>人员经费用途主要包括</w:t>
      </w:r>
      <w:r>
        <w:rPr>
          <w:rFonts w:hint="eastAsia" w:ascii="方正仿宋_GBK" w:hAnsi="方正仿宋_GBK" w:eastAsia="方正仿宋_GBK" w:cs="方正仿宋_GBK"/>
          <w:sz w:val="32"/>
          <w:szCs w:val="32"/>
          <w:shd w:val="clear" w:color="auto" w:fill="FFFFFF"/>
        </w:rPr>
        <w:t>基本工资、津贴补贴、奖金、社会保障缴费、绩效工资等。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560.81</w:t>
      </w:r>
      <w:r>
        <w:rPr>
          <w:rFonts w:ascii="方正仿宋_GBK" w:hAnsi="方正仿宋_GBK" w:eastAsia="方正仿宋_GBK" w:cs="方正仿宋_GBK"/>
          <w:sz w:val="32"/>
          <w:szCs w:val="32"/>
          <w:shd w:val="clear" w:color="auto" w:fill="FFFFFF"/>
        </w:rPr>
        <w:t>万元，较上年决算数减少50.22万元，下降8.22%，主要原因是</w:t>
      </w:r>
      <w:r>
        <w:rPr>
          <w:rFonts w:hint="eastAsia" w:ascii="方正仿宋_GBK" w:hAnsi="方正仿宋_GBK" w:eastAsia="方正仿宋_GBK" w:cs="方正仿宋_GBK"/>
          <w:sz w:val="32"/>
          <w:szCs w:val="32"/>
          <w:shd w:val="clear" w:color="auto" w:fill="FFFFFF"/>
        </w:rPr>
        <w:t>节约开支，从严控制公用经费支出。</w:t>
      </w:r>
      <w:r>
        <w:rPr>
          <w:rFonts w:ascii="方正仿宋_GBK" w:hAnsi="方正仿宋_GBK" w:eastAsia="方正仿宋_GBK" w:cs="方正仿宋_GBK"/>
          <w:sz w:val="32"/>
          <w:szCs w:val="32"/>
          <w:shd w:val="clear" w:color="auto" w:fill="FFFFFF"/>
        </w:rPr>
        <w:t>公用经费用途主要包括</w:t>
      </w:r>
      <w:r>
        <w:rPr>
          <w:rFonts w:hint="eastAsia" w:ascii="方正仿宋_GBK" w:hAnsi="方正仿宋_GBK" w:eastAsia="方正仿宋_GBK" w:cs="方正仿宋_GBK"/>
          <w:sz w:val="32"/>
          <w:szCs w:val="32"/>
          <w:shd w:val="clear" w:color="auto" w:fill="FFFFFF"/>
        </w:rPr>
        <w:t>办公费、印刷费、咨询费、手续费、差旅费、公务车运行维护费、信息网络运行费、水电费、其他商品服务支出等。</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44</w:t>
      </w:r>
      <w:r>
        <w:rPr>
          <w:rFonts w:ascii="方正仿宋_GBK" w:hAnsi="方正仿宋_GBK" w:eastAsia="方正仿宋_GBK" w:cs="方正仿宋_GBK"/>
          <w:sz w:val="32"/>
          <w:szCs w:val="32"/>
          <w:shd w:val="clear" w:color="auto" w:fill="FFFFFF"/>
        </w:rPr>
        <w:t>万元，较上年决算数减少8632.24万元，下降99.49%，主要原因是大中型水库移民后期扶持基金支出、国家重大水利工程建设基金安排的支出等项目减少。本年支出44万元，较上年决算数减少8632.24万元，下降99.49%，主要原因是大中型水库移民后期扶持基金支出、国家重大水利工程建设基金安排的支出等项目减少。</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44.89</w:t>
      </w:r>
      <w:r>
        <w:rPr>
          <w:rFonts w:ascii="方正仿宋_GBK" w:hAnsi="方正仿宋_GBK" w:eastAsia="方正仿宋_GBK" w:cs="方正仿宋_GBK"/>
          <w:sz w:val="32"/>
          <w:szCs w:val="32"/>
          <w:shd w:val="clear" w:color="auto" w:fill="FFFFFF"/>
        </w:rPr>
        <w:t>万元，较年初预算数减少12.73万元，下降22.09%，主要原因是厉行节约，从严控制三公经费。较上年支出数增加4.15万元，增长10.19%，主要原因是</w:t>
      </w:r>
      <w:r>
        <w:rPr>
          <w:rFonts w:ascii="方正仿宋_GBK" w:hAnsi="方正仿宋_GBK" w:eastAsia="方正仿宋_GBK" w:cs="方正仿宋_GBK"/>
          <w:sz w:val="32"/>
          <w:szCs w:val="32"/>
          <w:lang w:bidi="ar"/>
        </w:rPr>
        <w:t>水利工程建设水利设施安全运行检查等车辆费用增加、</w:t>
      </w:r>
      <w:r>
        <w:rPr>
          <w:rFonts w:ascii="方正仿宋_GBK" w:hAnsi="方正仿宋_GBK" w:eastAsia="方正仿宋_GBK" w:cs="方正仿宋_GBK"/>
          <w:sz w:val="32"/>
          <w:szCs w:val="32"/>
          <w:shd w:val="clear" w:color="auto" w:fill="FFFFFF"/>
        </w:rPr>
        <w:t>车辆老化维修维护费用增加。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39.40</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sz w:val="32"/>
          <w:szCs w:val="32"/>
          <w:lang w:bidi="ar"/>
        </w:rPr>
        <w:t>水利工程建设、市内因公出行、水利设施安全运行检查等工作所需车辆的燃料费、维修费、过桥过路费、保险费等。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费用支出较年初预算数减少13.10万元，下降24.95%，主要原因是</w:t>
      </w:r>
      <w:r>
        <w:rPr>
          <w:rFonts w:ascii="方正仿宋_GBK" w:hAnsi="方正仿宋_GBK" w:eastAsia="方正仿宋_GBK" w:cs="方正仿宋_GBK"/>
          <w:sz w:val="32"/>
          <w:szCs w:val="32"/>
          <w:lang w:bidi="ar"/>
        </w:rPr>
        <w:t>厉行节约，从严控制公务车运行维护费。</w:t>
      </w:r>
      <w:r>
        <w:rPr>
          <w:rFonts w:ascii="方正仿宋_GBK" w:hAnsi="方正仿宋_GBK" w:eastAsia="方正仿宋_GBK" w:cs="方正仿宋_GBK"/>
          <w:sz w:val="32"/>
          <w:szCs w:val="32"/>
          <w:shd w:val="clear" w:color="auto" w:fill="FFFFFF"/>
        </w:rPr>
        <w:t>较上年支出数增加3.72万元，增长10.43%，主要原因是</w:t>
      </w:r>
      <w:r>
        <w:rPr>
          <w:rFonts w:ascii="方正仿宋_GBK" w:hAnsi="方正仿宋_GBK" w:eastAsia="方正仿宋_GBK" w:cs="方正仿宋_GBK"/>
          <w:sz w:val="32"/>
          <w:szCs w:val="32"/>
          <w:lang w:bidi="ar"/>
        </w:rPr>
        <w:t>水利工程建设水利设施安全运行检查等车辆费用增加、</w:t>
      </w:r>
      <w:r>
        <w:rPr>
          <w:rFonts w:ascii="方正仿宋_GBK" w:hAnsi="方正仿宋_GBK" w:eastAsia="方正仿宋_GBK" w:cs="方正仿宋_GBK"/>
          <w:sz w:val="32"/>
          <w:szCs w:val="32"/>
          <w:shd w:val="clear" w:color="auto" w:fill="FFFFFF"/>
        </w:rPr>
        <w:t>车辆老化维修维护费用增加。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5.49</w:t>
      </w:r>
      <w:r>
        <w:rPr>
          <w:rFonts w:ascii="方正仿宋_GBK" w:hAnsi="方正仿宋_GBK" w:eastAsia="方正仿宋_GBK" w:cs="方正仿宋_GBK"/>
          <w:sz w:val="32"/>
          <w:szCs w:val="32"/>
          <w:shd w:val="clear" w:color="auto" w:fill="FFFFFF"/>
        </w:rPr>
        <w:t>万元，主要用于接待上级部门对水利工程建设及运行情况等检查、指导工作发生的支出。费用支出较年初预算数增加0.37万元，增长7.23%，主要原因是接受市水利局对水利工程项目检查等接待费用增加。较上年支出数增加0.43万元，增长8.50%，主要原因是接受市水利局对水利工程项目检查等接待费用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92</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686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80.08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3.28</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万元，较上年决算数减少0.85万元，下降92.39%，主要原因是</w:t>
      </w:r>
      <w:r>
        <w:rPr>
          <w:rFonts w:ascii="方正仿宋_GBK" w:hAnsi="方正仿宋_GBK" w:eastAsia="方正仿宋_GBK" w:cs="方正仿宋_GBK"/>
          <w:color w:val="000000"/>
          <w:sz w:val="32"/>
          <w:szCs w:val="32"/>
        </w:rPr>
        <w:t>厉行节约，减少相关支出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29.56</w:t>
      </w:r>
      <w:r>
        <w:rPr>
          <w:rFonts w:ascii="方正仿宋_GBK" w:hAnsi="方正仿宋_GBK" w:eastAsia="方正仿宋_GBK" w:cs="方正仿宋_GBK"/>
          <w:sz w:val="32"/>
          <w:szCs w:val="32"/>
          <w:shd w:val="clear" w:color="auto" w:fill="FFFFFF"/>
        </w:rPr>
        <w:t>万元，较上年决算数增加2.3万元，增长8.44%，主要原因是</w:t>
      </w:r>
      <w:r>
        <w:rPr>
          <w:rFonts w:hint="eastAsia" w:ascii="方正仿宋_GBK" w:hAnsi="方正仿宋_GBK" w:eastAsia="方正仿宋_GBK" w:cs="方正仿宋_GBK"/>
          <w:sz w:val="32"/>
          <w:szCs w:val="32"/>
          <w:shd w:val="clear" w:color="auto" w:fill="FFFFFF"/>
          <w:lang w:eastAsia="zh-CN"/>
        </w:rPr>
        <w:t>水行政执法</w:t>
      </w:r>
      <w:r>
        <w:rPr>
          <w:rFonts w:ascii="方正仿宋_GBK" w:hAnsi="方正仿宋_GBK" w:eastAsia="方正仿宋_GBK" w:cs="方正仿宋_GBK"/>
          <w:sz w:val="32"/>
          <w:szCs w:val="32"/>
          <w:shd w:val="clear" w:color="auto" w:fill="FFFFFF"/>
        </w:rPr>
        <w:t>知识培训、移民干部培训、三峡后续工作智慧化管理培训等培训费用增加。</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sz w:val="32"/>
          <w:szCs w:val="32"/>
        </w:r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1280" w:firstLineChars="4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124.85</w:t>
      </w:r>
      <w:r>
        <w:rPr>
          <w:rFonts w:ascii="方正仿宋_GBK" w:hAnsi="方正仿宋_GBK" w:eastAsia="方正仿宋_GBK" w:cs="方正仿宋_GBK"/>
          <w:sz w:val="32"/>
          <w:szCs w:val="32"/>
          <w:shd w:val="clear" w:color="auto" w:fill="FFFFFF"/>
        </w:rPr>
        <w:t>万元，机关运行经费主要用于</w:t>
      </w:r>
      <w:r>
        <w:rPr>
          <w:rFonts w:ascii="方正仿宋_GBK" w:hAnsi="方正仿宋_GBK" w:eastAsia="方正仿宋_GBK" w:cs="方正仿宋_GBK"/>
          <w:sz w:val="32"/>
          <w:szCs w:val="32"/>
          <w:shd w:val="clear" w:color="auto" w:fill="FFFFFF"/>
          <w:lang w:bidi="ar"/>
        </w:rPr>
        <w:t>开支办公费、差旅费、会议费、水电费、邮电费、维修费、公务接待费、劳务费、物业管理费等。</w:t>
      </w:r>
      <w:r>
        <w:rPr>
          <w:rFonts w:ascii="方正仿宋_GBK" w:hAnsi="方正仿宋_GBK" w:eastAsia="方正仿宋_GBK" w:cs="方正仿宋_GBK"/>
          <w:sz w:val="32"/>
          <w:szCs w:val="32"/>
          <w:shd w:val="clear" w:color="auto" w:fill="FFFFFF"/>
        </w:rPr>
        <w:t>机关运行经费较上年支出数减少6.32万元，下降4.82%，主要原因是厉行节约，减少相关支出。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12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101.85</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11.9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89.95</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11.9万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11.68</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11.90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11.68</w:t>
      </w:r>
      <w:r>
        <w:rPr>
          <w:rFonts w:ascii="方正仿宋_GBK" w:hAnsi="方正仿宋_GBK" w:eastAsia="方正仿宋_GBK" w:cs="方正仿宋_GBK"/>
          <w:sz w:val="32"/>
          <w:szCs w:val="32"/>
          <w:shd w:val="clear" w:color="auto" w:fill="FFFFFF"/>
        </w:rPr>
        <w:t xml:space="preserve"> %。主要用于采购采购大型复印机一套。</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pPr>
        <w:pStyle w:val="12"/>
        <w:autoSpaceDE w:val="0"/>
        <w:spacing w:before="0" w:beforeAutospacing="0" w:line="600" w:lineRule="exact"/>
        <w:ind w:firstLine="640" w:firstLineChars="200"/>
        <w:jc w:val="both"/>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根据预算绩效管理要求，我部门对部门整体和37个二级项目开展了绩效自评，涉及财政拨款项目支出资金4779.39万元。</w:t>
      </w:r>
    </w:p>
    <w:p>
      <w:pPr>
        <w:pStyle w:val="12"/>
        <w:autoSpaceDE w:val="0"/>
        <w:spacing w:before="0" w:beforeAutospacing="0" w:line="600" w:lineRule="exact"/>
        <w:rPr>
          <w:rFonts w:ascii="方正仿宋_GBK" w:hAnsi="方正仿宋_GBK" w:eastAsia="方正仿宋_GBK" w:cs="方正仿宋_GBK"/>
          <w:sz w:val="28"/>
          <w:szCs w:val="28"/>
          <w:shd w:val="clear" w:color="auto" w:fill="FFFFFF"/>
          <w:lang w:bidi="ar"/>
        </w:rPr>
      </w:pPr>
      <w:r>
        <w:rPr>
          <w:rFonts w:hint="eastAsia" w:ascii="方正仿宋_GBK" w:hAnsi="方正仿宋_GBK" w:eastAsia="方正仿宋_GBK" w:cs="方正仿宋_GBK"/>
          <w:sz w:val="28"/>
          <w:szCs w:val="28"/>
          <w:shd w:val="clear" w:color="auto" w:fill="FFFFFF"/>
          <w:lang w:bidi="ar"/>
        </w:rPr>
        <w:t>部门整体绩效自评表样</w:t>
      </w:r>
    </w:p>
    <w:tbl>
      <w:tblPr>
        <w:tblStyle w:val="7"/>
        <w:tblW w:w="5000" w:type="pct"/>
        <w:tblInd w:w="0" w:type="dxa"/>
        <w:tblLayout w:type="fixed"/>
        <w:tblCellMar>
          <w:top w:w="0" w:type="dxa"/>
          <w:left w:w="0" w:type="dxa"/>
          <w:bottom w:w="0" w:type="dxa"/>
          <w:right w:w="0" w:type="dxa"/>
        </w:tblCellMar>
      </w:tblPr>
      <w:tblGrid>
        <w:gridCol w:w="961"/>
        <w:gridCol w:w="616"/>
        <w:gridCol w:w="516"/>
        <w:gridCol w:w="774"/>
        <w:gridCol w:w="976"/>
        <w:gridCol w:w="808"/>
        <w:gridCol w:w="951"/>
        <w:gridCol w:w="711"/>
        <w:gridCol w:w="658"/>
        <w:gridCol w:w="476"/>
        <w:gridCol w:w="898"/>
      </w:tblGrid>
      <w:tr>
        <w:tblPrEx>
          <w:tblCellMar>
            <w:top w:w="0" w:type="dxa"/>
            <w:left w:w="0" w:type="dxa"/>
            <w:bottom w:w="0" w:type="dxa"/>
            <w:right w:w="0" w:type="dxa"/>
          </w:tblCellMar>
        </w:tblPrEx>
        <w:trPr>
          <w:trHeight w:val="585"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垫江县水利局2023年度部门整体绩效自评表</w:t>
            </w:r>
          </w:p>
        </w:tc>
      </w:tr>
      <w:tr>
        <w:tblPrEx>
          <w:tblCellMar>
            <w:top w:w="0" w:type="dxa"/>
            <w:left w:w="0" w:type="dxa"/>
            <w:bottom w:w="0" w:type="dxa"/>
            <w:right w:w="0" w:type="dxa"/>
          </w:tblCellMar>
        </w:tblPrEx>
        <w:trPr>
          <w:trHeight w:val="27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1" w:firstLineChars="100"/>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54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项目名称：</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垫江县水利局整体监控</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项目编码：</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50023100023P000055</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自评总分：</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92.18</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81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项目主管部门：</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403-垫江县水利局</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财政归口处室：</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007-农业科</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部门联系人：</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卢老师</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000000"/>
                <w:sz w:val="22"/>
                <w:szCs w:val="22"/>
              </w:rPr>
            </w:pPr>
            <w:r>
              <w:rPr>
                <w:rFonts w:cs="宋体"/>
                <w:b/>
                <w:color w:val="000000"/>
                <w:sz w:val="22"/>
                <w:szCs w:val="22"/>
                <w:lang w:bidi="ar"/>
              </w:rPr>
              <w:t>联系电话：</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74600581</w:t>
            </w:r>
          </w:p>
        </w:tc>
      </w:tr>
      <w:tr>
        <w:tblPrEx>
          <w:tblCellMar>
            <w:top w:w="0" w:type="dxa"/>
            <w:left w:w="0" w:type="dxa"/>
            <w:bottom w:w="0" w:type="dxa"/>
            <w:right w:w="0"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0" w:type="dxa"/>
            <w:left w:w="0" w:type="dxa"/>
            <w:bottom w:w="0" w:type="dxa"/>
            <w:right w:w="0" w:type="dxa"/>
          </w:tblCellMar>
        </w:tblPrEx>
        <w:trPr>
          <w:trHeight w:val="540" w:hRule="atLeast"/>
        </w:trPr>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b/>
                <w:color w:val="000000"/>
                <w:sz w:val="22"/>
                <w:szCs w:val="22"/>
              </w:rPr>
            </w:pPr>
            <w:r>
              <w:rPr>
                <w:rFonts w:cs="宋体"/>
                <w:b/>
                <w:color w:val="000000"/>
                <w:sz w:val="22"/>
                <w:szCs w:val="22"/>
                <w:lang w:bidi="ar"/>
              </w:rPr>
              <w:t>执行率权重</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0" w:type="dxa"/>
            <w:left w:w="0" w:type="dxa"/>
            <w:bottom w:w="0" w:type="dxa"/>
            <w:right w:w="0" w:type="dxa"/>
          </w:tblCellMar>
        </w:tblPrEx>
        <w:trPr>
          <w:trHeight w:val="270" w:hRule="atLeast"/>
        </w:trPr>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年度总金额</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149,719,549.36 </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453,824,329.82 </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99,040,429.82 </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270" w:hRule="atLeast"/>
        </w:trPr>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其中：财政拨款</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149,719,549.36 </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453,824,329.82 </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99,040,429.82 </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21.82</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10.00</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 xml:space="preserve">2.18 </w:t>
            </w:r>
          </w:p>
        </w:tc>
      </w:tr>
      <w:tr>
        <w:tblPrEx>
          <w:tblCellMar>
            <w:top w:w="0" w:type="dxa"/>
            <w:left w:w="0" w:type="dxa"/>
            <w:bottom w:w="0" w:type="dxa"/>
            <w:right w:w="0" w:type="dxa"/>
          </w:tblCellMar>
        </w:tblPrEx>
        <w:trPr>
          <w:trHeight w:val="270" w:hRule="atLeast"/>
        </w:trPr>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一般公共预算</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85,719,549.36 </w:t>
            </w:r>
          </w:p>
        </w:tc>
        <w:tc>
          <w:tcPr>
            <w:tcW w:w="1069"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453,824,329.82 </w:t>
            </w:r>
          </w:p>
        </w:tc>
        <w:tc>
          <w:tcPr>
            <w:tcW w:w="99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 xml:space="preserve">99,040,429.82 </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color w:val="000000"/>
                <w:sz w:val="22"/>
                <w:szCs w:val="22"/>
              </w:rPr>
            </w:pPr>
            <w:r>
              <w:rPr>
                <w:rFonts w:cs="宋体"/>
                <w:color w:val="000000"/>
                <w:sz w:val="22"/>
                <w:szCs w:val="22"/>
                <w:lang w:bidi="ar"/>
              </w:rPr>
              <w:t>21.74</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0" w:type="dxa"/>
            <w:left w:w="0" w:type="dxa"/>
            <w:bottom w:w="0" w:type="dxa"/>
            <w:right w:w="0" w:type="dxa"/>
          </w:tblCellMar>
        </w:tblPrEx>
        <w:trPr>
          <w:trHeight w:val="270" w:hRule="atLeast"/>
        </w:trPr>
        <w:tc>
          <w:tcPr>
            <w:tcW w:w="171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2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0" w:type="dxa"/>
            <w:left w:w="0" w:type="dxa"/>
            <w:bottom w:w="0" w:type="dxa"/>
            <w:right w:w="0" w:type="dxa"/>
          </w:tblCellMar>
        </w:tblPrEx>
        <w:trPr>
          <w:trHeight w:val="6420" w:hRule="atLeast"/>
        </w:trPr>
        <w:tc>
          <w:tcPr>
            <w:tcW w:w="1718"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通过年度预算支出，完成如下工作目标：1、完成水利固定资产投15000万元以上；2、保障农村集中供水率94%以上，农村饮水安全人数75万人以上；3、完成小型水库雨水情测报和大坝安全监测设施座数52座，水库维修养护122座；4、贯彻落实最严格水资源管理制度，严格控制“三条红线”指标，完成再生水利用配置试点项目1个；5、完成市委市政府对县委县政府河长制考核工作，确保全县山洪监测预警系统正常运行；6、实施移民项目数量18个，保障后期扶持资金直补受益移民人数21320人，促进移民村居民人均增收额大于350元；7、水事违法行为查处率98%；8、水利工程建设质量合格率；9、保障水文遥测站点畅通率96%以上。</w:t>
            </w:r>
          </w:p>
        </w:tc>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rPr>
                <w:rFonts w:hint="default" w:cs="宋体"/>
                <w:color w:val="000000"/>
                <w:sz w:val="22"/>
                <w:szCs w:val="22"/>
              </w:rPr>
            </w:pPr>
          </w:p>
        </w:tc>
        <w:tc>
          <w:tcPr>
            <w:tcW w:w="1215"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textAlignment w:val="top"/>
              <w:rPr>
                <w:rFonts w:hint="default" w:cs="宋体"/>
                <w:color w:val="000000"/>
                <w:sz w:val="22"/>
                <w:szCs w:val="22"/>
              </w:rPr>
            </w:pPr>
            <w:r>
              <w:rPr>
                <w:rFonts w:cs="宋体"/>
                <w:color w:val="000000"/>
                <w:sz w:val="22"/>
                <w:szCs w:val="22"/>
                <w:lang w:bidi="ar"/>
              </w:rPr>
              <w:t>通过年度预算支出，完成如下工作目标：1、完成水利固定资产投15000万元以上；2、保障农村集中供水率94%以上，农村饮水安全人数75万人以上；3、完成小型水库雨水情测报和大坝安全监测设施座数52座，水库维修养护122座；4、贯彻落实最严格水资源管理制度，严格控制“三条红线”指标，完成再生水利用配置试点项目1个；5、完成市委市政府对县委县政府河长制考核工作，确保全县山洪监测预警系统正常运行；6、实施移民项目数量18个，保障后期扶持资金直补受益移民人数21320人，促进移民村居民人均增收额大于350元；7、水事违法行为查处率98%；8、水利工程建设质量合格率；9、保障水文遥测站点畅通率96%以上。</w:t>
            </w:r>
          </w:p>
        </w:tc>
      </w:tr>
      <w:tr>
        <w:tblPrEx>
          <w:tblCellMar>
            <w:top w:w="0" w:type="dxa"/>
            <w:left w:w="0" w:type="dxa"/>
            <w:bottom w:w="0" w:type="dxa"/>
            <w:right w:w="0" w:type="dxa"/>
          </w:tblCellMar>
        </w:tblPrEx>
        <w:trPr>
          <w:trHeight w:val="42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0" w:type="dxa"/>
            <w:left w:w="0" w:type="dxa"/>
            <w:bottom w:w="0" w:type="dxa"/>
            <w:right w:w="0" w:type="dxa"/>
          </w:tblCellMar>
        </w:tblPrEx>
        <w:trPr>
          <w:trHeight w:val="81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0" w:type="dxa"/>
            <w:left w:w="0" w:type="dxa"/>
            <w:bottom w:w="0" w:type="dxa"/>
            <w:right w:w="0" w:type="dxa"/>
          </w:tblCellMar>
        </w:tblPrEx>
        <w:trPr>
          <w:trHeight w:val="27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农村集中供水保障率</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94</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94</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27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实施移民项目数量</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18</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18</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27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水事违法行为查处率</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98</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98</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27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水文遥测站点畅通率</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96</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81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完成市委市政府对县委县政府河长制考核工作</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81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完成水利固定资产投资</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万元</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15000</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20000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33.33</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是</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项目增加导致</w:t>
            </w:r>
          </w:p>
        </w:tc>
      </w:tr>
      <w:tr>
        <w:tblPrEx>
          <w:tblCellMar>
            <w:top w:w="0" w:type="dxa"/>
            <w:left w:w="0" w:type="dxa"/>
            <w:bottom w:w="0" w:type="dxa"/>
            <w:right w:w="0" w:type="dxa"/>
          </w:tblCellMar>
        </w:tblPrEx>
        <w:trPr>
          <w:trHeight w:val="81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小型水库雨水情测报和大坝安全检测设施座数</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座</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52</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52</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再生水利用配置试点项目个数</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个</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6</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水利工程建设质量合格率</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部门预决算按时公开率</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27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全年预算支出执行率</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98</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98</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27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三季度预算执行进度</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促进移民村（组）居民人均增收额</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元</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350</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350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保障农村饮水安全人数</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万人</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75</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后期扶持资金直补受益移民</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人</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21320</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21321</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54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确保全县山洪监测预警系统正常运行</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高中低</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3</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81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贯彻落实最严格水资源管理制度，严格控制“三条红线”指标</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定性</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高中低</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r>
        <w:tblPrEx>
          <w:tblCellMar>
            <w:top w:w="0" w:type="dxa"/>
            <w:left w:w="0" w:type="dxa"/>
            <w:bottom w:w="0" w:type="dxa"/>
            <w:right w:w="0" w:type="dxa"/>
          </w:tblCellMar>
        </w:tblPrEx>
        <w:trPr>
          <w:trHeight w:val="270" w:hRule="atLeast"/>
        </w:trPr>
        <w:tc>
          <w:tcPr>
            <w:tcW w:w="57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服务对象满意度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30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5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90</w:t>
            </w:r>
          </w:p>
        </w:tc>
        <w:tc>
          <w:tcPr>
            <w:tcW w:w="48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0</w:t>
            </w:r>
          </w:p>
        </w:tc>
        <w:tc>
          <w:tcPr>
            <w:tcW w:w="5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39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jc w:val="right"/>
              <w:textAlignment w:val="center"/>
              <w:rPr>
                <w:rFonts w:hint="default" w:cs="宋体"/>
                <w:color w:val="000000"/>
                <w:sz w:val="22"/>
                <w:szCs w:val="22"/>
              </w:rPr>
            </w:pPr>
            <w:r>
              <w:rPr>
                <w:rFonts w:cs="宋体"/>
                <w:color w:val="000000"/>
                <w:sz w:val="22"/>
                <w:szCs w:val="22"/>
                <w:lang w:bidi="ar"/>
              </w:rPr>
              <w:t>4</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ind w:firstLine="220" w:firstLineChars="100"/>
              <w:textAlignment w:val="center"/>
              <w:rPr>
                <w:rFonts w:hint="default" w:cs="宋体"/>
                <w:color w:val="000000"/>
                <w:sz w:val="22"/>
                <w:szCs w:val="22"/>
              </w:rPr>
            </w:pPr>
            <w:r>
              <w:rPr>
                <w:rFonts w:cs="宋体"/>
                <w:color w:val="000000"/>
                <w:sz w:val="22"/>
                <w:szCs w:val="22"/>
                <w:lang w:bidi="ar"/>
              </w:rPr>
              <w:t>否</w:t>
            </w:r>
          </w:p>
        </w:tc>
        <w:tc>
          <w:tcPr>
            <w:tcW w:w="53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default" w:cs="宋体"/>
                <w:color w:val="000000"/>
                <w:sz w:val="22"/>
                <w:szCs w:val="22"/>
              </w:rPr>
            </w:pPr>
          </w:p>
        </w:tc>
      </w:tr>
    </w:tbl>
    <w:p>
      <w:pPr>
        <w:pStyle w:val="12"/>
        <w:spacing w:before="0" w:beforeAutospacing="0"/>
        <w:rPr>
          <w:rFonts w:ascii="方正仿宋_GBK" w:hAnsi="方正仿宋_GBK" w:eastAsia="方正仿宋_GBK" w:cs="方正仿宋_GBK"/>
          <w:sz w:val="32"/>
          <w:szCs w:val="32"/>
          <w:shd w:val="clear" w:color="auto" w:fill="FFFFFF"/>
        </w:rPr>
      </w:pPr>
    </w:p>
    <w:p>
      <w:pPr>
        <w:pStyle w:val="12"/>
        <w:spacing w:before="0" w:beforeAutospacing="0"/>
        <w:rPr>
          <w:rFonts w:ascii="方正仿宋_GBK" w:hAnsi="方正仿宋_GBK" w:eastAsia="方正仿宋_GBK" w:cs="方正仿宋_GBK"/>
          <w:sz w:val="28"/>
          <w:szCs w:val="28"/>
          <w:shd w:val="clear" w:color="auto" w:fill="FFFFFF"/>
          <w:lang w:bidi="ar"/>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lang w:bidi="ar"/>
        </w:rPr>
        <w:t>项目支出绩效自评表（二级项目）</w:t>
      </w:r>
    </w:p>
    <w:tbl>
      <w:tblPr>
        <w:tblStyle w:val="7"/>
        <w:tblW w:w="5021" w:type="pct"/>
        <w:jc w:val="center"/>
        <w:tblLayout w:type="fixed"/>
        <w:tblCellMar>
          <w:top w:w="0" w:type="dxa"/>
          <w:left w:w="108" w:type="dxa"/>
          <w:bottom w:w="0" w:type="dxa"/>
          <w:right w:w="108" w:type="dxa"/>
        </w:tblCellMar>
      </w:tblPr>
      <w:tblGrid>
        <w:gridCol w:w="1565"/>
        <w:gridCol w:w="810"/>
        <w:gridCol w:w="753"/>
        <w:gridCol w:w="985"/>
        <w:gridCol w:w="574"/>
        <w:gridCol w:w="714"/>
        <w:gridCol w:w="51"/>
        <w:gridCol w:w="793"/>
        <w:gridCol w:w="555"/>
        <w:gridCol w:w="644"/>
        <w:gridCol w:w="540"/>
        <w:gridCol w:w="547"/>
        <w:gridCol w:w="36"/>
      </w:tblGrid>
      <w:tr>
        <w:tblPrEx>
          <w:tblCellMar>
            <w:top w:w="0" w:type="dxa"/>
            <w:left w:w="108" w:type="dxa"/>
            <w:bottom w:w="0" w:type="dxa"/>
            <w:right w:w="108" w:type="dxa"/>
          </w:tblCellMar>
        </w:tblPrEx>
        <w:trPr>
          <w:gridAfter w:val="1"/>
          <w:wAfter w:w="21" w:type="pct"/>
          <w:trHeight w:val="800" w:hRule="atLeast"/>
          <w:jc w:val="center"/>
        </w:trPr>
        <w:tc>
          <w:tcPr>
            <w:tcW w:w="4978"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themeColor="text1"/>
                <w:sz w:val="40"/>
                <w:szCs w:val="40"/>
                <w14:textFill>
                  <w14:solidFill>
                    <w14:schemeClr w14:val="tx1"/>
                  </w14:solidFill>
                </w14:textFill>
              </w:rPr>
            </w:pPr>
            <w:r>
              <w:rPr>
                <w:rFonts w:ascii="微软雅黑" w:hAnsi="微软雅黑" w:eastAsia="微软雅黑" w:cs="微软雅黑"/>
                <w:b/>
                <w:bCs/>
                <w:color w:val="000000" w:themeColor="text1"/>
                <w:sz w:val="40"/>
                <w:szCs w:val="40"/>
                <w:lang w:bidi="ar"/>
                <w14:textFill>
                  <w14:solidFill>
                    <w14:schemeClr w14:val="tx1"/>
                  </w14:solidFill>
                </w14:textFill>
              </w:rPr>
              <w:t>2023年度二级项目绩效自评表</w:t>
            </w:r>
          </w:p>
        </w:tc>
      </w:tr>
      <w:tr>
        <w:tblPrEx>
          <w:tblCellMar>
            <w:top w:w="0" w:type="dxa"/>
            <w:left w:w="108" w:type="dxa"/>
            <w:bottom w:w="0" w:type="dxa"/>
            <w:right w:w="108" w:type="dxa"/>
          </w:tblCellMar>
        </w:tblPrEx>
        <w:trPr>
          <w:gridAfter w:val="1"/>
          <w:wAfter w:w="21" w:type="pct"/>
          <w:trHeight w:val="500" w:hRule="atLeast"/>
          <w:jc w:val="center"/>
        </w:trPr>
        <w:tc>
          <w:tcPr>
            <w:tcW w:w="4978"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1" w:firstLineChars="100"/>
              <w:jc w:val="right"/>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状态：绩效审核已审</w:t>
            </w:r>
          </w:p>
        </w:tc>
      </w:tr>
      <w:tr>
        <w:tblPrEx>
          <w:tblCellMar>
            <w:top w:w="0" w:type="dxa"/>
            <w:left w:w="108" w:type="dxa"/>
            <w:bottom w:w="0" w:type="dxa"/>
            <w:right w:w="108" w:type="dxa"/>
          </w:tblCellMar>
        </w:tblPrEx>
        <w:trPr>
          <w:gridAfter w:val="1"/>
          <w:wAfter w:w="21" w:type="pct"/>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水资源节约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项目编码：</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50023123T000003524013</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自评总分：</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90.00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b/>
                <w:bCs/>
                <w:color w:val="000000" w:themeColor="text1"/>
                <w:sz w:val="22"/>
                <w:szCs w:val="22"/>
                <w14:textFill>
                  <w14:solidFill>
                    <w14:schemeClr w14:val="tx1"/>
                  </w14:solidFill>
                </w14:textFill>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gridAfter w:val="1"/>
          <w:wAfter w:w="21" w:type="pct"/>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项目主管部门：</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403-垫江县水利局</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财政归口处室：</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007-农业科</w:t>
            </w:r>
          </w:p>
        </w:tc>
        <w:tc>
          <w:tcPr>
            <w:tcW w:w="4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部门联系人：</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游老师</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联系电话：</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13594512343</w:t>
            </w:r>
          </w:p>
        </w:tc>
      </w:tr>
      <w:tr>
        <w:tblPrEx>
          <w:tblCellMar>
            <w:top w:w="0" w:type="dxa"/>
            <w:left w:w="108" w:type="dxa"/>
            <w:bottom w:w="0" w:type="dxa"/>
            <w:right w:w="108" w:type="dxa"/>
          </w:tblCellMar>
        </w:tblPrEx>
        <w:trPr>
          <w:gridAfter w:val="1"/>
          <w:wAfter w:w="21" w:type="pct"/>
          <w:trHeight w:val="600" w:hRule="atLeast"/>
          <w:jc w:val="center"/>
        </w:trPr>
        <w:tc>
          <w:tcPr>
            <w:tcW w:w="4978"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themeColor="text1"/>
                <w:sz w:val="28"/>
                <w:szCs w:val="28"/>
                <w14:textFill>
                  <w14:solidFill>
                    <w14:schemeClr w14:val="tx1"/>
                  </w14:solidFill>
                </w14:textFill>
              </w:rPr>
            </w:pPr>
            <w:r>
              <w:rPr>
                <w:rFonts w:ascii="微软雅黑" w:hAnsi="微软雅黑" w:eastAsia="微软雅黑" w:cs="微软雅黑"/>
                <w:b/>
                <w:bCs/>
                <w:color w:val="000000" w:themeColor="text1"/>
                <w:sz w:val="28"/>
                <w:szCs w:val="28"/>
                <w:lang w:bidi="ar"/>
                <w14:textFill>
                  <w14:solidFill>
                    <w14:schemeClr w14:val="tx1"/>
                  </w14:solidFill>
                </w14:textFill>
              </w:rPr>
              <w:t>资金情况</w:t>
            </w:r>
          </w:p>
        </w:tc>
      </w:tr>
      <w:tr>
        <w:tblPrEx>
          <w:tblCellMar>
            <w:top w:w="0" w:type="dxa"/>
            <w:left w:w="108" w:type="dxa"/>
            <w:bottom w:w="0" w:type="dxa"/>
            <w:right w:w="108" w:type="dxa"/>
          </w:tblCellMar>
        </w:tblPrEx>
        <w:trPr>
          <w:gridAfter w:val="1"/>
          <w:wAfter w:w="21" w:type="pct"/>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22"/>
                <w:szCs w:val="22"/>
                <w14:textFill>
                  <w14:solidFill>
                    <w14:schemeClr w14:val="tx1"/>
                  </w14:solidFill>
                </w14:textFill>
              </w:rPr>
            </w:pP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年初预算数</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全年（调整）预算数</w:t>
            </w: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全年执行数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执行率</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执行率权重</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执行率得分</w:t>
            </w:r>
          </w:p>
        </w:tc>
      </w:tr>
      <w:tr>
        <w:tblPrEx>
          <w:tblCellMar>
            <w:top w:w="0" w:type="dxa"/>
            <w:left w:w="108" w:type="dxa"/>
            <w:bottom w:w="0" w:type="dxa"/>
            <w:right w:w="108" w:type="dxa"/>
          </w:tblCellMar>
        </w:tblPrEx>
        <w:trPr>
          <w:gridAfter w:val="1"/>
          <w:wAfter w:w="21" w:type="pct"/>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年度总金额</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2,480,000.00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1,500,000.00</w:t>
            </w: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1,500,000.00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22"/>
                <w:szCs w:val="22"/>
                <w14:textFill>
                  <w14:solidFill>
                    <w14:schemeClr w14:val="tx1"/>
                  </w14:solidFill>
                </w14:textFill>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22"/>
                <w:szCs w:val="22"/>
                <w14:textFill>
                  <w14:solidFill>
                    <w14:schemeClr w14:val="tx1"/>
                  </w14:solidFill>
                </w14:textFill>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gridAfter w:val="1"/>
          <w:wAfter w:w="21" w:type="pct"/>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其中：财政拨款</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2,480,000.00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1,500,000.00</w:t>
            </w: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1,500,000.00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10.00</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10.00</w:t>
            </w:r>
          </w:p>
        </w:tc>
      </w:tr>
      <w:tr>
        <w:tblPrEx>
          <w:tblCellMar>
            <w:top w:w="0" w:type="dxa"/>
            <w:left w:w="108" w:type="dxa"/>
            <w:bottom w:w="0" w:type="dxa"/>
            <w:right w:w="108" w:type="dxa"/>
          </w:tblCellMar>
        </w:tblPrEx>
        <w:trPr>
          <w:gridAfter w:val="1"/>
          <w:wAfter w:w="21" w:type="pct"/>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一般公共预算</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2,480,000.00</w:t>
            </w:r>
          </w:p>
        </w:tc>
        <w:tc>
          <w:tcPr>
            <w:tcW w:w="9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1,500,000.00</w:t>
            </w:r>
          </w:p>
        </w:tc>
        <w:tc>
          <w:tcPr>
            <w:tcW w:w="91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1,500,000.00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22"/>
                <w:szCs w:val="22"/>
                <w14:textFill>
                  <w14:solidFill>
                    <w14:schemeClr w14:val="tx1"/>
                  </w14:solidFill>
                </w14:textFill>
              </w:rPr>
            </w:pP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gridAfter w:val="1"/>
          <w:wAfter w:w="21" w:type="pct"/>
          <w:trHeight w:val="600" w:hRule="atLeast"/>
          <w:jc w:val="center"/>
        </w:trPr>
        <w:tc>
          <w:tcPr>
            <w:tcW w:w="4978"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themeColor="text1"/>
                <w:sz w:val="28"/>
                <w:szCs w:val="28"/>
                <w14:textFill>
                  <w14:solidFill>
                    <w14:schemeClr w14:val="tx1"/>
                  </w14:solidFill>
                </w14:textFill>
              </w:rPr>
            </w:pPr>
            <w:r>
              <w:rPr>
                <w:rFonts w:ascii="微软雅黑" w:hAnsi="微软雅黑" w:eastAsia="微软雅黑" w:cs="微软雅黑"/>
                <w:b/>
                <w:bCs/>
                <w:color w:val="000000" w:themeColor="text1"/>
                <w:sz w:val="28"/>
                <w:szCs w:val="28"/>
                <w:lang w:bidi="ar"/>
                <w14:textFill>
                  <w14:solidFill>
                    <w14:schemeClr w14:val="tx1"/>
                  </w14:solidFill>
                </w14:textFill>
              </w:rPr>
              <w:t>绩效目标</w:t>
            </w:r>
          </w:p>
        </w:tc>
      </w:tr>
      <w:tr>
        <w:tblPrEx>
          <w:tblCellMar>
            <w:top w:w="0" w:type="dxa"/>
            <w:left w:w="108" w:type="dxa"/>
            <w:bottom w:w="0" w:type="dxa"/>
            <w:right w:w="108" w:type="dxa"/>
          </w:tblCellMar>
        </w:tblPrEx>
        <w:trPr>
          <w:gridAfter w:val="1"/>
          <w:wAfter w:w="21" w:type="pct"/>
          <w:trHeight w:val="500" w:hRule="atLeast"/>
          <w:jc w:val="center"/>
        </w:trPr>
        <w:tc>
          <w:tcPr>
            <w:tcW w:w="18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年初绩效目标</w:t>
            </w:r>
          </w:p>
        </w:tc>
        <w:tc>
          <w:tcPr>
            <w:tcW w:w="182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全年（调整）绩效目标</w:t>
            </w:r>
          </w:p>
        </w:tc>
        <w:tc>
          <w:tcPr>
            <w:tcW w:w="133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全年目标实际完成情况</w:t>
            </w:r>
          </w:p>
        </w:tc>
      </w:tr>
      <w:tr>
        <w:tblPrEx>
          <w:tblCellMar>
            <w:top w:w="0" w:type="dxa"/>
            <w:left w:w="108" w:type="dxa"/>
            <w:bottom w:w="0" w:type="dxa"/>
            <w:right w:w="108" w:type="dxa"/>
          </w:tblCellMar>
        </w:tblPrEx>
        <w:trPr>
          <w:gridAfter w:val="1"/>
          <w:wAfter w:w="21" w:type="pct"/>
          <w:trHeight w:val="1600" w:hRule="atLeast"/>
          <w:jc w:val="center"/>
        </w:trPr>
        <w:tc>
          <w:tcPr>
            <w:tcW w:w="1824" w:type="pct"/>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完成垫江县再生水利用配置试点项目。</w:t>
            </w:r>
          </w:p>
        </w:tc>
        <w:tc>
          <w:tcPr>
            <w:tcW w:w="1820" w:type="pct"/>
            <w:gridSpan w:val="5"/>
            <w:tcBorders>
              <w:top w:val="single" w:color="000000" w:sz="4" w:space="0"/>
              <w:left w:val="single" w:color="000000" w:sz="4" w:space="0"/>
              <w:bottom w:val="single" w:color="000000" w:sz="4" w:space="0"/>
              <w:right w:val="single" w:color="000000" w:sz="4" w:space="0"/>
            </w:tcBorders>
            <w:shd w:val="clear" w:color="auto" w:fill="auto"/>
          </w:tcPr>
          <w:p>
            <w:pPr>
              <w:rPr>
                <w:rFonts w:hint="default" w:cs="宋体"/>
                <w:color w:val="000000" w:themeColor="text1"/>
                <w:sz w:val="22"/>
                <w:szCs w:val="22"/>
                <w14:textFill>
                  <w14:solidFill>
                    <w14:schemeClr w14:val="tx1"/>
                  </w14:solidFill>
                </w14:textFill>
              </w:rPr>
            </w:pPr>
          </w:p>
        </w:tc>
        <w:tc>
          <w:tcPr>
            <w:tcW w:w="1333" w:type="pct"/>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br w:type="textWrapping"/>
            </w:r>
            <w:r>
              <w:rPr>
                <w:rFonts w:cs="宋体"/>
                <w:color w:val="000000" w:themeColor="text1"/>
                <w:sz w:val="22"/>
                <w:szCs w:val="22"/>
                <w:lang w:bidi="ar"/>
                <w14:textFill>
                  <w14:solidFill>
                    <w14:schemeClr w14:val="tx1"/>
                  </w14:solidFill>
                </w14:textFill>
              </w:rPr>
              <w:t>完成2023年度垫江县再生水利用配置试点项目的前期工作。</w:t>
            </w:r>
          </w:p>
        </w:tc>
      </w:tr>
      <w:tr>
        <w:tblPrEx>
          <w:tblCellMar>
            <w:top w:w="0" w:type="dxa"/>
            <w:left w:w="108" w:type="dxa"/>
            <w:bottom w:w="0" w:type="dxa"/>
            <w:right w:w="108" w:type="dxa"/>
          </w:tblCellMar>
        </w:tblPrEx>
        <w:trPr>
          <w:gridAfter w:val="1"/>
          <w:wAfter w:w="21" w:type="pct"/>
          <w:trHeight w:val="600" w:hRule="atLeast"/>
          <w:jc w:val="center"/>
        </w:trPr>
        <w:tc>
          <w:tcPr>
            <w:tcW w:w="4978" w:type="pct"/>
            <w:gridSpan w:val="1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ascii="微软雅黑" w:hAnsi="微软雅黑" w:eastAsia="微软雅黑" w:cs="微软雅黑"/>
                <w:b/>
                <w:bCs/>
                <w:color w:val="000000" w:themeColor="text1"/>
                <w:sz w:val="28"/>
                <w:szCs w:val="28"/>
                <w14:textFill>
                  <w14:solidFill>
                    <w14:schemeClr w14:val="tx1"/>
                  </w14:solidFill>
                </w14:textFill>
              </w:rPr>
            </w:pPr>
            <w:r>
              <w:rPr>
                <w:rFonts w:ascii="微软雅黑" w:hAnsi="微软雅黑" w:eastAsia="微软雅黑" w:cs="微软雅黑"/>
                <w:b/>
                <w:bCs/>
                <w:color w:val="000000" w:themeColor="text1"/>
                <w:sz w:val="28"/>
                <w:szCs w:val="28"/>
                <w:lang w:bidi="ar"/>
                <w14:textFill>
                  <w14:solidFill>
                    <w14:schemeClr w14:val="tx1"/>
                  </w14:solidFill>
                </w14:textFill>
              </w:rPr>
              <w:t>绩效指标</w:t>
            </w:r>
          </w:p>
        </w:tc>
      </w:tr>
      <w:tr>
        <w:tblPrEx>
          <w:tblCellMar>
            <w:top w:w="0" w:type="dxa"/>
            <w:left w:w="108" w:type="dxa"/>
            <w:bottom w:w="0" w:type="dxa"/>
            <w:right w:w="108" w:type="dxa"/>
          </w:tblCellMar>
        </w:tblPrEx>
        <w:trPr>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指标名称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计量单位</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指标性质</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指标值</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全年完成值</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偏离度（%）</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得分系数（%）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指标权重</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指标得分</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是否核心指标</w:t>
            </w: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b/>
                <w:bCs/>
                <w:color w:val="000000" w:themeColor="text1"/>
                <w:sz w:val="22"/>
                <w:szCs w:val="22"/>
                <w14:textFill>
                  <w14:solidFill>
                    <w14:schemeClr w14:val="tx1"/>
                  </w14:solidFill>
                </w14:textFill>
              </w:rPr>
            </w:pPr>
            <w:r>
              <w:rPr>
                <w:rFonts w:cs="宋体"/>
                <w:b/>
                <w:bCs/>
                <w:color w:val="000000" w:themeColor="text1"/>
                <w:sz w:val="22"/>
                <w:szCs w:val="22"/>
                <w:lang w:bidi="ar"/>
                <w14:textFill>
                  <w14:solidFill>
                    <w14:schemeClr w14:val="tx1"/>
                  </w14:solidFill>
                </w14:textFill>
              </w:rPr>
              <w:t>说明</w:t>
            </w:r>
          </w:p>
        </w:tc>
      </w:tr>
      <w:tr>
        <w:tblPrEx>
          <w:tblCellMar>
            <w:top w:w="0" w:type="dxa"/>
            <w:left w:w="108" w:type="dxa"/>
            <w:bottom w:w="0" w:type="dxa"/>
            <w:right w:w="108" w:type="dxa"/>
          </w:tblCellMar>
        </w:tblPrEx>
        <w:trPr>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实施节水型社会达标建设（含再生水配置）项目数</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个</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0</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否</w:t>
            </w: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完成工程计划进度率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90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90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0</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否</w:t>
            </w: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22"/>
                <w:szCs w:val="22"/>
                <w14:textFill>
                  <w14:solidFill>
                    <w14:schemeClr w14:val="tx1"/>
                  </w14:solidFill>
                </w14:textFill>
              </w:rPr>
            </w:pPr>
          </w:p>
        </w:tc>
      </w:tr>
      <w:tr>
        <w:tblPrEx>
          <w:tblCellMar>
            <w:top w:w="0" w:type="dxa"/>
            <w:left w:w="108" w:type="dxa"/>
            <w:bottom w:w="0" w:type="dxa"/>
            <w:right w:w="108" w:type="dxa"/>
          </w:tblCellMar>
        </w:tblPrEx>
        <w:trPr>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截至年底完成投资比例</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80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60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25</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否</w:t>
            </w: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lang w:bidi="ar"/>
                <w14:textFill>
                  <w14:solidFill>
                    <w14:schemeClr w14:val="tx1"/>
                  </w14:solidFill>
                </w14:textFill>
              </w:rPr>
              <w:t>资金未及时支付</w:t>
            </w:r>
          </w:p>
        </w:tc>
      </w:tr>
      <w:tr>
        <w:tblPrEx>
          <w:tblCellMar>
            <w:top w:w="0" w:type="dxa"/>
            <w:left w:w="108" w:type="dxa"/>
            <w:bottom w:w="0" w:type="dxa"/>
            <w:right w:w="108" w:type="dxa"/>
          </w:tblCellMar>
        </w:tblPrEx>
        <w:trPr>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提高群众节水意识</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22"/>
                <w:szCs w:val="22"/>
                <w14:textFill>
                  <w14:solidFill>
                    <w14:schemeClr w14:val="tx1"/>
                  </w14:solidFill>
                </w14:textFill>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定性</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有效提高</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0</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否</w:t>
            </w: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群众满意度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90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90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0</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否</w:t>
            </w: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cs="宋体"/>
                <w:color w:val="000000" w:themeColor="text1"/>
                <w:sz w:val="18"/>
                <w:szCs w:val="18"/>
                <w14:textFill>
                  <w14:solidFill>
                    <w14:schemeClr w14:val="tx1"/>
                  </w14:solidFill>
                </w14:textFill>
              </w:rPr>
            </w:pPr>
          </w:p>
        </w:tc>
      </w:tr>
      <w:tr>
        <w:tblPrEx>
          <w:tblCellMar>
            <w:top w:w="0" w:type="dxa"/>
            <w:left w:w="108" w:type="dxa"/>
            <w:bottom w:w="0" w:type="dxa"/>
            <w:right w:w="108" w:type="dxa"/>
          </w:tblCellMar>
        </w:tblPrEx>
        <w:trPr>
          <w:trHeight w:val="500" w:hRule="atLeast"/>
          <w:jc w:val="center"/>
        </w:trPr>
        <w:tc>
          <w:tcPr>
            <w:tcW w:w="9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成本控制</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万元</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248</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150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39.52</w:t>
            </w:r>
          </w:p>
        </w:tc>
        <w:tc>
          <w:tcPr>
            <w:tcW w:w="4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ind w:firstLine="220" w:firstLineChars="100"/>
              <w:jc w:val="center"/>
              <w:textAlignment w:val="center"/>
              <w:rPr>
                <w:rFonts w:hint="default" w:cs="宋体"/>
                <w:color w:val="000000" w:themeColor="text1"/>
                <w:sz w:val="22"/>
                <w:szCs w:val="22"/>
                <w14:textFill>
                  <w14:solidFill>
                    <w14:schemeClr w14:val="tx1"/>
                  </w14:solidFill>
                </w14:textFill>
              </w:rPr>
            </w:pPr>
            <w:r>
              <w:rPr>
                <w:rFonts w:cs="宋体"/>
                <w:color w:val="000000" w:themeColor="text1"/>
                <w:sz w:val="22"/>
                <w:szCs w:val="22"/>
                <w:lang w:bidi="ar"/>
                <w14:textFill>
                  <w14:solidFill>
                    <w14:schemeClr w14:val="tx1"/>
                  </w14:solidFill>
                </w14:textFill>
              </w:rPr>
              <w:t>否</w:t>
            </w:r>
          </w:p>
        </w:tc>
        <w:tc>
          <w:tcPr>
            <w:tcW w:w="3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textAlignment w:val="center"/>
              <w:rPr>
                <w:rFonts w:hint="default" w:cs="宋体"/>
                <w:color w:val="000000" w:themeColor="text1"/>
                <w:sz w:val="18"/>
                <w:szCs w:val="18"/>
                <w14:textFill>
                  <w14:solidFill>
                    <w14:schemeClr w14:val="tx1"/>
                  </w14:solidFill>
                </w14:textFill>
              </w:rPr>
            </w:pPr>
            <w:r>
              <w:rPr>
                <w:rFonts w:cs="宋体"/>
                <w:color w:val="000000" w:themeColor="text1"/>
                <w:sz w:val="18"/>
                <w:szCs w:val="18"/>
                <w:lang w:bidi="ar"/>
                <w14:textFill>
                  <w14:solidFill>
                    <w14:schemeClr w14:val="tx1"/>
                  </w14:solidFill>
                </w14:textFill>
              </w:rPr>
              <w:t>资金未及时支付</w:t>
            </w:r>
          </w:p>
        </w:tc>
      </w:tr>
    </w:tbl>
    <w:p>
      <w:pPr>
        <w:pStyle w:val="12"/>
        <w:spacing w:before="0" w:beforeAutospacing="0"/>
        <w:rPr>
          <w:rFonts w:ascii="方正仿宋_GBK" w:hAnsi="方正仿宋_GBK" w:eastAsia="方正仿宋_GBK" w:cs="方正仿宋_GBK"/>
          <w:sz w:val="28"/>
          <w:szCs w:val="28"/>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4"/>
        <w:autoSpaceDE w:val="0"/>
        <w:ind w:firstLine="960" w:firstLineChars="3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我部门未组织开展绩效评价。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adjustRightInd w:val="0"/>
        <w:snapToGrid w:val="0"/>
        <w:spacing w:line="560" w:lineRule="exact"/>
        <w:ind w:firstLine="640" w:firstLineChars="200"/>
        <w:jc w:val="both"/>
        <w:outlineLvl w:val="2"/>
        <w:rPr>
          <w:rFonts w:hint="default" w:ascii="方正仿宋_GBK" w:hAnsi="方正仿宋_GBK" w:eastAsia="方正仿宋_GBK" w:cs="方正仿宋_GBK"/>
          <w:color w:val="000000" w:themeColor="text1"/>
          <w:sz w:val="32"/>
          <w:szCs w:val="32"/>
          <w14:textFill>
            <w14:solidFill>
              <w14:schemeClr w14:val="tx1"/>
            </w14:solidFill>
          </w14:textFill>
        </w:rPr>
      </w:pPr>
      <w:r>
        <w:rPr>
          <w:rFonts w:ascii="方正仿宋_GBK" w:hAnsi="方正仿宋_GBK" w:eastAsia="方正仿宋_GBK" w:cs="方正仿宋_GBK"/>
          <w:sz w:val="32"/>
          <w:szCs w:val="32"/>
        </w:rPr>
        <w:t>县财政局委托第三方对我单位2022年大中型水库移民后期扶持基金（含三峡后续）项目开展了绩效评价，涉及财政拨款项目资金8400万元，评价得分85.96分，评价等次为良，</w:t>
      </w:r>
      <w:r>
        <w:rPr>
          <w:rFonts w:ascii="方正仿宋_GBK" w:hAnsi="方正仿宋_GBK" w:eastAsia="方正仿宋_GBK" w:cs="方正仿宋_GBK"/>
          <w:color w:val="000000" w:themeColor="text1"/>
          <w:sz w:val="32"/>
          <w:szCs w:val="32"/>
          <w14:textFill>
            <w14:solidFill>
              <w14:schemeClr w14:val="tx1"/>
            </w14:solidFill>
          </w14:textFill>
        </w:rPr>
        <w:t>绩效评价发现了绩效目标设置不规范，当年度资金执行率偏低，项目管理过程存在缺陷，存在部分项目建设实施进度滞后，跟踪管理效率不足等主要问题，提出加强绩效目标申报管理，提高资金使用效率，加强项目监督管理等下一步工作建议。</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1"/>
        <w:autoSpaceDE w:val="0"/>
        <w:ind w:firstLine="0" w:firstLineChars="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1"/>
        <w:autoSpaceDE w:val="0"/>
        <w:ind w:firstLine="0" w:firstLineChars="0"/>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陈老师  023-74527014</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公开部门：垫江县水利局</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9,450.04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44.00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578.02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896.51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145.54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8,839.44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236.26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10,072.06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10,128.63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971.42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914.85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11,043.48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11,043.48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公开部门：垫江县水利局</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10,072.06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9,494.04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578.02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896.51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896.51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809.35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809.35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250.51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250.51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434.27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434.27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85.57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85.57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83.62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83.62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145.54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145.54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129.77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129.77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8,782.87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8,204.85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578.02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8,311.87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7,733.85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578.02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449.11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449.11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1,448.65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1,448.65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水利工程运行与维护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3,293.47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2,845.24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448.23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hint="eastAsia" w:cs="宋体"/>
                <w:color w:val="000000"/>
                <w:sz w:val="21"/>
                <w:szCs w:val="21"/>
                <w:lang w:eastAsia="zh-CN" w:bidi="ar"/>
              </w:rPr>
              <w:t>水行政执法</w:t>
            </w:r>
            <w:r>
              <w:rPr>
                <w:rFonts w:cs="宋体"/>
                <w:color w:val="000000"/>
                <w:sz w:val="21"/>
                <w:szCs w:val="21"/>
                <w:lang w:bidi="ar"/>
              </w:rPr>
              <w:t>监督</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173.43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158.41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15.02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水土保持</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141.68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133.56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8.12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水资源节约管理与保护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422.14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422.14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水文测报</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439.24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435.61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3.63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54.20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39.20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15.00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大中型水库移民后期扶持专项支出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2130335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农村供水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170.63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170.63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其他水利支出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711.95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623.92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88.03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427.00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427.00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427.00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21367</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三峡水库库区基金支出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2136701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基础设施建设和经济发展</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236.26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236.26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垫江县水利局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10,128.63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5,279.31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4,849.33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896.51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893.24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809.35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809.35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250.51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124.57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434.27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434.27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85.57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83.62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83.62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83.62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0.27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129.77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129.77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8,839.44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3,995.08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4,844.36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8,070.33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3,995.08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4,075.26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459.65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459.65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1,448.65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1,448.65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水利工程运行与维护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2,926.81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2,152.21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774.60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hint="eastAsia" w:cs="宋体"/>
                <w:color w:val="000000"/>
                <w:sz w:val="21"/>
                <w:szCs w:val="21"/>
                <w:lang w:eastAsia="zh-CN" w:bidi="ar"/>
              </w:rPr>
              <w:t>水行政执法</w:t>
            </w:r>
            <w:r>
              <w:rPr>
                <w:rFonts w:cs="宋体"/>
                <w:color w:val="000000"/>
                <w:sz w:val="21"/>
                <w:szCs w:val="21"/>
                <w:lang w:bidi="ar"/>
              </w:rPr>
              <w:t>监督</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173.78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152.78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水土保持</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130.16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水资源节约管理与保护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422.14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182.97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239.17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水文测报</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462.79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428.71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34.08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46.54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大中型水库移民后期扶持专项支出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2130335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农村供水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134.25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其他水利支出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765.29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488.60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276.69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725.10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725.10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725.10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725.10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21367</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三峡水库库区基金支出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2136701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基础设施建设和经济发展</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44.00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236.26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垫江县水利局</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9,450.04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44.00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896.51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896.51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145.54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8,524.74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8,480.74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236.26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236.26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9,494.04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9,813.94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9,769.94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44.00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786.35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466.46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466.46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786.35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10,280.39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10,280.39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10,236.39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44.00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垫江县水利局</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9,769.94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5,034.54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4,735.39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896.51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893.24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3.27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809.35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809.35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250.51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250.51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124.57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124.57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434.27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434.27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85.57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83.62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83.62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83.62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退役安置</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其他退役安置支出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0.27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2089999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0.27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145.54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145.54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15.77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129.77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129.77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8,480.74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3,750.32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4,730.42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7,755.64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3,750.32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4,005.32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459.65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459.65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1,448.65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1,448.65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水利工程运行与维护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2,717.73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1,943.13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774.60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hint="eastAsia" w:cs="宋体"/>
                <w:color w:val="000000"/>
                <w:sz w:val="21"/>
                <w:szCs w:val="21"/>
                <w:lang w:eastAsia="zh-CN" w:bidi="ar"/>
              </w:rPr>
              <w:t>水行政执法</w:t>
            </w:r>
            <w:bookmarkStart w:id="0" w:name="_GoBack"/>
            <w:bookmarkEnd w:id="0"/>
            <w:r>
              <w:rPr>
                <w:rFonts w:cs="宋体"/>
                <w:color w:val="000000"/>
                <w:sz w:val="21"/>
                <w:szCs w:val="21"/>
                <w:lang w:bidi="ar"/>
              </w:rPr>
              <w:t>监督</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158.41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137.41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水土保持</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133.57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125.13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8.44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水资源节约管理与保护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422.14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182.97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239.17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水文测报</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435.61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427.64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7.97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防汛</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39.20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39.20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91.84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大中型水库移民后期扶持专项支出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2130335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农村供水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134.25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134.25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其他水利支出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714.60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474.40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240.20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巩固脱贫攻坚成果衔接乡村振兴</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725.10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725.10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2130504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农村基础设施建设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725.10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725.10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236.26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236.26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236.26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236.26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236.26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236.26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垫江县水利局</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3,932.66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546.64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14.17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842.55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29.86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117.11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14.17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160.71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0.86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1,915.38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4.06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251.57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16.44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125.10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34.43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146.06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25.39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149.85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236.94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40.62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31.85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541.08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20.81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105.36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390.17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28.33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28.10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35.84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17.45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43.98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35.82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19.54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108.92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4,473.74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560.81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垫江县水利局</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44.00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44.00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44.00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农林水支出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21367</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三峡水库库区基金支出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44.00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2136701</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基础设施建设和经济发展</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44.00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垫江县水利局</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垫江县水利局</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124.85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44.89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44.89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104.10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20.75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39.40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39.40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39.40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39.40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5.49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5.49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101.85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11.90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686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89.95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11.90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11.90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0.07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29.56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- 17 -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- 17 -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27 -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MTc0NjM2OWYyNGMzNmUwYjZjMDMzNTk4MjhiZTUifQ=="/>
  </w:docVars>
  <w:rsids>
    <w:rsidRoot w:val="00B03CCD"/>
    <w:rsid w:val="00257A81"/>
    <w:rsid w:val="002E5443"/>
    <w:rsid w:val="00550ABE"/>
    <w:rsid w:val="007B419D"/>
    <w:rsid w:val="009B67B8"/>
    <w:rsid w:val="00AA2CA0"/>
    <w:rsid w:val="00B03CCD"/>
    <w:rsid w:val="00E76362"/>
    <w:rsid w:val="00F55D3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021012"/>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5F0B22"/>
    <w:rsid w:val="316728DA"/>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0320FC"/>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122915"/>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707897"/>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E2D3ACB"/>
    <w:rsid w:val="5F2D4A41"/>
    <w:rsid w:val="60C74F6C"/>
    <w:rsid w:val="61025A59"/>
    <w:rsid w:val="613D5BBC"/>
    <w:rsid w:val="61536C39"/>
    <w:rsid w:val="61563380"/>
    <w:rsid w:val="62944DD7"/>
    <w:rsid w:val="6319381F"/>
    <w:rsid w:val="63C25DC5"/>
    <w:rsid w:val="63C62057"/>
    <w:rsid w:val="64571EF5"/>
    <w:rsid w:val="64981E6B"/>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1338EB"/>
    <w:rsid w:val="796D60A4"/>
    <w:rsid w:val="79A031D5"/>
    <w:rsid w:val="7A1525F7"/>
    <w:rsid w:val="7B420052"/>
    <w:rsid w:val="7B861484"/>
    <w:rsid w:val="7BD06A28"/>
    <w:rsid w:val="7C3A7C0B"/>
    <w:rsid w:val="7C5248E4"/>
    <w:rsid w:val="7C566698"/>
    <w:rsid w:val="7C5866A3"/>
    <w:rsid w:val="7D7406BB"/>
    <w:rsid w:val="7DE94331"/>
    <w:rsid w:val="7E5B6CC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99"/>
    <w:pPr>
      <w:ind w:firstLine="567"/>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paragraph" w:customStyle="1" w:styleId="15">
    <w:name w:val="普通(网站) Char Char"/>
    <w:basedOn w:val="1"/>
    <w:qFormat/>
    <w:uiPriority w:val="0"/>
    <w:pPr>
      <w:spacing w:before="100" w:beforeAutospacing="1" w:after="100" w:afterAutospacing="1"/>
    </w:pPr>
  </w:style>
  <w:style w:type="character" w:customStyle="1" w:styleId="16">
    <w:name w:val="页眉 字符"/>
    <w:basedOn w:val="9"/>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33</Pages>
  <Words>3322</Words>
  <Characters>18937</Characters>
  <Lines>157</Lines>
  <Paragraphs>44</Paragraphs>
  <TotalTime>1</TotalTime>
  <ScaleCrop>false</ScaleCrop>
  <LinksUpToDate>false</LinksUpToDate>
  <CharactersWithSpaces>22215</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SISISIMAN</cp:lastModifiedBy>
  <dcterms:modified xsi:type="dcterms:W3CDTF">2024-09-14T02:18:01Z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ies>
</file>