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adjustRightInd w:val="0"/>
        <w:snapToGrid w:val="0"/>
        <w:spacing w:before="0" w:beforeAutospacing="0" w:after="0" w:afterAutospacing="0" w:line="580"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垫江县生态环境局</w:t>
      </w:r>
    </w:p>
    <w:p>
      <w:pPr>
        <w:pStyle w:val="6"/>
        <w:shd w:val="clear"/>
        <w:adjustRightInd w:val="0"/>
        <w:snapToGrid w:val="0"/>
        <w:spacing w:before="0" w:beforeAutospacing="0" w:after="0" w:afterAutospacing="0" w:line="580" w:lineRule="exact"/>
        <w:jc w:val="center"/>
        <w:rPr>
          <w:rFonts w:hint="default"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shd w:val="clear" w:color="auto" w:fill="FFFFFF"/>
        </w:rPr>
        <w:t>2024年度决算公开说明</w:t>
      </w:r>
    </w:p>
    <w:p>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黑体" w:cs="黑体"/>
          <w:sz w:val="32"/>
          <w:szCs w:val="32"/>
        </w:rPr>
      </w:pPr>
      <w:r>
        <w:rPr>
          <w:rStyle w:val="10"/>
          <w:rFonts w:ascii="Times New Roman" w:hAnsi="Times New Roman" w:eastAsia="黑体" w:cs="黑体"/>
          <w:sz w:val="32"/>
          <w:szCs w:val="32"/>
          <w:shd w:val="clear" w:color="auto" w:fill="FFFFFF"/>
        </w:rPr>
        <w:t>一、部门基本情况</w:t>
      </w:r>
    </w:p>
    <w:p>
      <w:pPr>
        <w:pStyle w:val="6"/>
        <w:shd w:val="clear" w:color="auto"/>
        <w:adjustRightInd w:val="0"/>
        <w:snapToGrid w:val="0"/>
        <w:spacing w:beforeAutospacing="0" w:after="0" w:afterAutospacing="0" w:line="560" w:lineRule="exact"/>
        <w:ind w:firstLine="420"/>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（一）职能职责</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负责贯彻执行国家生态环境基本制度。负责贯彻执行生态环境法律法规、规章、标准和方针政策。负责实施地方生态环境标准和技术规范。会同有关部门拟订生态环境规划、计划并组织实施。会同有关部门编制并监督实施重点区域、流域、饮用水水源地生态环境规划和水功能区划。</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2.负责生态环境问题的统筹协调和监督管理。建立健全突发生态环境事件的应急预警机制。牵头协调环境污染事故和生态破坏事件的调查处理，牵头开展突发生态环境事件的应急、预警工作。牵头指导和实施生态环境损害赔偿制度，协调解决有关跨区域的环境污染纠纷。</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3.负责监督管理减排目标的落实。监督实施各类污染物排放总量控制、排污许可证制度，组织确定水、大气等纳污能力，监督检查污染物减排任务完成情况，实施生态环境保护目标责任制。</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4.负责提出生态环境领域固定资产投资规模和方向、财政性资金安排的建议，配合有关部门做好组织实施工作。</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5.负责环境污染防治的监督管理。拟订水、大气、土壤、固体废物、化学品、机动车、噪声、光、恶臭等污染防治管理计划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6.指导协调和监督生态保护修复工作。组织编制生态保护规划，监督对生态环境有影响的自然资源开发利用活动、重要生态环境建设和生态破坏恢复工作。组织实施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7.负责核与辐射安全的监督管理。牵头负责核安全工作协调机制有关工作。监督管理核安全和放射源安全，监督管理电磁辐射、核技术应用、伴有放射性矿产资源开发利用中的污染防治。组织开展核与辐射环境监测工作。负责辐射环境事故应急处理，参与核事故应急处理。</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8.负责生态环境准入的监督管理。按规定审批或组织审查重大开发建设区域、规划、项目环境影响评价文件，组织实施生态环境准入清单。</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9.负责生态环境监测工作。执行生态环境监测制度、规范和相关标准。组织建设和管理生态环境监测网、生态环境信息网，会同有关部门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10.负责应对气候变化工作。贯彻执行应对气候变化及温室气体减排重大战略、规划和政策，承担国家履行联合国气候变化框架公约在我县的相关工作。</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11.组织开展生态环境保护督察。负责建立健全生态环境保护督察制度，对接中央、市生态环境保护督察有关工作，组织协调县级生态环境保护督察工作，根据授权对各乡镇(街道)、有关部门贯彻落实生态环境保护决策部署情况进行督察。</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12.负责生态环境监督执法。组织开展生态环境保护执法检查活动，查处生态环境违法问题，具体执法交由执法队伍承担，并以部门名义统一执法。</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13.负责开展生态环境科技工作。组织开展生态环境科学研究和技术工程示范，推动生态环境技术管理体系建设。参与指导推动循环经济和生态环保产业发展。</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14.组织开展生态环境宣传教育工作。制定并组织实施生态环境保护宣传教育计划、方案，推动社会组织和公众参与生态环境保护。</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15.承担垫江县生态环境委员会的日常工作。</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16.完成县委、县政府交办的其他任务。</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17.职能转变。垫江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12"/>
        <w:shd w:val="clear"/>
        <w:autoSpaceDE w:val="0"/>
        <w:adjustRightInd w:val="0"/>
        <w:snapToGrid w:val="0"/>
        <w:spacing w:before="0" w:beforeAutospacing="0" w:after="0" w:afterAutospacing="0" w:line="560" w:lineRule="exact"/>
        <w:ind w:firstLine="643" w:firstLineChars="200"/>
        <w:jc w:val="both"/>
        <w:rPr>
          <w:rStyle w:val="10"/>
          <w:rFonts w:ascii="Times New Roman" w:hAnsi="Times New Roman" w:eastAsia="方正楷体_GBK" w:cs="方正楷体_GBK"/>
          <w:sz w:val="32"/>
          <w:szCs w:val="32"/>
          <w:shd w:val="clear" w:color="auto" w:fill="FFFFFF"/>
          <w:lang w:bidi="ar"/>
        </w:rPr>
      </w:pPr>
      <w:r>
        <w:rPr>
          <w:rStyle w:val="10"/>
          <w:rFonts w:hint="eastAsia" w:ascii="Times New Roman" w:hAnsi="Times New Roman" w:eastAsia="方正楷体_GBK" w:cs="方正楷体_GBK"/>
          <w:sz w:val="32"/>
          <w:szCs w:val="32"/>
          <w:shd w:val="clear" w:color="auto" w:fill="FFFFFF"/>
          <w:lang w:bidi="ar"/>
        </w:rPr>
        <w:t>（二）机构设置</w:t>
      </w:r>
    </w:p>
    <w:p>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本局内设办公室、综合业务科、法规宣教科、水生态环境科、大气环境与总量减排科、自然生态保护科、行政许可服务科7个科室。局机关下设垫江县生态环境保护综合行政执法支队(参公)和垫江县生态环境监测站两个事业单位。</w:t>
      </w:r>
    </w:p>
    <w:p>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二、部门决算收支情况说明</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2024年度收入总计13661.39万元，支出总计</w:t>
      </w:r>
      <w:r>
        <w:rPr>
          <w:rFonts w:ascii="Times New Roman" w:hAnsi="Times New Roman" w:eastAsia="方正仿宋_GBK" w:cs="方正仿宋_GBK"/>
          <w:sz w:val="32"/>
          <w:szCs w:val="32"/>
        </w:rPr>
        <w:t>13661.39</w:t>
      </w:r>
      <w:r>
        <w:rPr>
          <w:rFonts w:ascii="Times New Roman" w:hAnsi="Times New Roman" w:eastAsia="方正仿宋_GBK" w:cs="方正仿宋_GBK"/>
          <w:sz w:val="32"/>
          <w:szCs w:val="32"/>
          <w:shd w:val="clear" w:color="auto" w:fill="FFFFFF"/>
        </w:rPr>
        <w:t>万元。收、支与2023年度相比，增加6533.15万元，增长91.65%，主要原因是中央水污染资金项目增加等。</w:t>
      </w:r>
    </w:p>
    <w:p>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2024年度收入合计13012.33万元，与2023年度相比，增加5981.90万元，增长85.09%，主要原因是中央水污染资金项目增加等。其中：财政拨款收入</w:t>
      </w:r>
      <w:r>
        <w:rPr>
          <w:rFonts w:ascii="Times New Roman" w:hAnsi="Times New Roman" w:eastAsia="方正仿宋_GBK" w:cs="方正仿宋_GBK"/>
          <w:sz w:val="32"/>
          <w:szCs w:val="32"/>
        </w:rPr>
        <w:t>12988.31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99.82</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24.02</w:t>
      </w:r>
      <w:r>
        <w:rPr>
          <w:rFonts w:ascii="Times New Roman" w:hAnsi="Times New Roman" w:eastAsia="方正仿宋_GBK" w:cs="方正仿宋_GBK"/>
          <w:sz w:val="32"/>
          <w:szCs w:val="32"/>
          <w:shd w:val="clear" w:color="auto" w:fill="FFFFFF"/>
        </w:rPr>
        <w:t>万元，占0.18%。此外，使用非财政拨款结余和专用结余</w:t>
      </w:r>
      <w:r>
        <w:rPr>
          <w:rFonts w:ascii="Times New Roman" w:hAnsi="Times New Roman" w:eastAsia="方正仿宋_GBK" w:cs="方正仿宋_GBK"/>
          <w:sz w:val="32"/>
          <w:szCs w:val="32"/>
        </w:rPr>
        <w:t>3.59</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645.46</w:t>
      </w:r>
      <w:r>
        <w:rPr>
          <w:rFonts w:ascii="Times New Roman" w:hAnsi="Times New Roman" w:eastAsia="方正仿宋_GBK" w:cs="方正仿宋_GBK"/>
          <w:sz w:val="32"/>
          <w:szCs w:val="32"/>
          <w:shd w:val="clear" w:color="auto" w:fill="FFFFFF"/>
        </w:rPr>
        <w:t>万元。</w:t>
      </w:r>
    </w:p>
    <w:p>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13641.51</w:t>
      </w:r>
      <w:r>
        <w:rPr>
          <w:rFonts w:ascii="Times New Roman" w:hAnsi="Times New Roman" w:eastAsia="方正仿宋_GBK" w:cs="方正仿宋_GBK"/>
          <w:sz w:val="32"/>
          <w:szCs w:val="32"/>
          <w:shd w:val="clear" w:color="auto" w:fill="FFFFFF"/>
        </w:rPr>
        <w:t>万元，与2023年度相比，增加6569.83万元，增长92.90%，主要原因是中央水污染资金项目增加等。其中：基本支出</w:t>
      </w:r>
      <w:r>
        <w:rPr>
          <w:rFonts w:ascii="Times New Roman" w:hAnsi="Times New Roman" w:eastAsia="方正仿宋_GBK" w:cs="方正仿宋_GBK"/>
          <w:sz w:val="32"/>
          <w:szCs w:val="32"/>
        </w:rPr>
        <w:t>1870.60</w:t>
      </w:r>
      <w:r>
        <w:rPr>
          <w:rFonts w:ascii="Times New Roman" w:hAnsi="Times New Roman" w:eastAsia="方正仿宋_GBK" w:cs="方正仿宋_GBK"/>
          <w:sz w:val="32"/>
          <w:szCs w:val="32"/>
          <w:shd w:val="clear" w:color="auto" w:fill="FFFFFF"/>
        </w:rPr>
        <w:t>万元，占13.71%；项目支出</w:t>
      </w:r>
      <w:r>
        <w:rPr>
          <w:rFonts w:ascii="Times New Roman" w:hAnsi="Times New Roman" w:eastAsia="方正仿宋_GBK" w:cs="方正仿宋_GBK"/>
          <w:sz w:val="32"/>
          <w:szCs w:val="32"/>
        </w:rPr>
        <w:t>11770.91</w:t>
      </w:r>
      <w:r>
        <w:rPr>
          <w:rFonts w:ascii="Times New Roman" w:hAnsi="Times New Roman" w:eastAsia="方正仿宋_GBK" w:cs="方正仿宋_GBK"/>
          <w:sz w:val="32"/>
          <w:szCs w:val="32"/>
          <w:shd w:val="clear" w:color="auto" w:fill="FFFFFF"/>
        </w:rPr>
        <w:t>万元，占86.29%；经营支出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19.87</w:t>
      </w:r>
      <w:r>
        <w:rPr>
          <w:rFonts w:ascii="Times New Roman" w:hAnsi="Times New Roman" w:eastAsia="方正仿宋_GBK" w:cs="方正仿宋_GBK"/>
          <w:sz w:val="32"/>
          <w:szCs w:val="32"/>
          <w:shd w:val="clear" w:color="auto" w:fill="FFFFFF"/>
        </w:rPr>
        <w:t>万元，与2023年度相比，减少36.70万元，下降64.88%，主要原因是上年结余的项目经费本年支付完成。</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2024年度财政拨款收、支总计13627.22万元。与2023年相比，财政拨款收、支总计各增加6552.45万元，增长92.62%。主要原因是中央水污染资金项目增加等</w:t>
      </w:r>
      <w:r>
        <w:rPr>
          <w:rFonts w:ascii="Times New Roman" w:hAnsi="Times New Roman" w:eastAsia="方正仿宋_GBK" w:cs="方正仿宋_GBK"/>
          <w:color w:val="FF0000"/>
          <w:sz w:val="32"/>
          <w:szCs w:val="32"/>
          <w:shd w:val="clear" w:color="auto" w:fill="FFFFFF"/>
        </w:rPr>
        <w:t>。</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12988.31</w:t>
      </w:r>
      <w:r>
        <w:rPr>
          <w:rFonts w:ascii="Times New Roman" w:hAnsi="Times New Roman" w:eastAsia="方正仿宋_GBK" w:cs="方正仿宋_GBK"/>
          <w:sz w:val="32"/>
          <w:szCs w:val="32"/>
          <w:shd w:val="clear" w:color="auto" w:fill="FFFFFF"/>
        </w:rPr>
        <w:t>万元，与2023年度相比，增加5992.53万元，增长85.66%。主要原因是中央水污染资金项目增加等。较年初预算数减少3269.73万元，下降20.11%。主要原因是中央水污染资金未在本年度完全支付。此外，年初财政拨款结转和结余</w:t>
      </w:r>
      <w:r>
        <w:rPr>
          <w:rFonts w:ascii="Times New Roman" w:hAnsi="Times New Roman" w:eastAsia="方正仿宋_GBK" w:cs="方正仿宋_GBK"/>
          <w:sz w:val="32"/>
          <w:szCs w:val="32"/>
        </w:rPr>
        <w:t>638.91</w:t>
      </w:r>
      <w:r>
        <w:rPr>
          <w:rFonts w:ascii="Times New Roman" w:hAnsi="Times New Roman" w:eastAsia="方正仿宋_GBK" w:cs="方正仿宋_GBK"/>
          <w:sz w:val="32"/>
          <w:szCs w:val="32"/>
          <w:shd w:val="clear" w:color="auto" w:fill="FFFFFF"/>
        </w:rPr>
        <w:t>万元。</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13622.11</w:t>
      </w:r>
      <w:r>
        <w:rPr>
          <w:rFonts w:ascii="Times New Roman" w:hAnsi="Times New Roman" w:eastAsia="方正仿宋_GBK" w:cs="方正仿宋_GBK"/>
          <w:sz w:val="32"/>
          <w:szCs w:val="32"/>
          <w:shd w:val="clear" w:color="auto" w:fill="FFFFFF"/>
        </w:rPr>
        <w:t>万元，与2023年度相比，增加6590.16万元，增长93.72%。主要原因是中央水污染资金项目增加等。较年初预算数减少2635.93万元，下降16.21%。主要原因是中央水污染资金未在本年度完全支付。</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5.11</w:t>
      </w:r>
      <w:r>
        <w:rPr>
          <w:rFonts w:ascii="Times New Roman" w:hAnsi="Times New Roman" w:eastAsia="方正仿宋_GBK" w:cs="方正仿宋_GBK"/>
          <w:sz w:val="32"/>
          <w:szCs w:val="32"/>
          <w:shd w:val="clear" w:color="auto" w:fill="FFFFFF"/>
        </w:rPr>
        <w:t>万元，与2023年度相比，减少37.71万元，下降88.07%，主要原因是上年结余的项目经费本年支付完成。</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本部门2024年度一般公共预算财政拨款支出主要用于以下几个方面：</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0.87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0.01</w:t>
      </w:r>
      <w:r>
        <w:rPr>
          <w:rFonts w:ascii="Times New Roman" w:hAnsi="Times New Roman" w:eastAsia="方正仿宋_GBK" w:cs="方正仿宋_GBK"/>
          <w:sz w:val="32"/>
          <w:szCs w:val="32"/>
          <w:shd w:val="clear" w:color="auto" w:fill="FFFFFF"/>
        </w:rPr>
        <w:t>%，较年初预算数减少3.86万元，下降81.61%，主要原因是本单位人员培训减少。</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359.96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2.64</w:t>
      </w:r>
      <w:r>
        <w:rPr>
          <w:rFonts w:ascii="Times New Roman" w:hAnsi="Times New Roman" w:eastAsia="方正仿宋_GBK" w:cs="方正仿宋_GBK"/>
          <w:sz w:val="32"/>
          <w:szCs w:val="32"/>
          <w:shd w:val="clear" w:color="auto" w:fill="FFFFFF"/>
        </w:rPr>
        <w:t>%，较年初预算数增加132.90万元，增长58.53%，主要原因是职工正常晋级晋档工资调增，社保基数调增及补缴以前年度社保。</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70.93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0.52</w:t>
      </w:r>
      <w:r>
        <w:rPr>
          <w:rFonts w:ascii="Times New Roman" w:hAnsi="Times New Roman" w:eastAsia="方正仿宋_GBK" w:cs="方正仿宋_GBK"/>
          <w:sz w:val="32"/>
          <w:szCs w:val="32"/>
          <w:shd w:val="clear" w:color="auto" w:fill="FFFFFF"/>
        </w:rPr>
        <w:t>%，较年初预算数减少4.61万元，下降6.10%，主要原因是人员减少。</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（4）节能环保支出</w:t>
      </w:r>
      <w:r>
        <w:rPr>
          <w:rFonts w:ascii="Times New Roman" w:hAnsi="Times New Roman" w:eastAsia="方正仿宋_GBK" w:cs="方正仿宋_GBK"/>
          <w:sz w:val="32"/>
          <w:szCs w:val="32"/>
        </w:rPr>
        <w:t>13073.16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95.97</w:t>
      </w:r>
      <w:r>
        <w:rPr>
          <w:rFonts w:ascii="Times New Roman" w:hAnsi="Times New Roman" w:eastAsia="方正仿宋_GBK" w:cs="方正仿宋_GBK"/>
          <w:sz w:val="32"/>
          <w:szCs w:val="32"/>
          <w:shd w:val="clear" w:color="auto" w:fill="FFFFFF"/>
        </w:rPr>
        <w:t>%，较年初预算数减少2780.25万元，下降17.54%，主要原因是中央水污染资金未在本年度完全支付。</w:t>
      </w:r>
    </w:p>
    <w:p>
      <w:pPr>
        <w:shd w:val="clear"/>
        <w:adjustRightInd w:val="0"/>
        <w:snapToGrid w:val="0"/>
        <w:spacing w:line="56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rPr>
        <w:t>住房保障支出117.19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0.86</w:t>
      </w:r>
      <w:r>
        <w:rPr>
          <w:rFonts w:ascii="Times New Roman" w:hAnsi="Times New Roman" w:eastAsia="方正仿宋_GBK" w:cs="方正仿宋_GBK"/>
          <w:sz w:val="32"/>
          <w:szCs w:val="32"/>
          <w:shd w:val="clear" w:color="auto" w:fill="FFFFFF"/>
        </w:rPr>
        <w:t>%，较年初预算数增加19.88万元，增长20.43%，主要原因是职工正常晋级晋档工资调增，公积金基数调增。</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2024年度一般公共财政拨款基本支出</w:t>
      </w:r>
      <w:r>
        <w:rPr>
          <w:rFonts w:ascii="Times New Roman" w:hAnsi="Times New Roman" w:eastAsia="方正仿宋_GBK" w:cs="方正仿宋_GBK"/>
          <w:sz w:val="32"/>
          <w:szCs w:val="32"/>
        </w:rPr>
        <w:t>1867.01</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1671.50</w:t>
      </w:r>
      <w:r>
        <w:rPr>
          <w:rFonts w:ascii="Times New Roman" w:hAnsi="Times New Roman" w:eastAsia="方正仿宋_GBK" w:cs="方正仿宋_GBK"/>
          <w:sz w:val="32"/>
          <w:szCs w:val="32"/>
          <w:shd w:val="clear" w:color="auto" w:fill="FFFFFF"/>
        </w:rPr>
        <w:t>万元，与2023年度相比，增加61.85万元，增长3.84%，主要原因是职工正常晋级晋档工资调增，社保基数调增及补缴以前年度社保。人员经费用途主要包括</w:t>
      </w:r>
      <w:r>
        <w:rPr>
          <w:rFonts w:ascii="Times New Roman" w:hAnsi="Times New Roman" w:eastAsia="方正仿宋_GBK" w:cs="方正仿宋_GBK"/>
          <w:sz w:val="32"/>
          <w:szCs w:val="32"/>
          <w:shd w:val="clear" w:color="auto" w:fill="FFFFFF"/>
          <w:lang w:bidi="ar"/>
        </w:rPr>
        <w:t>基本工资、津贴补贴、奖金、社会保障缴费、绩效工资、住房公积金、医疗费等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195.51</w:t>
      </w:r>
      <w:r>
        <w:rPr>
          <w:rFonts w:ascii="Times New Roman" w:hAnsi="Times New Roman" w:eastAsia="方正仿宋_GBK" w:cs="方正仿宋_GBK"/>
          <w:sz w:val="32"/>
          <w:szCs w:val="32"/>
          <w:shd w:val="clear" w:color="auto" w:fill="FFFFFF"/>
        </w:rPr>
        <w:t>万元，与2023年度相比，减少38.71万元，下降16.53%，主要原因是厉行节约。公用经费用途主要包括</w:t>
      </w:r>
      <w:r>
        <w:rPr>
          <w:rFonts w:ascii="Times New Roman" w:hAnsi="Times New Roman" w:eastAsia="方正仿宋_GBK" w:cs="方正仿宋_GBK"/>
          <w:sz w:val="32"/>
          <w:szCs w:val="32"/>
          <w:shd w:val="clear" w:color="auto" w:fill="FFFFFF"/>
          <w:lang w:bidi="ar"/>
        </w:rPr>
        <w:t>办公费、水电费、邮电费、公务接待费、培训费、工会经费、劳务费、其他交通费用等</w:t>
      </w:r>
      <w:r>
        <w:rPr>
          <w:rFonts w:ascii="Times New Roman" w:hAnsi="Times New Roman" w:eastAsia="方正仿宋_GBK" w:cs="方正仿宋_GBK"/>
          <w:sz w:val="32"/>
          <w:szCs w:val="32"/>
          <w:shd w:val="clear" w:color="auto" w:fill="FFFFFF"/>
        </w:rPr>
        <w:t>。</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万元，与2023年度相比，无增减，主要原因是均无政府性基金预算收入。本年支出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万元，与2023年度相比，无增减，均无政府性基金预算支出，本部门2024年度无政府性基金预算财政拨款收支。</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2024年度国有资本经营预算财政拨本年支出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万元，本单位2024年度无国有资本经营预算财政拨款支出。</w:t>
      </w:r>
    </w:p>
    <w:p>
      <w:pPr>
        <w:pStyle w:val="6"/>
        <w:shd w:val="clear" w:color="auto"/>
        <w:adjustRightInd w:val="0"/>
        <w:snapToGrid w:val="0"/>
        <w:spacing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三、财政拨款“三公”经费情况说明</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21.91</w:t>
      </w:r>
      <w:r>
        <w:rPr>
          <w:rFonts w:ascii="Times New Roman" w:hAnsi="Times New Roman" w:eastAsia="方正仿宋_GBK" w:cs="方正仿宋_GBK"/>
          <w:sz w:val="32"/>
          <w:szCs w:val="32"/>
          <w:shd w:val="clear" w:color="auto" w:fill="FFFFFF"/>
        </w:rPr>
        <w:t>万元，较年初预算数减少1.49万元，下降6.37%，主要原因是厉行节约。较上年支出数减少3.70万元，下降14.45%，主要原因是厉行节约。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shd w:val="clear"/>
        <w:adjustRightInd w:val="0"/>
        <w:snapToGrid w:val="0"/>
        <w:spacing w:line="560"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2024年度本部门因公出国（境）费用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15.48</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lang w:bidi="ar"/>
        </w:rPr>
        <w:t>公务车加油、运行及维护</w:t>
      </w:r>
      <w:r>
        <w:rPr>
          <w:rFonts w:ascii="Times New Roman" w:hAnsi="Times New Roman" w:eastAsia="方正仿宋_GBK" w:cs="方正仿宋_GBK"/>
          <w:sz w:val="32"/>
          <w:szCs w:val="32"/>
          <w:shd w:val="clear" w:color="auto" w:fill="FFFFFF"/>
        </w:rPr>
        <w:t>。费用支出较年初预算数增加0.48万元，增长3.20%，主要原因是</w:t>
      </w:r>
      <w:r>
        <w:rPr>
          <w:rFonts w:ascii="Times New Roman" w:hAnsi="Times New Roman" w:eastAsia="方正仿宋_GBK" w:cs="方正仿宋_GBK"/>
          <w:sz w:val="32"/>
          <w:szCs w:val="32"/>
          <w:shd w:val="clear" w:color="auto" w:fill="FFFFFF"/>
          <w:lang w:bidi="ar"/>
        </w:rPr>
        <w:t>抑尘车运行维护支出产生费用</w:t>
      </w:r>
      <w:r>
        <w:rPr>
          <w:rFonts w:ascii="Times New Roman" w:hAnsi="Times New Roman" w:eastAsia="方正仿宋_GBK" w:cs="方正仿宋_GBK"/>
          <w:sz w:val="32"/>
          <w:szCs w:val="32"/>
          <w:shd w:val="clear" w:color="auto" w:fill="FFFFFF"/>
        </w:rPr>
        <w:t>。较上年支出数减少0.99万元，下降6.01%，主要原因是厉行节约。</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6.42</w:t>
      </w:r>
      <w:r>
        <w:rPr>
          <w:rFonts w:ascii="Times New Roman" w:hAnsi="Times New Roman"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lang w:bidi="ar"/>
        </w:rPr>
        <w:t>上级部门、其他区县及相关部门检查指导工作发生的接待支出</w:t>
      </w:r>
      <w:r>
        <w:rPr>
          <w:rFonts w:ascii="Times New Roman" w:hAnsi="Times New Roman" w:eastAsia="方正仿宋_GBK" w:cs="方正仿宋_GBK"/>
          <w:sz w:val="32"/>
          <w:szCs w:val="32"/>
          <w:shd w:val="clear" w:color="auto" w:fill="FFFFFF"/>
        </w:rPr>
        <w:t>。费用支出较年初预算数减少1.98万元，下降23.57%，主要原因是厉行节约。较上年支出数减少2.73万元，下降29.84%，主要原因是厉行节约。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6</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79</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759</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人。2024年本部门人均接待费</w:t>
      </w:r>
      <w:r>
        <w:rPr>
          <w:rFonts w:ascii="Times New Roman" w:hAnsi="Times New Roman" w:eastAsia="方正仿宋_GBK" w:cs="方正仿宋_GBK"/>
          <w:sz w:val="32"/>
          <w:szCs w:val="32"/>
        </w:rPr>
        <w:t>84.62</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2.58</w:t>
      </w:r>
      <w:r>
        <w:rPr>
          <w:rFonts w:ascii="Times New Roman" w:hAnsi="Times New Roman" w:eastAsia="方正仿宋_GBK" w:cs="方正仿宋_GBK"/>
          <w:sz w:val="32"/>
          <w:szCs w:val="32"/>
          <w:shd w:val="clear" w:color="auto" w:fill="FFFFFF"/>
        </w:rPr>
        <w:t>万元。</w:t>
      </w:r>
    </w:p>
    <w:p>
      <w:pPr>
        <w:pStyle w:val="6"/>
        <w:shd w:val="clear" w:color="auto"/>
        <w:adjustRightInd w:val="0"/>
        <w:snapToGrid w:val="0"/>
        <w:spacing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 （一）财政拨款会议费和培训费情况说明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0.29</w:t>
      </w:r>
      <w:r>
        <w:rPr>
          <w:rFonts w:ascii="Times New Roman" w:hAnsi="Times New Roman" w:eastAsia="方正仿宋_GBK" w:cs="方正仿宋_GBK"/>
          <w:sz w:val="32"/>
          <w:szCs w:val="32"/>
          <w:shd w:val="clear" w:color="auto" w:fill="FFFFFF"/>
        </w:rPr>
        <w:t>万元，与2023年度相比，减少0.45万元，下降60.81%，主要原因是厉行节约。本年度培训费支出</w:t>
      </w:r>
      <w:r>
        <w:rPr>
          <w:rFonts w:ascii="Times New Roman" w:hAnsi="Times New Roman" w:eastAsia="方正仿宋_GBK" w:cs="方正仿宋_GBK"/>
          <w:sz w:val="32"/>
          <w:szCs w:val="32"/>
        </w:rPr>
        <w:t>1.15</w:t>
      </w:r>
      <w:r>
        <w:rPr>
          <w:rFonts w:ascii="Times New Roman" w:hAnsi="Times New Roman" w:eastAsia="方正仿宋_GBK" w:cs="方正仿宋_GBK"/>
          <w:sz w:val="32"/>
          <w:szCs w:val="32"/>
          <w:shd w:val="clear" w:color="auto" w:fill="FFFFFF"/>
        </w:rPr>
        <w:t>万元，与2023年度相比，减少0.51万元，下降30.72%，主要原因是厉行节约。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2024年度本部门机关运行经费支出</w:t>
      </w:r>
      <w:r>
        <w:rPr>
          <w:rFonts w:ascii="Times New Roman" w:hAnsi="Times New Roman" w:eastAsia="方正仿宋_GBK" w:cs="方正仿宋_GBK"/>
          <w:sz w:val="32"/>
          <w:szCs w:val="32"/>
        </w:rPr>
        <w:t>138.85</w:t>
      </w:r>
      <w:r>
        <w:rPr>
          <w:rFonts w:ascii="Times New Roman" w:hAnsi="Times New Roman" w:eastAsia="方正仿宋_GBK" w:cs="方正仿宋_GBK"/>
          <w:sz w:val="32"/>
          <w:szCs w:val="32"/>
          <w:shd w:val="clear" w:color="auto" w:fill="FFFFFF"/>
        </w:rPr>
        <w:t>万元，机关运行经费主要用于开支办公费、水电费、邮电费、公务接待费、培训费、工会经费、劳务费、其他交通费用等。机关运行经费较上年支出数减少10.71万元，下降7.16%，主要原因是厉行节约。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截至2024年12月31日，本部门共有车辆</w:t>
      </w:r>
      <w:r>
        <w:rPr>
          <w:rFonts w:ascii="Times New Roman" w:hAnsi="Times New Roman" w:eastAsia="方正仿宋_GBK" w:cs="方正仿宋_GBK"/>
          <w:sz w:val="32"/>
          <w:szCs w:val="32"/>
        </w:rPr>
        <w:t>6</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  2024年度本部门政府采购支出总额</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699.85万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 xml:space="preserve"> %。主要用于采购垫江县入河排污口规范化建设工程采购项目。</w:t>
      </w:r>
    </w:p>
    <w:p>
      <w:pPr>
        <w:pStyle w:val="6"/>
        <w:shd w:val="clear" w:color="auto"/>
        <w:adjustRightInd w:val="0"/>
        <w:snapToGrid w:val="0"/>
        <w:spacing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五、2024年度预算绩效管理情况说明</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（一）部门自评情况</w:t>
      </w:r>
    </w:p>
    <w:p>
      <w:pPr>
        <w:pStyle w:val="12"/>
        <w:shd w:val="clear"/>
        <w:autoSpaceDE w:val="0"/>
        <w:adjustRightInd w:val="0"/>
        <w:snapToGrid w:val="0"/>
        <w:spacing w:before="0" w:beforeAutospacing="0" w:after="0" w:afterAutospacing="0" w:line="560" w:lineRule="exact"/>
        <w:rPr>
          <w:rFonts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shd w:val="clear" w:color="auto" w:fill="FFFFFF"/>
        </w:rPr>
        <w:t>根据预算绩效管理要求，我部门对部门整体和26个二级项目开展了绩效自评，涉及财政拨款项目支出资金11747.44万元。</w:t>
      </w:r>
    </w:p>
    <w:p>
      <w:pPr>
        <w:pStyle w:val="12"/>
        <w:shd w:val="clear"/>
        <w:autoSpaceDE w:val="0"/>
        <w:adjustRightInd w:val="0"/>
        <w:snapToGrid w:val="0"/>
        <w:spacing w:before="0" w:beforeAutospacing="0" w:after="0" w:afterAutospacing="0" w:line="560" w:lineRule="exact"/>
        <w:ind w:firstLine="560" w:firstLineChars="200"/>
        <w:rPr>
          <w:rFonts w:ascii="Times New Roman" w:hAnsi="Times New Roman" w:eastAsia="方正仿宋_GBK" w:cs="方正仿宋_GBK"/>
          <w:sz w:val="28"/>
          <w:szCs w:val="28"/>
          <w:shd w:val="clear" w:color="auto" w:fill="FFFFFF"/>
        </w:rPr>
      </w:pPr>
      <w:r>
        <w:rPr>
          <w:rFonts w:hint="eastAsia" w:ascii="Times New Roman" w:hAnsi="Times New Roman" w:eastAsia="方正仿宋_GBK" w:cs="方正仿宋_GBK"/>
          <w:sz w:val="28"/>
          <w:szCs w:val="28"/>
          <w:shd w:val="clear" w:color="auto" w:fill="FFFFFF"/>
        </w:rPr>
        <w:t>（1）部门整体绩效自评表</w:t>
      </w:r>
    </w:p>
    <w:tbl>
      <w:tblPr>
        <w:tblStyle w:val="7"/>
        <w:tblW w:w="8635" w:type="dxa"/>
        <w:tblInd w:w="0" w:type="dxa"/>
        <w:tblLayout w:type="fixed"/>
        <w:tblCellMar>
          <w:top w:w="0" w:type="dxa"/>
          <w:left w:w="0" w:type="dxa"/>
          <w:bottom w:w="0" w:type="dxa"/>
          <w:right w:w="0" w:type="dxa"/>
        </w:tblCellMar>
      </w:tblPr>
      <w:tblGrid>
        <w:gridCol w:w="313"/>
        <w:gridCol w:w="643"/>
        <w:gridCol w:w="689"/>
        <w:gridCol w:w="727"/>
        <w:gridCol w:w="1047"/>
        <w:gridCol w:w="768"/>
        <w:gridCol w:w="972"/>
        <w:gridCol w:w="889"/>
        <w:gridCol w:w="797"/>
        <w:gridCol w:w="879"/>
        <w:gridCol w:w="911"/>
      </w:tblGrid>
      <w:tr>
        <w:tblPrEx>
          <w:tblCellMar>
            <w:top w:w="0" w:type="dxa"/>
            <w:left w:w="0" w:type="dxa"/>
            <w:bottom w:w="0" w:type="dxa"/>
            <w:right w:w="0" w:type="dxa"/>
          </w:tblCellMar>
        </w:tblPrEx>
        <w:trPr>
          <w:trHeight w:val="23" w:hRule="atLeast"/>
        </w:trPr>
        <w:tc>
          <w:tcPr>
            <w:tcW w:w="8635" w:type="dxa"/>
            <w:gridSpan w:val="11"/>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部门（单位）整体支出绩效目标申报表</w:t>
            </w:r>
          </w:p>
        </w:tc>
      </w:tr>
      <w:tr>
        <w:tblPrEx>
          <w:tblCellMar>
            <w:top w:w="0" w:type="dxa"/>
            <w:left w:w="0" w:type="dxa"/>
            <w:bottom w:w="0" w:type="dxa"/>
            <w:right w:w="0" w:type="dxa"/>
          </w:tblCellMar>
        </w:tblPrEx>
        <w:trPr>
          <w:trHeight w:val="23" w:hRule="atLeast"/>
        </w:trPr>
        <w:tc>
          <w:tcPr>
            <w:tcW w:w="8635" w:type="dxa"/>
            <w:gridSpan w:val="11"/>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预算年度:2024</w:t>
            </w:r>
          </w:p>
        </w:tc>
      </w:tr>
      <w:tr>
        <w:tblPrEx>
          <w:tblCellMar>
            <w:top w:w="0" w:type="dxa"/>
            <w:left w:w="0" w:type="dxa"/>
            <w:bottom w:w="0" w:type="dxa"/>
            <w:right w:w="0" w:type="dxa"/>
          </w:tblCellMar>
        </w:tblPrEx>
        <w:trPr>
          <w:trHeight w:val="23" w:hRule="atLeast"/>
        </w:trPr>
        <w:tc>
          <w:tcPr>
            <w:tcW w:w="956"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预算（单位）名称：</w:t>
            </w:r>
          </w:p>
        </w:tc>
        <w:tc>
          <w:tcPr>
            <w:tcW w:w="5889" w:type="dxa"/>
            <w:gridSpan w:val="7"/>
            <w:tcBorders>
              <w:top w:val="nil"/>
              <w:left w:val="nil"/>
              <w:bottom w:val="single" w:color="000000" w:sz="4" w:space="0"/>
              <w:right w:val="nil"/>
            </w:tcBorders>
            <w:shd w:val="clear" w:color="auto" w:fill="FFFFFF"/>
            <w:tcMar>
              <w:top w:w="15" w:type="dxa"/>
              <w:left w:w="15" w:type="dxa"/>
              <w:right w:w="15" w:type="dxa"/>
            </w:tcMar>
            <w:vAlign w:val="center"/>
          </w:tcPr>
          <w:p>
            <w:pPr>
              <w:shd w:val="clear"/>
              <w:adjustRightInd w:val="0"/>
              <w:snapToGrid w:val="0"/>
              <w:spacing w:line="240" w:lineRule="atLeast"/>
              <w:textAlignment w:val="center"/>
              <w:rPr>
                <w:rFonts w:hint="default" w:ascii="Times New Roman" w:hAnsi="Times New Roman" w:cs="宋体"/>
                <w:sz w:val="18"/>
                <w:szCs w:val="18"/>
              </w:rPr>
            </w:pPr>
            <w:r>
              <w:rPr>
                <w:rFonts w:ascii="Times New Roman" w:hAnsi="Times New Roman" w:cs="宋体"/>
                <w:sz w:val="18"/>
                <w:szCs w:val="18"/>
                <w:lang w:bidi="ar"/>
              </w:rPr>
              <w:t>202-垫江县生态环境局</w:t>
            </w:r>
          </w:p>
        </w:tc>
        <w:tc>
          <w:tcPr>
            <w:tcW w:w="1790"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shd w:val="clear"/>
              <w:adjustRightInd w:val="0"/>
              <w:snapToGrid w:val="0"/>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状态：绩效科审核已审</w:t>
            </w:r>
          </w:p>
        </w:tc>
      </w:tr>
      <w:tr>
        <w:tblPrEx>
          <w:tblCellMar>
            <w:top w:w="0" w:type="dxa"/>
            <w:left w:w="0" w:type="dxa"/>
            <w:bottom w:w="0" w:type="dxa"/>
            <w:right w:w="0" w:type="dxa"/>
          </w:tblCellMar>
        </w:tblPrEx>
        <w:trPr>
          <w:trHeight w:val="23" w:hRule="atLeast"/>
        </w:trPr>
        <w:tc>
          <w:tcPr>
            <w:tcW w:w="95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总体资金情况（万元）</w:t>
            </w:r>
          </w:p>
        </w:tc>
        <w:tc>
          <w:tcPr>
            <w:tcW w:w="689"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预算支出总额</w:t>
            </w:r>
          </w:p>
        </w:tc>
        <w:tc>
          <w:tcPr>
            <w:tcW w:w="3514"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基本支出</w:t>
            </w:r>
          </w:p>
        </w:tc>
        <w:tc>
          <w:tcPr>
            <w:tcW w:w="347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项目支出</w:t>
            </w:r>
          </w:p>
        </w:tc>
      </w:tr>
      <w:tr>
        <w:tblPrEx>
          <w:tblCellMar>
            <w:top w:w="0" w:type="dxa"/>
            <w:left w:w="0" w:type="dxa"/>
            <w:bottom w:w="0" w:type="dxa"/>
            <w:right w:w="0" w:type="dxa"/>
          </w:tblCellMar>
        </w:tblPrEx>
        <w:trPr>
          <w:trHeight w:val="23" w:hRule="atLeast"/>
        </w:trPr>
        <w:tc>
          <w:tcPr>
            <w:tcW w:w="95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689"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财政拨款</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专户资金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单位资金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合计</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财政拨款</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专户资金</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单位资金</w:t>
            </w:r>
          </w:p>
        </w:tc>
      </w:tr>
      <w:tr>
        <w:tblPrEx>
          <w:tblCellMar>
            <w:top w:w="0" w:type="dxa"/>
            <w:left w:w="0" w:type="dxa"/>
            <w:bottom w:w="0" w:type="dxa"/>
            <w:right w:w="0" w:type="dxa"/>
          </w:tblCellMar>
        </w:tblPrEx>
        <w:trPr>
          <w:trHeight w:val="23" w:hRule="atLeast"/>
        </w:trPr>
        <w:tc>
          <w:tcPr>
            <w:tcW w:w="95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8007.79 </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1691.35 </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1691.35</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right"/>
              <w:rPr>
                <w:rFonts w:hint="default" w:ascii="Times New Roman" w:hAnsi="Times New Roman" w:cs="宋体"/>
                <w:sz w:val="18"/>
                <w:szCs w:val="18"/>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right"/>
              <w:rPr>
                <w:rFonts w:hint="default" w:ascii="Times New Roman" w:hAnsi="Times New Roman" w:cs="宋体"/>
                <w:sz w:val="18"/>
                <w:szCs w:val="18"/>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6316.44 </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6316.44 </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right"/>
              <w:rPr>
                <w:rFonts w:hint="default" w:ascii="Times New Roman" w:hAnsi="Times New Roman" w:cs="宋体"/>
                <w:sz w:val="18"/>
                <w:szCs w:val="18"/>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right"/>
              <w:rPr>
                <w:rFonts w:hint="default" w:ascii="Times New Roman" w:hAnsi="Times New Roman" w:cs="宋体"/>
                <w:sz w:val="18"/>
                <w:szCs w:val="18"/>
              </w:rPr>
            </w:pPr>
          </w:p>
        </w:tc>
      </w:tr>
      <w:tr>
        <w:tblPrEx>
          <w:tblCellMar>
            <w:top w:w="0" w:type="dxa"/>
            <w:left w:w="0" w:type="dxa"/>
            <w:bottom w:w="0" w:type="dxa"/>
            <w:right w:w="0" w:type="dxa"/>
          </w:tblCellMar>
        </w:tblPrEx>
        <w:trPr>
          <w:trHeight w:val="23" w:hRule="atLeast"/>
        </w:trPr>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部</w:t>
            </w:r>
            <w:r>
              <w:rPr>
                <w:rFonts w:ascii="Times New Roman" w:hAnsi="Times New Roman" w:cs="宋体"/>
                <w:b/>
                <w:sz w:val="18"/>
                <w:szCs w:val="18"/>
                <w:lang w:bidi="ar"/>
              </w:rPr>
              <w:br w:type="textWrapping"/>
            </w:r>
            <w:r>
              <w:rPr>
                <w:rFonts w:ascii="Times New Roman" w:hAnsi="Times New Roman" w:cs="宋体"/>
                <w:b/>
                <w:sz w:val="18"/>
                <w:szCs w:val="18"/>
                <w:lang w:bidi="ar"/>
              </w:rPr>
              <w:t>门</w:t>
            </w:r>
            <w:r>
              <w:rPr>
                <w:rFonts w:ascii="Times New Roman" w:hAnsi="Times New Roman" w:cs="宋体"/>
                <w:b/>
                <w:sz w:val="18"/>
                <w:szCs w:val="18"/>
                <w:lang w:bidi="ar"/>
              </w:rPr>
              <w:br w:type="textWrapping"/>
            </w:r>
            <w:r>
              <w:rPr>
                <w:rFonts w:ascii="Times New Roman" w:hAnsi="Times New Roman" w:cs="宋体"/>
                <w:b/>
                <w:sz w:val="18"/>
                <w:szCs w:val="18"/>
                <w:lang w:bidi="ar"/>
              </w:rPr>
              <w:t>整</w:t>
            </w:r>
            <w:r>
              <w:rPr>
                <w:rFonts w:ascii="Times New Roman" w:hAnsi="Times New Roman" w:cs="宋体"/>
                <w:b/>
                <w:sz w:val="18"/>
                <w:szCs w:val="18"/>
                <w:lang w:bidi="ar"/>
              </w:rPr>
              <w:br w:type="textWrapping"/>
            </w:r>
            <w:r>
              <w:rPr>
                <w:rFonts w:ascii="Times New Roman" w:hAnsi="Times New Roman" w:cs="宋体"/>
                <w:b/>
                <w:sz w:val="18"/>
                <w:szCs w:val="18"/>
                <w:lang w:bidi="ar"/>
              </w:rPr>
              <w:t>体</w:t>
            </w:r>
            <w:r>
              <w:rPr>
                <w:rFonts w:ascii="Times New Roman" w:hAnsi="Times New Roman" w:cs="宋体"/>
                <w:b/>
                <w:sz w:val="18"/>
                <w:szCs w:val="18"/>
                <w:lang w:bidi="ar"/>
              </w:rPr>
              <w:br w:type="textWrapping"/>
            </w:r>
            <w:r>
              <w:rPr>
                <w:rFonts w:ascii="Times New Roman" w:hAnsi="Times New Roman" w:cs="宋体"/>
                <w:b/>
                <w:sz w:val="18"/>
                <w:szCs w:val="18"/>
                <w:lang w:bidi="ar"/>
              </w:rPr>
              <w:t>绩</w:t>
            </w:r>
            <w:r>
              <w:rPr>
                <w:rFonts w:ascii="Times New Roman" w:hAnsi="Times New Roman" w:cs="宋体"/>
                <w:b/>
                <w:sz w:val="18"/>
                <w:szCs w:val="18"/>
                <w:lang w:bidi="ar"/>
              </w:rPr>
              <w:br w:type="textWrapping"/>
            </w:r>
            <w:r>
              <w:rPr>
                <w:rFonts w:ascii="Times New Roman" w:hAnsi="Times New Roman" w:cs="宋体"/>
                <w:b/>
                <w:sz w:val="18"/>
                <w:szCs w:val="18"/>
                <w:lang w:bidi="ar"/>
              </w:rPr>
              <w:t>效</w:t>
            </w:r>
            <w:r>
              <w:rPr>
                <w:rFonts w:ascii="Times New Roman" w:hAnsi="Times New Roman" w:cs="宋体"/>
                <w:b/>
                <w:sz w:val="18"/>
                <w:szCs w:val="18"/>
                <w:lang w:bidi="ar"/>
              </w:rPr>
              <w:br w:type="textWrapping"/>
            </w:r>
            <w:r>
              <w:rPr>
                <w:rFonts w:ascii="Times New Roman" w:hAnsi="Times New Roman" w:cs="宋体"/>
                <w:b/>
                <w:sz w:val="18"/>
                <w:szCs w:val="18"/>
                <w:lang w:bidi="ar"/>
              </w:rPr>
              <w:t>情</w:t>
            </w:r>
            <w:r>
              <w:rPr>
                <w:rFonts w:ascii="Times New Roman" w:hAnsi="Times New Roman" w:cs="宋体"/>
                <w:b/>
                <w:sz w:val="18"/>
                <w:szCs w:val="18"/>
                <w:lang w:bidi="ar"/>
              </w:rPr>
              <w:br w:type="textWrapping"/>
            </w:r>
            <w:r>
              <w:rPr>
                <w:rFonts w:ascii="Times New Roman" w:hAnsi="Times New Roman" w:cs="宋体"/>
                <w:b/>
                <w:sz w:val="18"/>
                <w:szCs w:val="18"/>
                <w:lang w:bidi="ar"/>
              </w:rPr>
              <w:t>况</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整体绩效目标</w:t>
            </w:r>
          </w:p>
        </w:tc>
        <w:tc>
          <w:tcPr>
            <w:tcW w:w="767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textAlignment w:val="top"/>
              <w:rPr>
                <w:rFonts w:hint="default" w:ascii="Times New Roman" w:hAnsi="Times New Roman" w:cs="宋体"/>
                <w:sz w:val="18"/>
                <w:szCs w:val="18"/>
              </w:rPr>
            </w:pPr>
            <w:r>
              <w:rPr>
                <w:rFonts w:ascii="Times New Roman" w:hAnsi="Times New Roman" w:cs="宋体"/>
                <w:sz w:val="18"/>
                <w:szCs w:val="18"/>
                <w:lang w:bidi="ar"/>
              </w:rPr>
              <w:t>通过年度预算支出，完成如下工作目标：1、空气质量优良天数≥347天；2、土壤环境质量总体保持稳定；3、纳入国家考核的地表水水质达到Ⅲ类；4、完成生态环境监测任务；5、完成生态环境宣传教育任务；6、加大环境执法力度，全力保障环境安全；7、迎接各级各类生态环境保护督察任务；8、建设项目环评审批办结率100%。</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8322"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年度绩效指标</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一级指标</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二级指标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 xml:space="preserve"> 三级指标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绩效指标性质</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绩效指标值</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绩效度量单位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权重</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产出指标</w:t>
            </w:r>
          </w:p>
        </w:tc>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数量指标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保障生活污水处理设施正常运行</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29</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座</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垫江县年空气质量优良天数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347</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天</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核发我县排污许可证数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68</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空气自动监测站运维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龙滩水库保护</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水质在线监测运维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22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油气回收在线监测运维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质量指标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开展生态环境宣传教育</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全年预算支出执行率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98</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生态环境监测任务完成率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土壤环境质量总体保持稳定</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时效指标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部门预决算按时公开率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三季度预算执行进度</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75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效益指标</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r>
              <w:rPr>
                <w:rFonts w:ascii="Times New Roman" w:hAnsi="Times New Roman" w:cs="宋体"/>
                <w:sz w:val="18"/>
                <w:szCs w:val="18"/>
                <w:lang w:bidi="ar"/>
              </w:rPr>
              <w:t>生态效益</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加大环境执法力度，全力保障环境安全</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r>
              <w:rPr>
                <w:rFonts w:ascii="Times New Roman" w:hAnsi="Times New Roman" w:cs="宋体"/>
                <w:sz w:val="18"/>
                <w:szCs w:val="18"/>
                <w:lang w:bidi="ar"/>
              </w:rPr>
              <w:t>可持续影响</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环境质量持续向好</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满意度指标</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sz w:val="18"/>
                <w:szCs w:val="18"/>
              </w:rPr>
            </w:pPr>
            <w:r>
              <w:rPr>
                <w:rFonts w:ascii="Times New Roman" w:hAnsi="Times New Roman" w:cs="宋体"/>
                <w:sz w:val="18"/>
                <w:szCs w:val="18"/>
                <w:lang w:bidi="ar"/>
              </w:rPr>
              <w:t>满意度指标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群众满意度指标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90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tblPrEx>
          <w:tblCellMar>
            <w:top w:w="0" w:type="dxa"/>
            <w:left w:w="0" w:type="dxa"/>
            <w:bottom w:w="0" w:type="dxa"/>
            <w:right w:w="0" w:type="dxa"/>
          </w:tblCellMar>
        </w:tblPrEx>
        <w:trPr>
          <w:trHeight w:val="23" w:hRule="atLeast"/>
        </w:trPr>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其他说明</w:t>
            </w:r>
          </w:p>
        </w:tc>
        <w:tc>
          <w:tcPr>
            <w:tcW w:w="832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rPr>
                <w:rFonts w:hint="default" w:ascii="Times New Roman" w:hAnsi="Times New Roman" w:cs="宋体"/>
                <w:sz w:val="18"/>
                <w:szCs w:val="18"/>
              </w:rPr>
            </w:pPr>
          </w:p>
        </w:tc>
      </w:tr>
    </w:tbl>
    <w:p>
      <w:pPr>
        <w:pStyle w:val="12"/>
        <w:shd w:val="clear"/>
        <w:adjustRightInd w:val="0"/>
        <w:snapToGrid w:val="0"/>
        <w:spacing w:before="0" w:beforeAutospacing="0" w:after="0" w:afterAutospacing="0" w:line="580" w:lineRule="exact"/>
        <w:rPr>
          <w:rFonts w:ascii="Times New Roman" w:hAnsi="Times New Roman" w:eastAsia="方正仿宋_GBK" w:cs="方正仿宋_GBK"/>
          <w:sz w:val="32"/>
          <w:szCs w:val="32"/>
          <w:shd w:val="clear" w:color="auto" w:fill="FFFFFF"/>
        </w:rPr>
      </w:pPr>
    </w:p>
    <w:p>
      <w:pPr>
        <w:pStyle w:val="12"/>
        <w:shd w:val="clear"/>
        <w:adjustRightInd w:val="0"/>
        <w:snapToGrid w:val="0"/>
        <w:spacing w:before="0" w:beforeAutospacing="0" w:after="0" w:afterAutospacing="0" w:line="580" w:lineRule="exact"/>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 （2）</w:t>
      </w:r>
      <w:r>
        <w:rPr>
          <w:rFonts w:hint="eastAsia" w:ascii="Times New Roman" w:hAnsi="Times New Roman" w:eastAsia="方正仿宋_GBK" w:cs="方正仿宋_GBK"/>
          <w:sz w:val="28"/>
          <w:szCs w:val="28"/>
          <w:shd w:val="clear" w:color="auto" w:fill="FFFFFF"/>
        </w:rPr>
        <w:t>项目支出绩效自评表</w:t>
      </w:r>
    </w:p>
    <w:tbl>
      <w:tblPr>
        <w:tblStyle w:val="7"/>
        <w:tblW w:w="8985" w:type="dxa"/>
        <w:tblInd w:w="0" w:type="dxa"/>
        <w:tblLayout w:type="fixed"/>
        <w:tblCellMar>
          <w:top w:w="0" w:type="dxa"/>
          <w:left w:w="0" w:type="dxa"/>
          <w:bottom w:w="0" w:type="dxa"/>
          <w:right w:w="0" w:type="dxa"/>
        </w:tblCellMar>
      </w:tblPr>
      <w:tblGrid>
        <w:gridCol w:w="2283"/>
        <w:gridCol w:w="559"/>
        <w:gridCol w:w="601"/>
        <w:gridCol w:w="811"/>
        <w:gridCol w:w="703"/>
        <w:gridCol w:w="763"/>
        <w:gridCol w:w="790"/>
        <w:gridCol w:w="570"/>
        <w:gridCol w:w="702"/>
        <w:gridCol w:w="617"/>
        <w:gridCol w:w="586"/>
      </w:tblGrid>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2024年度二级项目绩效自评表</w:t>
            </w: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1" w:firstLineChars="100"/>
              <w:jc w:val="right"/>
              <w:textAlignment w:val="center"/>
              <w:rPr>
                <w:rFonts w:hint="default" w:ascii="Times New Roman" w:hAnsi="Times New Roman" w:cs="宋体"/>
                <w:b/>
                <w:sz w:val="21"/>
                <w:szCs w:val="21"/>
              </w:rPr>
            </w:pPr>
            <w:r>
              <w:rPr>
                <w:rFonts w:ascii="Times New Roman" w:hAnsi="Times New Roman" w:cs="宋体"/>
                <w:b/>
                <w:sz w:val="21"/>
                <w:szCs w:val="21"/>
                <w:lang w:bidi="ar"/>
              </w:rPr>
              <w:t>状态：绩效审核已审</w:t>
            </w: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项名称：</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垫江县龙滩水库保护生态补偿</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项目编码：</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50023124T000003953611</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自评总分：</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项目主部门：</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202-垫江县生态环境局</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财政归口处室：</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005-经建科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部门联系人：</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何川江</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联电话：</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74682180</w:t>
            </w: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资金情况</w:t>
            </w: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全年（调整）预算数</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全年执行数</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执行率权重</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执行率得分</w:t>
            </w: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年度总金额</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其中：财政拨款</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10.00 </w:t>
            </w: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一般公共预算</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绩效目标</w:t>
            </w:r>
          </w:p>
        </w:tc>
      </w:tr>
      <w:tr>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年初绩效目标</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全年（调整）绩效目标</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全年目标实际完成情况</w:t>
            </w:r>
          </w:p>
        </w:tc>
      </w:tr>
      <w:tr>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减少污染对龙滩水库水质影响，确保龙滩水库水质达到Ⅲ类。</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jc w:val="both"/>
              <w:rPr>
                <w:rFonts w:hint="default" w:ascii="Times New Roman" w:hAnsi="Times New Roman" w:cs="宋体"/>
                <w:sz w:val="21"/>
                <w:szCs w:val="21"/>
              </w:rPr>
            </w:pP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龙滩水库水质稳定保持Ⅲ类。</w:t>
            </w: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绩效指标</w:t>
            </w: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计量单位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指标性质</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指标值</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全年完成值</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偏离度（%）</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指标权重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指标得分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是否核心指标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说明</w:t>
            </w: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保护水库个数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是</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龙滩水库水质达标率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补偿周期</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年</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提高龙滩水库水质，减少治水成本</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减少</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提高群众生态环保意识</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提高</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持续保障龙滩水库水质稳定达标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长期</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污水处理范围群众满意度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龙滩水库跨区县生态补偿费用</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bl>
    <w:p>
      <w:pPr>
        <w:pStyle w:val="12"/>
        <w:shd w:val="clear"/>
        <w:adjustRightInd w:val="0"/>
        <w:snapToGrid w:val="0"/>
        <w:spacing w:before="0" w:beforeAutospacing="0" w:after="0" w:afterAutospacing="0" w:line="580" w:lineRule="exact"/>
        <w:rPr>
          <w:rFonts w:ascii="Times New Roman" w:hAnsi="Times New Roman" w:eastAsia="方正仿宋_GBK" w:cs="方正仿宋_GBK"/>
          <w:sz w:val="32"/>
          <w:szCs w:val="32"/>
        </w:rPr>
      </w:pPr>
    </w:p>
    <w:p>
      <w:pPr>
        <w:pStyle w:val="11"/>
        <w:shd w:val="clear"/>
        <w:autoSpaceDE w:val="0"/>
        <w:adjustRightInd w:val="0"/>
        <w:snapToGrid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（二）部门绩效评价情况</w:t>
      </w:r>
    </w:p>
    <w:p>
      <w:pPr>
        <w:pStyle w:val="11"/>
        <w:shd w:val="clear"/>
        <w:autoSpaceDE w:val="0"/>
        <w:adjustRightInd w:val="0"/>
        <w:snapToGrid w:val="0"/>
        <w:spacing w:line="58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我部门未组织开展绩效评价。</w:t>
      </w:r>
    </w:p>
    <w:p>
      <w:pPr>
        <w:pStyle w:val="11"/>
        <w:shd w:val="clear"/>
        <w:autoSpaceDE w:val="0"/>
        <w:adjustRightInd w:val="0"/>
        <w:snapToGrid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pPr>
        <w:shd w:val="clear"/>
        <w:overflowPunct w:val="0"/>
        <w:adjustRightInd w:val="0"/>
        <w:snapToGrid w:val="0"/>
        <w:spacing w:line="600" w:lineRule="exact"/>
        <w:ind w:firstLine="632" w:firstLineChars="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sz w:val="32"/>
          <w:szCs w:val="32"/>
          <w:shd w:val="clear" w:color="auto" w:fill="FFFFFF"/>
          <w:lang w:val="en-US" w:eastAsia="zh-CN" w:bidi="ar-SA"/>
        </w:rPr>
        <w:t>县财政局委托第三方对我部门“生态环境监测经费”开展了重点绩效评价，涉及财政拨款项目资金124.70万元，评价得分89.5</w:t>
      </w:r>
      <w:r>
        <w:rPr>
          <w:rFonts w:hint="default" w:ascii="Times New Roman" w:hAnsi="Times New Roman" w:eastAsia="方正仿宋_GBK" w:cs="方正仿宋_GBK"/>
          <w:sz w:val="32"/>
          <w:szCs w:val="32"/>
          <w:shd w:val="clear" w:color="auto" w:fill="FFFFFF"/>
          <w:lang w:val="en-US" w:eastAsia="zh-CN" w:bidi="ar-SA"/>
        </w:rPr>
        <w:t>0</w:t>
      </w:r>
      <w:r>
        <w:rPr>
          <w:rFonts w:hint="eastAsia" w:ascii="Times New Roman" w:hAnsi="Times New Roman" w:eastAsia="方正仿宋_GBK" w:cs="方正仿宋_GBK"/>
          <w:sz w:val="32"/>
          <w:szCs w:val="32"/>
          <w:shd w:val="clear" w:color="auto" w:fill="FFFFFF"/>
          <w:lang w:val="en-US" w:eastAsia="zh-CN" w:bidi="ar-SA"/>
        </w:rPr>
        <w:t>分，评价等次为“良”，绩效评价发现了“绩效目标存在缺陷，绩效指标设置不规范；预算编制合理性较差，监测经费实际成本较低；专项资金使用监管不强，存在资金混用情况”等主要问题，提出“（一）完善项目绩效目标，优化绩效指标设置；（二）合理测算监测成本，据实编制监测经费预算；（三）严格监管专项资金使用，明确资金使用方向”等下一步工作建议。</w:t>
      </w:r>
    </w:p>
    <w:p>
      <w:pPr>
        <w:shd w:val="clear"/>
        <w:overflowPunct w:val="0"/>
        <w:adjustRightInd w:val="0"/>
        <w:snapToGrid w:val="0"/>
        <w:spacing w:line="600" w:lineRule="exact"/>
        <w:ind w:firstLine="632" w:firstLineChars="0"/>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bidi="ar-SA"/>
        </w:rPr>
        <w:t>2.县财政局委托第三方对我部门</w:t>
      </w:r>
      <w:bookmarkStart w:id="0" w:name="_GoBack"/>
      <w:bookmarkEnd w:id="0"/>
      <w:r>
        <w:rPr>
          <w:rFonts w:hint="eastAsia" w:ascii="Times New Roman" w:hAnsi="Times New Roman" w:eastAsia="方正仿宋_GBK" w:cs="方正仿宋_GBK"/>
          <w:sz w:val="32"/>
          <w:szCs w:val="32"/>
          <w:shd w:val="clear" w:color="auto" w:fill="FFFFFF"/>
          <w:lang w:val="en-US" w:eastAsia="zh-CN" w:bidi="ar-SA"/>
        </w:rPr>
        <w:t>“垫江县农村生活污水处理设施运维服务项目”开展了重点绩效评价，涉及财政拨款项目资金</w:t>
      </w:r>
      <w:r>
        <w:rPr>
          <w:rFonts w:hint="default" w:ascii="Times New Roman" w:hAnsi="Times New Roman" w:eastAsia="方正仿宋_GBK" w:cs="方正仿宋_GBK"/>
          <w:sz w:val="32"/>
          <w:szCs w:val="32"/>
          <w:shd w:val="clear" w:color="auto" w:fill="FFFFFF"/>
          <w:lang w:val="en-US" w:eastAsia="zh-CN" w:bidi="ar-SA"/>
        </w:rPr>
        <w:t>100</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方正仿宋_GBK"/>
          <w:sz w:val="32"/>
          <w:szCs w:val="32"/>
          <w:shd w:val="clear" w:color="auto" w:fill="FFFFFF"/>
          <w:lang w:val="en-US" w:eastAsia="zh-CN" w:bidi="ar-SA"/>
        </w:rPr>
        <w:t>00</w:t>
      </w:r>
      <w:r>
        <w:rPr>
          <w:rFonts w:hint="eastAsia" w:ascii="Times New Roman" w:hAnsi="Times New Roman" w:eastAsia="方正仿宋_GBK" w:cs="方正仿宋_GBK"/>
          <w:sz w:val="32"/>
          <w:szCs w:val="32"/>
          <w:shd w:val="clear" w:color="auto" w:fill="FFFFFF"/>
          <w:lang w:val="en-US" w:eastAsia="zh-CN" w:bidi="ar-SA"/>
        </w:rPr>
        <w:t>万元，评价得分</w:t>
      </w:r>
      <w:r>
        <w:rPr>
          <w:rFonts w:hint="default" w:ascii="Times New Roman" w:hAnsi="Times New Roman" w:eastAsia="方正仿宋_GBK" w:cs="方正仿宋_GBK"/>
          <w:sz w:val="32"/>
          <w:szCs w:val="32"/>
          <w:shd w:val="clear" w:color="auto" w:fill="FFFFFF"/>
          <w:lang w:val="en-US" w:eastAsia="zh-CN" w:bidi="ar-SA"/>
        </w:rPr>
        <w:t>8</w:t>
      </w:r>
      <w:r>
        <w:rPr>
          <w:rFonts w:hint="eastAsia" w:ascii="Times New Roman" w:hAnsi="Times New Roman" w:eastAsia="方正仿宋_GBK" w:cs="方正仿宋_GBK"/>
          <w:sz w:val="32"/>
          <w:szCs w:val="32"/>
          <w:shd w:val="clear" w:color="auto" w:fill="FFFFFF"/>
          <w:lang w:val="en-US" w:eastAsia="zh-CN" w:bidi="ar-SA"/>
        </w:rPr>
        <w:t>3.</w:t>
      </w:r>
      <w:r>
        <w:rPr>
          <w:rFonts w:hint="default" w:ascii="Times New Roman" w:hAnsi="Times New Roman" w:eastAsia="方正仿宋_GBK" w:cs="方正仿宋_GBK"/>
          <w:sz w:val="32"/>
          <w:szCs w:val="32"/>
          <w:shd w:val="clear" w:color="auto" w:fill="FFFFFF"/>
          <w:lang w:val="en-US" w:eastAsia="zh-CN" w:bidi="ar-SA"/>
        </w:rPr>
        <w:t>30</w:t>
      </w:r>
      <w:r>
        <w:rPr>
          <w:rFonts w:hint="eastAsia" w:ascii="Times New Roman" w:hAnsi="Times New Roman" w:eastAsia="方正仿宋_GBK" w:cs="方正仿宋_GBK"/>
          <w:sz w:val="32"/>
          <w:szCs w:val="32"/>
          <w:shd w:val="clear" w:color="auto" w:fill="FFFFFF"/>
          <w:lang w:val="en-US" w:eastAsia="zh-CN" w:bidi="ar-SA"/>
        </w:rPr>
        <w:t>分，评价等次为“良”，绩效评价发现了“未制定运维计划，项目实施内容需进一步完善；绩效目标存在缺陷，绩效指标设置不规范；项目开展工作不到位，核实监测频率太低；运维服务费计算不合理，部分污水处理站不应计费”等主要问题，提出“（一）制定运维计划，完善项目管理流程；（二）完善项目绩效目标，优化绩效指标设置；（三）规范开展项目运行，增加核实检测频率；（四）扣减运维费用，关停部分污水处理站”等下一步工作建议。</w:t>
      </w:r>
    </w:p>
    <w:p>
      <w:pPr>
        <w:pStyle w:val="6"/>
        <w:shd w:val="clear" w:color="auto"/>
        <w:adjustRightInd w:val="0"/>
        <w:snapToGrid w:val="0"/>
        <w:spacing w:beforeAutospacing="0" w:after="0" w:afterAutospacing="0" w:line="580" w:lineRule="exact"/>
        <w:ind w:firstLine="643" w:firstLineChars="200"/>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六、专业名词解释</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b/>
          <w:bCs/>
          <w:sz w:val="32"/>
          <w:szCs w:val="32"/>
          <w:shd w:val="clear" w:color="auto" w:fill="FFFFFF"/>
        </w:rPr>
        <w:t> </w:t>
      </w: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 （十六）对个人和家庭的补助（支出经济分类科目类级）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adjustRightInd w:val="0"/>
        <w:snapToGrid w:val="0"/>
        <w:spacing w:before="0" w:beforeAutospacing="0" w:after="0" w:afterAutospacing="0" w:line="580" w:lineRule="exact"/>
        <w:ind w:firstLine="643" w:firstLineChars="200"/>
        <w:jc w:val="both"/>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黑体" w:cs="黑体"/>
          <w:sz w:val="32"/>
          <w:szCs w:val="32"/>
          <w:shd w:val="clear" w:color="auto" w:fill="FFFFFF"/>
        </w:rPr>
        <w:t>七、决算公开联系方式及信息反馈渠道</w:t>
      </w:r>
    </w:p>
    <w:p>
      <w:pPr>
        <w:pStyle w:val="6"/>
        <w:shd w:val="clear"/>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本单位决算公开信息反馈和联系方式：023-74688819</w:t>
      </w:r>
    </w:p>
    <w:p>
      <w:pPr>
        <w:pStyle w:val="11"/>
        <w:shd w:val="clear"/>
        <w:autoSpaceDE w:val="0"/>
        <w:adjustRightInd w:val="0"/>
        <w:snapToGrid w:val="0"/>
        <w:spacing w:line="580" w:lineRule="exact"/>
        <w:ind w:firstLine="0" w:firstLineChars="0"/>
        <w:rPr>
          <w:rStyle w:val="10"/>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2"/>
                <w:szCs w:val="22"/>
              </w:rPr>
            </w:pPr>
            <w:r>
              <w:rPr>
                <w:rFonts w:ascii="Times New Roman" w:hAnsi="Times New Roman" w:cs="宋体"/>
                <w:sz w:val="20"/>
                <w:szCs w:val="20"/>
              </w:rPr>
              <w:t>部门：</w:t>
            </w:r>
            <w:r>
              <w:rPr>
                <w:rFonts w:ascii="Times New Roman" w:hAnsi="Times New Roman"/>
                <w:sz w:val="20"/>
              </w:rPr>
              <w:t>垫江县生态环境局</w:t>
            </w:r>
          </w:p>
        </w:tc>
        <w:tc>
          <w:tcPr>
            <w:tcW w:w="1372"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12,988.31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13,092.56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13,012.33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13,641.51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13,661.39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13,661.39</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p>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备注：1.本表反映部门本年度的总收支和年末结转结余情况。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sz w:val="20"/>
              </w:rPr>
              <w:t>垫江县生态环境局</w:t>
            </w:r>
          </w:p>
        </w:tc>
        <w:tc>
          <w:tcPr>
            <w:tcW w:w="454"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13,012.33</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12,988.31</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324.11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324.11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12,470.06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12,446.04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1,758.36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1,065.46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1,041.45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5,643.70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5,643.70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806.88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806.88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4,836.82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4,836.82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备注：1.本表反映部门本年度取得的各项收入情况。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0"/>
          <w:szCs w:val="20"/>
        </w:rPr>
      </w:pPr>
      <w:r>
        <w:rPr>
          <w:rFonts w:ascii="Times New Roman" w:hAnsi="Times New Roman"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 xml:space="preserve">垫江县生态环境局 </w:t>
            </w: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13,641.51</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1,870.60</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11,770.91</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359.96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359.89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13,092.56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11,770.84</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1,814.61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492.89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1,096.03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634.81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461.23</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0"/>
          <w:szCs w:val="20"/>
        </w:rPr>
      </w:pPr>
      <w:r>
        <w:rPr>
          <w:rFonts w:ascii="Times New Roman" w:hAnsi="Times New Roman" w:cs="宋体"/>
          <w:sz w:val="20"/>
          <w:szCs w:val="20"/>
        </w:rPr>
        <w:t>备注：1.本表反映部门本年度各项支出情况。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p>
      <w:pPr>
        <w:shd w:val="clear"/>
        <w:rPr>
          <w:rFonts w:hint="default" w:ascii="Times New Roman" w:hAnsi="Times New Roman"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hd w:val="clea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12,988.31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12,988.31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13,622.11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13,622.11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备注：1.本表反映部门本年度一般公共预算财政拨款、政府性基金预算财政拨款及国有资本经营预算财政拨款的总收支和年末结转结余情况。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107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13,622.11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1,867.01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11,755.10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359.89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13,073.16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1,318.13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11,755.03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1,318.13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1,076.63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631.22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445.42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备注：1.本表反映部门本年度一般公共预算财政拨款支出情况。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hd w:val="clea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539"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1,586.38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195.51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225.50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359.10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1,671.50</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195.51</w:t>
            </w:r>
            <w:r>
              <w:rPr>
                <w:rFonts w:ascii="Times New Roman" w:hAnsi="Times New Roman"/>
                <w:color w:val="000000"/>
                <w:sz w:val="18"/>
              </w:rPr>
              <w:t xml:space="preserve"> </w:t>
            </w:r>
          </w:p>
        </w:tc>
      </w:tr>
    </w:tbl>
    <w:p>
      <w:pPr>
        <w:shd w:val="clear"/>
        <w:spacing w:line="280" w:lineRule="exact"/>
        <w:rPr>
          <w:rFonts w:hint="default" w:ascii="Times New Roman" w:hAnsi="Times New Roman" w:cs="宋体"/>
          <w:sz w:val="20"/>
          <w:szCs w:val="20"/>
        </w:rPr>
      </w:pPr>
      <w:r>
        <w:rPr>
          <w:rFonts w:ascii="Times New Roman" w:hAnsi="Times New Roman" w:cs="宋体"/>
          <w:sz w:val="20"/>
          <w:szCs w:val="20"/>
        </w:rPr>
        <w:t>备注：1.本表反映部门本年度一般公共预算财政拨款基本支出明细情况。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备注：本表反映部门本年度政府性基金预算财政拨款收入支出及结转和结余情况。本部门无政府性基金收支，故本表无数据。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shd w:val="clear"/>
        <w:rPr>
          <w:rFonts w:hint="default" w:ascii="Times New Roman" w:hAnsi="Times New Roman" w:cs="宋体"/>
          <w:sz w:val="21"/>
          <w:szCs w:val="21"/>
        </w:rPr>
      </w:pPr>
      <w:r>
        <w:rPr>
          <w:rFonts w:ascii="Times New Roman" w:hAnsi="Times New Roman" w:cs="宋体"/>
          <w:sz w:val="20"/>
          <w:szCs w:val="20"/>
        </w:rPr>
        <w:t>备注：本表反映部门本年度国有资本经营预算财政拨款支出情况。本部门无国有资本经营收支，故本表无数据。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hint="default" w:ascii="Times New Roman" w:hAnsi="Times New Roman"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pPr>
              <w:shd w:val="clea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r>
              <w:rPr>
                <w:rFonts w:ascii="Times New Roman" w:hAnsi="Times New Roman" w:cs="宋体"/>
                <w:kern w:val="2"/>
                <w:sz w:val="20"/>
                <w:szCs w:val="20"/>
              </w:rPr>
              <w:t>部门</w:t>
            </w:r>
            <w:r>
              <w:rPr>
                <w:rFonts w:ascii="Times New Roman" w:hAnsi="Times New Roman" w:cs="宋体"/>
                <w:color w:val="000000"/>
                <w:kern w:val="2"/>
                <w:sz w:val="20"/>
                <w:szCs w:val="20"/>
              </w:rPr>
              <w:t>：</w:t>
            </w:r>
            <w:r>
              <w:rPr>
                <w:rFonts w:ascii="Times New Roman" w:hAnsi="Times New Roman"/>
                <w:color w:val="000000"/>
                <w:sz w:val="20"/>
              </w:rPr>
              <w:t>垫江县生态环境局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138.85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55.97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699.85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699.85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759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699.85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70.81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sz w:val="16"/>
                <w:szCs w:val="16"/>
              </w:rPr>
            </w:pPr>
          </w:p>
        </w:tc>
      </w:tr>
    </w:tbl>
    <w:p>
      <w:pPr>
        <w:shd w:val="clear"/>
        <w:rPr>
          <w:rFonts w:hint="default" w:ascii="Times New Roman" w:hAnsi="Times New Roman"/>
        </w:rPr>
      </w:pPr>
      <w:r>
        <w:rPr>
          <w:rFonts w:ascii="Times New Roman" w:hAnsi="Times New Roman"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3933FD"/>
    <w:rsid w:val="004C12FF"/>
    <w:rsid w:val="00550ABE"/>
    <w:rsid w:val="005B023C"/>
    <w:rsid w:val="00600322"/>
    <w:rsid w:val="006137D7"/>
    <w:rsid w:val="00634FA8"/>
    <w:rsid w:val="0063613A"/>
    <w:rsid w:val="00671E56"/>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4D26"/>
    <w:rsid w:val="00AC5566"/>
    <w:rsid w:val="00B03CCD"/>
    <w:rsid w:val="00B40138"/>
    <w:rsid w:val="00BF5A85"/>
    <w:rsid w:val="00C307F6"/>
    <w:rsid w:val="00C96B11"/>
    <w:rsid w:val="00CC6B99"/>
    <w:rsid w:val="00D22C52"/>
    <w:rsid w:val="00D5437E"/>
    <w:rsid w:val="00DF7706"/>
    <w:rsid w:val="00E05175"/>
    <w:rsid w:val="00E572A1"/>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41514F"/>
    <w:rsid w:val="05B036D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BE01F87"/>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CB15E83"/>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3274F2"/>
    <w:rsid w:val="20642787"/>
    <w:rsid w:val="21556F04"/>
    <w:rsid w:val="22403BD3"/>
    <w:rsid w:val="23780C4F"/>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BC5DAF"/>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3F761A"/>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C4488"/>
    <w:rsid w:val="475D719D"/>
    <w:rsid w:val="47674801"/>
    <w:rsid w:val="48225EF7"/>
    <w:rsid w:val="488F422B"/>
    <w:rsid w:val="48E36915"/>
    <w:rsid w:val="495C4A24"/>
    <w:rsid w:val="497135DF"/>
    <w:rsid w:val="4A263DF2"/>
    <w:rsid w:val="4A6F6675"/>
    <w:rsid w:val="4B0502DF"/>
    <w:rsid w:val="4B135857"/>
    <w:rsid w:val="4B7951CB"/>
    <w:rsid w:val="4B7C315C"/>
    <w:rsid w:val="4CE77EA1"/>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8D1A13"/>
    <w:rsid w:val="5A3B59D6"/>
    <w:rsid w:val="5AD134D8"/>
    <w:rsid w:val="5B6503B1"/>
    <w:rsid w:val="5C213EB1"/>
    <w:rsid w:val="5C263CE4"/>
    <w:rsid w:val="5C5D2777"/>
    <w:rsid w:val="5CF66BF3"/>
    <w:rsid w:val="5D290C69"/>
    <w:rsid w:val="5F2D4A41"/>
    <w:rsid w:val="60C74F6C"/>
    <w:rsid w:val="60F45414"/>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5D163FB"/>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492B50"/>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2968</Words>
  <Characters>16922</Characters>
  <Lines>141</Lines>
  <Paragraphs>39</Paragraphs>
  <TotalTime>0</TotalTime>
  <ScaleCrop>false</ScaleCrop>
  <LinksUpToDate>false</LinksUpToDate>
  <CharactersWithSpaces>19851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2025-09-15T06:54:10Z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