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spacing w:before="0" w:beforeAutospacing="0"/>
        <w:jc w:val="center"/>
        <w:rPr>
          <w:rFonts w:hint="default" w:ascii="Times New Roman" w:hAnsi="Times New Roman" w:eastAsia="方正小标宋_GBK" w:cs="方正小标宋_GBK"/>
          <w:sz w:val="36"/>
          <w:szCs w:val="36"/>
        </w:rPr>
      </w:pPr>
      <w:r>
        <w:rPr>
          <w:rFonts w:ascii="Times New Roman" w:hAnsi="Times New Roman" w:eastAsia="方正小标宋_GBK" w:cs="方正小标宋_GBK"/>
          <w:sz w:val="36"/>
          <w:szCs w:val="36"/>
        </w:rPr>
        <w:t>垫江县生态环境局（本级）</w:t>
      </w:r>
    </w:p>
    <w:p>
      <w:pPr>
        <w:pStyle w:val="6"/>
        <w:shd w:val="clear"/>
        <w:spacing w:before="0" w:beforeAutospacing="0"/>
        <w:jc w:val="center"/>
        <w:rPr>
          <w:rFonts w:hint="default" w:ascii="Times New Roman" w:hAnsi="Times New Roman" w:eastAsia="方正小标宋_GBK" w:cs="方正小标宋_GBK"/>
          <w:sz w:val="36"/>
          <w:szCs w:val="36"/>
          <w:shd w:val="clear" w:color="auto" w:fill="FFFFFF"/>
        </w:rPr>
      </w:pPr>
      <w:r>
        <w:rPr>
          <w:rFonts w:ascii="Times New Roman" w:hAnsi="Times New Roman" w:eastAsia="方正小标宋_GBK" w:cs="方正小标宋_GBK"/>
          <w:sz w:val="36"/>
          <w:szCs w:val="36"/>
          <w:shd w:val="clear" w:color="auto" w:fill="FFFFFF"/>
        </w:rPr>
        <w:t>2024年度决算公开说明</w:t>
      </w:r>
    </w:p>
    <w:p>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黑体" w:cs="黑体"/>
          <w:sz w:val="32"/>
          <w:szCs w:val="32"/>
        </w:rPr>
      </w:pPr>
      <w:r>
        <w:rPr>
          <w:rStyle w:val="10"/>
          <w:rFonts w:ascii="Times New Roman" w:hAnsi="Times New Roman" w:eastAsia="黑体" w:cs="黑体"/>
          <w:sz w:val="32"/>
          <w:szCs w:val="32"/>
          <w:shd w:val="clear" w:color="auto" w:fill="FFFFFF"/>
        </w:rPr>
        <w:t>一、单位基本情况</w:t>
      </w:r>
    </w:p>
    <w:p>
      <w:pPr>
        <w:pStyle w:val="6"/>
        <w:shd w:val="clear" w:color="auto"/>
        <w:adjustRightInd w:val="0"/>
        <w:snapToGrid w:val="0"/>
        <w:spacing w:before="0" w:beforeAutospacing="0" w:after="0" w:afterAutospacing="0" w:line="560" w:lineRule="exact"/>
        <w:ind w:firstLine="420"/>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（一）职能职责</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负责贯彻执行国家生态环境基本制度。负责贯彻执行生态环境法律法规、规章、标准和方针政策。负责实施地方生态环境标准和技术规范。会同有关部门拟订生态环境规划、计划并组织实施。会同有关部门编制并监督实施重点区域、流域、饮用水水源地生态环境规划和水功能区划。</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负责生态环境问题的统筹协调和监督管理。建立健全突发生态环境事件的应急预警机制。牵头协调环境污染事故和生态破坏事件的调查处理，牵头开展突发生态环境事件的应急、预警工作。牵头指导和实施生态环境损害赔偿制度，协调解决有关跨区域的环境污染纠纷。</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3.负责监督管理减排目标的落实。监督实施各类污染物排放总量控制、排污许可证制度，组织确定水、大气等纳污能力，监督检查污染物减排任务完成情况，实施生态环境保护目标责任制。</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4.负责提出生态环境领域固定资产投资规模和方向、财政性资金安排的建议，配合有关部门做好组织实施工作。</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负责环境污染防治的监督管理。拟订水、大气、土壤、固体废物、化学品、机动车、噪声、光、恶臭等污染防治管理计划并监督实施。会同有关部门监督管理饮用水水源地生态环境保护工作，负责流域水环境保护，监督防止地下水污染。负责入河排污口的设置管理。组织指导城乡生态环境综合整治工作，监督指导农业面源污染治理工作。监督指导区域大气环境保护工作，组织实施区域大气污染联防联控协作机制。</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指导协调和监督生态保护修复工作。组织编制生态保护规划，监督对生态环境有影响的自然资源开发利用活动、重要生态环境建设和生态破坏恢复工作。组织实施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负责核与辐射安全的监督管理。牵头负责核安全工作协调机制有关工作。监督管理核安全和放射源安全，监督管理电磁辐射、核技术应用、伴有放射性矿产资源开发利用中的污染防治。组织开展核与辐射环境监测工作。负责辐射环境事故应急处理，参与核事故应急处理。</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8.负责生态环境准入的监督管理。按规定审批或组织审查重大开发建设区域、规划、项目环境影响评价文件，组织实施生态环境准入清单。</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9.负责生态环境监测工作。执行生态环境监测制度、规范和相关标准。组织建设和管理生态环境监测网、生态环境信息网，会同有关部门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10.负责应对气候变化工作。贯彻执行应对气候变化及温室气体减排重大战略、规划和政策，承担国家履行联合国气候变化框架公约在我县的相关工作。</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11.组织开展生态环境保护督察。负责建立健全生态环境保护督察制度，对接中央、市生态环境保护督察有关工作，组织协调县级生态环境保护督察工作，根据授权对各乡镇(街道)、有关部门贯彻落实生态环境保护决策部署情况进行督察。</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12.负责生态环境监督执法。组织开展生态环境保护执法检查活动，查处生态环境违法问题，具体执法交由执法队伍承担，并以部门名义统一执法。</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13.负责开展生态环境科技工作。组织开展生态环境科学研究和技术工程示范，推动生态环境技术管理体系建设。参与指导推动循环经济和生态环保产业发展。</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14.组织开展生态环境宣传教育工作。制定并组织实施生态环境保护宣传教育计划、方案，推动社会组织和公众参与生态环境保护。</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15.承担垫江县生态环境委员会的日常工作。</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16.完成县委、县政府交办的其他任务。</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17.职能转变。垫江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楷体_GBK" w:cs="方正楷体_GBK"/>
          <w:b/>
          <w:sz w:val="32"/>
          <w:szCs w:val="32"/>
          <w:shd w:val="clear" w:color="auto" w:fill="FFFFFF"/>
        </w:rPr>
      </w:pPr>
      <w:r>
        <w:rPr>
          <w:rFonts w:ascii="Times New Roman" w:hAnsi="Times New Roman" w:eastAsia="方正楷体_GBK" w:cs="方正楷体_GBK"/>
          <w:b/>
          <w:sz w:val="32"/>
          <w:szCs w:val="32"/>
          <w:shd w:val="clear" w:color="auto" w:fill="FFFFFF"/>
        </w:rPr>
        <w:t>（二）机构设置</w:t>
      </w:r>
    </w:p>
    <w:p>
      <w:pPr>
        <w:pStyle w:val="6"/>
        <w:shd w:val="clear" w:color="auto"/>
        <w:adjustRightInd w:val="0"/>
        <w:snapToGrid w:val="0"/>
        <w:spacing w:before="0" w:beforeAutospacing="0" w:after="0" w:afterAutospacing="0" w:line="56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本局内设办公室、综合业务科、法规宣教科、水生态环境科、大气环境与总量减排科、自然生态保护科、行政许可服务科7个科室。</w:t>
      </w:r>
    </w:p>
    <w:p>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黑体" w:cs="黑体"/>
          <w:sz w:val="32"/>
          <w:szCs w:val="32"/>
          <w:shd w:val="clear" w:color="auto" w:fill="FFFFFF"/>
        </w:rPr>
        <w:t>二、单位决算收支情况说明</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2024年度收入总计11926.48万元，支出总计</w:t>
      </w:r>
      <w:r>
        <w:rPr>
          <w:rFonts w:ascii="Times New Roman" w:hAnsi="Times New Roman" w:eastAsia="方正仿宋_GBK" w:cs="方正仿宋_GBK"/>
          <w:sz w:val="32"/>
          <w:szCs w:val="32"/>
        </w:rPr>
        <w:t>11926.48</w:t>
      </w:r>
      <w:r>
        <w:rPr>
          <w:rFonts w:ascii="Times New Roman" w:hAnsi="Times New Roman" w:eastAsia="方正仿宋_GBK" w:cs="方正仿宋_GBK"/>
          <w:sz w:val="32"/>
          <w:szCs w:val="32"/>
          <w:shd w:val="clear" w:color="auto" w:fill="FFFFFF"/>
        </w:rPr>
        <w:t>万元。收、支与2023年度相比，增加6518.87万元，增长120.55%，主要原因是中央水污染资金项目增加等。</w:t>
      </w:r>
    </w:p>
    <w:p>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2024年度收入合计11329.12万元，与2023年度相比，增加6002.35万元，增长112.68%，主要原因是中央水污染资金项目增加等。其中：财政拨款收入</w:t>
      </w:r>
      <w:r>
        <w:rPr>
          <w:rFonts w:ascii="Times New Roman" w:hAnsi="Times New Roman" w:eastAsia="方正仿宋_GBK" w:cs="方正仿宋_GBK"/>
          <w:sz w:val="32"/>
          <w:szCs w:val="32"/>
        </w:rPr>
        <w:t>11329.12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597.36</w:t>
      </w:r>
      <w:r>
        <w:rPr>
          <w:rFonts w:ascii="Times New Roman" w:hAnsi="Times New Roman" w:eastAsia="方正仿宋_GBK" w:cs="方正仿宋_GBK"/>
          <w:sz w:val="32"/>
          <w:szCs w:val="32"/>
          <w:shd w:val="clear" w:color="auto" w:fill="FFFFFF"/>
        </w:rPr>
        <w:t>万元。</w:t>
      </w:r>
    </w:p>
    <w:p>
      <w:pPr>
        <w:pStyle w:val="6"/>
        <w:shd w:val="clear" w:color="auto"/>
        <w:adjustRightInd w:val="0"/>
        <w:snapToGrid w:val="0"/>
        <w:spacing w:before="0" w:beforeAutospacing="0" w:after="0" w:afterAutospacing="0" w:line="560" w:lineRule="exact"/>
        <w:ind w:firstLine="643" w:firstLineChars="200"/>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11922.82</w:t>
      </w:r>
      <w:r>
        <w:rPr>
          <w:rFonts w:ascii="Times New Roman" w:hAnsi="Times New Roman" w:eastAsia="方正仿宋_GBK" w:cs="方正仿宋_GBK"/>
          <w:sz w:val="32"/>
          <w:szCs w:val="32"/>
          <w:shd w:val="clear" w:color="auto" w:fill="FFFFFF"/>
        </w:rPr>
        <w:t>万元，与2023年度相比，增加6563.95万元，增长122.49%，主要原因是中央水污染资金项目增加等。其中：基本支出</w:t>
      </w:r>
      <w:r>
        <w:rPr>
          <w:rFonts w:ascii="Times New Roman" w:hAnsi="Times New Roman" w:eastAsia="方正仿宋_GBK" w:cs="方正仿宋_GBK"/>
          <w:sz w:val="32"/>
          <w:szCs w:val="32"/>
        </w:rPr>
        <w:t>395.34</w:t>
      </w:r>
      <w:r>
        <w:rPr>
          <w:rFonts w:ascii="Times New Roman" w:hAnsi="Times New Roman" w:eastAsia="方正仿宋_GBK" w:cs="方正仿宋_GBK"/>
          <w:sz w:val="32"/>
          <w:szCs w:val="32"/>
          <w:shd w:val="clear" w:color="auto" w:fill="FFFFFF"/>
        </w:rPr>
        <w:t>万元，占3.32%；项目支出</w:t>
      </w:r>
      <w:r>
        <w:rPr>
          <w:rFonts w:ascii="Times New Roman" w:hAnsi="Times New Roman" w:eastAsia="方正仿宋_GBK" w:cs="方正仿宋_GBK"/>
          <w:sz w:val="32"/>
          <w:szCs w:val="32"/>
        </w:rPr>
        <w:t>11527.49</w:t>
      </w:r>
      <w:r>
        <w:rPr>
          <w:rFonts w:ascii="Times New Roman" w:hAnsi="Times New Roman" w:eastAsia="方正仿宋_GBK" w:cs="方正仿宋_GBK"/>
          <w:sz w:val="32"/>
          <w:szCs w:val="32"/>
          <w:shd w:val="clear" w:color="auto" w:fill="FFFFFF"/>
        </w:rPr>
        <w:t>万元，占96.68%；经营支出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3.66</w:t>
      </w:r>
      <w:r>
        <w:rPr>
          <w:rFonts w:ascii="Times New Roman" w:hAnsi="Times New Roman" w:eastAsia="方正仿宋_GBK" w:cs="方正仿宋_GBK"/>
          <w:sz w:val="32"/>
          <w:szCs w:val="32"/>
          <w:shd w:val="clear" w:color="auto" w:fill="FFFFFF"/>
        </w:rPr>
        <w:t>万元，与2023年度相比，减少45.08万元，下降92.49%，主要原因是上年结余的项目经费本年支付完成。</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2024年度财政拨款收、支总计11922.82万元。与2023年相比，财政拨款收、支总计各增加6526.06万元，增长120.93%。主要原因是中央水污染资金项目增加等。</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11329.12</w:t>
      </w:r>
      <w:r>
        <w:rPr>
          <w:rFonts w:ascii="Times New Roman" w:hAnsi="Times New Roman" w:eastAsia="方正仿宋_GBK" w:cs="方正仿宋_GBK"/>
          <w:sz w:val="32"/>
          <w:szCs w:val="32"/>
          <w:shd w:val="clear" w:color="auto" w:fill="FFFFFF"/>
        </w:rPr>
        <w:t>万元，与2023年度相比，增加6003.65万元，增长112.73%。主要原因是中央水污染资金项目增加等。较年初预算数减少3378.31万元，下降22.97%。主要原因是中央水污染资金未在本年度完全支付。此外，年初财政拨款结转和结余</w:t>
      </w:r>
      <w:r>
        <w:rPr>
          <w:rFonts w:ascii="Times New Roman" w:hAnsi="Times New Roman" w:eastAsia="方正仿宋_GBK" w:cs="方正仿宋_GBK"/>
          <w:sz w:val="32"/>
          <w:szCs w:val="32"/>
        </w:rPr>
        <w:t>593.70</w:t>
      </w:r>
      <w:r>
        <w:rPr>
          <w:rFonts w:ascii="Times New Roman" w:hAnsi="Times New Roman" w:eastAsia="方正仿宋_GBK" w:cs="方正仿宋_GBK"/>
          <w:sz w:val="32"/>
          <w:szCs w:val="32"/>
          <w:shd w:val="clear" w:color="auto" w:fill="FFFFFF"/>
        </w:rPr>
        <w:t>万元。</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11922.82</w:t>
      </w:r>
      <w:r>
        <w:rPr>
          <w:rFonts w:ascii="Times New Roman" w:hAnsi="Times New Roman" w:eastAsia="方正仿宋_GBK" w:cs="方正仿宋_GBK"/>
          <w:sz w:val="32"/>
          <w:szCs w:val="32"/>
          <w:shd w:val="clear" w:color="auto" w:fill="FFFFFF"/>
        </w:rPr>
        <w:t>万元，与2023年度相比，增加6563.95万元，增长122.49%。主要原因是中央水污染资金项目增加等。较年初预算数减少2784.61万元，下降18.93%。主要原因是中央水污染资金未在本年度完全支付。</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万元，与2023年度相比，减少37.89万元，下降100.00%，主要原因是上年结余的项目经费本年支付完成。</w:t>
      </w:r>
    </w:p>
    <w:p>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%，较年初预算数减少0.86万元，下降100.00%，主要原因是本单位人员培训减少。</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103.90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0.87</w:t>
      </w:r>
      <w:r>
        <w:rPr>
          <w:rFonts w:ascii="Times New Roman" w:hAnsi="Times New Roman" w:eastAsia="方正仿宋_GBK" w:cs="方正仿宋_GBK"/>
          <w:sz w:val="32"/>
          <w:szCs w:val="32"/>
          <w:shd w:val="clear" w:color="auto" w:fill="FFFFFF"/>
        </w:rPr>
        <w:t>%，较年初预算数增加36.34万元，增长53.79%，主要原因是职工正常晋级晋档工资调增，社保基数调增及补缴以前年度社保。</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14.44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0.12</w:t>
      </w:r>
      <w:r>
        <w:rPr>
          <w:rFonts w:ascii="Times New Roman" w:hAnsi="Times New Roman" w:eastAsia="方正仿宋_GBK" w:cs="方正仿宋_GBK"/>
          <w:sz w:val="32"/>
          <w:szCs w:val="32"/>
          <w:shd w:val="clear" w:color="auto" w:fill="FFFFFF"/>
        </w:rPr>
        <w:t>%，较年初预算数减少0.60万元，下降3.99%，主要原因是人员减少。</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（4）节能环保支出</w:t>
      </w:r>
      <w:r>
        <w:rPr>
          <w:rFonts w:ascii="Times New Roman" w:hAnsi="Times New Roman" w:eastAsia="方正仿宋_GBK" w:cs="方正仿宋_GBK"/>
          <w:sz w:val="32"/>
          <w:szCs w:val="32"/>
        </w:rPr>
        <w:t>11784.47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98.84</w:t>
      </w:r>
      <w:r>
        <w:rPr>
          <w:rFonts w:ascii="Times New Roman" w:hAnsi="Times New Roman" w:eastAsia="方正仿宋_GBK" w:cs="方正仿宋_GBK"/>
          <w:sz w:val="32"/>
          <w:szCs w:val="32"/>
          <w:shd w:val="clear" w:color="auto" w:fill="FFFFFF"/>
        </w:rPr>
        <w:t>%，较年初预算数减少2819.48万元，下降19.31%，主要原因是中央水污染资金未在本年度完全支付。</w:t>
      </w:r>
    </w:p>
    <w:p>
      <w:pPr>
        <w:shd w:val="clear"/>
        <w:adjustRightInd w:val="0"/>
        <w:snapToGrid w:val="0"/>
        <w:spacing w:line="560" w:lineRule="exact"/>
        <w:ind w:firstLine="640" w:firstLineChars="200"/>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（5）</w:t>
      </w:r>
      <w:r>
        <w:rPr>
          <w:rFonts w:ascii="Times New Roman" w:hAnsi="Times New Roman" w:eastAsia="方正仿宋_GBK" w:cs="方正仿宋_GBK"/>
          <w:sz w:val="32"/>
          <w:szCs w:val="32"/>
        </w:rPr>
        <w:t>住房保障支出20.02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0.17</w:t>
      </w:r>
      <w:r>
        <w:rPr>
          <w:rFonts w:ascii="Times New Roman" w:hAnsi="Times New Roman" w:eastAsia="方正仿宋_GBK" w:cs="方正仿宋_GBK"/>
          <w:sz w:val="32"/>
          <w:szCs w:val="32"/>
          <w:shd w:val="clear" w:color="auto" w:fill="FFFFFF"/>
        </w:rPr>
        <w:t>%，较年初预算数减少0.01万元，下降0.05%，主要原因是人员减少，支出减少。</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2024年度一般公共财政拨款基本支出</w:t>
      </w:r>
      <w:r>
        <w:rPr>
          <w:rFonts w:ascii="Times New Roman" w:hAnsi="Times New Roman" w:eastAsia="方正仿宋_GBK" w:cs="方正仿宋_GBK"/>
          <w:sz w:val="32"/>
          <w:szCs w:val="32"/>
        </w:rPr>
        <w:t>395.34</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339.37</w:t>
      </w:r>
      <w:r>
        <w:rPr>
          <w:rFonts w:ascii="Times New Roman" w:hAnsi="Times New Roman" w:eastAsia="方正仿宋_GBK" w:cs="方正仿宋_GBK"/>
          <w:sz w:val="32"/>
          <w:szCs w:val="32"/>
          <w:shd w:val="clear" w:color="auto" w:fill="FFFFFF"/>
        </w:rPr>
        <w:t>万元，与2023年度相比，增加16.74万元，增长5.19%，主要原因是职工正常晋级晋档工资调增，社保基数调增及补缴以前年度社保。人员经费用途主要包括</w:t>
      </w:r>
      <w:r>
        <w:rPr>
          <w:rFonts w:ascii="Times New Roman" w:hAnsi="Times New Roman" w:eastAsia="方正仿宋_GBK" w:cs="方正仿宋_GBK"/>
          <w:sz w:val="32"/>
          <w:szCs w:val="32"/>
          <w:shd w:val="clear" w:color="auto" w:fill="FFFFFF"/>
          <w:lang w:bidi="ar"/>
        </w:rPr>
        <w:t>基本工资、津贴补贴、奖金、社会保障缴费、绩效工资、住房公积金、医疗费等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55.97</w:t>
      </w:r>
      <w:r>
        <w:rPr>
          <w:rFonts w:ascii="Times New Roman" w:hAnsi="Times New Roman" w:eastAsia="方正仿宋_GBK" w:cs="方正仿宋_GBK"/>
          <w:sz w:val="32"/>
          <w:szCs w:val="32"/>
          <w:shd w:val="clear" w:color="auto" w:fill="FFFFFF"/>
        </w:rPr>
        <w:t>万元，与2023年度相比，减少9.88万元，下降15.00%，主要原因是厉行节约。公用经费用途主要包括</w:t>
      </w:r>
      <w:r>
        <w:rPr>
          <w:rFonts w:ascii="Times New Roman" w:hAnsi="Times New Roman" w:eastAsia="方正仿宋_GBK" w:cs="方正仿宋_GBK"/>
          <w:sz w:val="32"/>
          <w:szCs w:val="32"/>
          <w:shd w:val="clear" w:color="auto" w:fill="FFFFFF"/>
          <w:lang w:bidi="ar"/>
        </w:rPr>
        <w:t>办公费、水电费、邮电费、公务接待费、培训费、工会经费、劳务费、其他交通费用等</w:t>
      </w:r>
      <w:r>
        <w:rPr>
          <w:rFonts w:ascii="Times New Roman" w:hAnsi="Times New Roman" w:eastAsia="方正仿宋_GBK" w:cs="方正仿宋_GBK"/>
          <w:sz w:val="32"/>
          <w:szCs w:val="32"/>
          <w:shd w:val="clear" w:color="auto" w:fill="FFFFFF"/>
        </w:rPr>
        <w:t>。</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pPr>
        <w:pStyle w:val="11"/>
        <w:shd w:val="clear"/>
        <w:autoSpaceDE w:val="0"/>
        <w:adjustRightInd w:val="0"/>
        <w:snapToGrid w:val="0"/>
        <w:spacing w:line="560" w:lineRule="exact"/>
        <w:ind w:firstLine="64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Times New Roman" w:hAnsi="Times New Roman" w:eastAsia="方正仿宋_GBK" w:cs="方正仿宋_GBK"/>
          <w:sz w:val="32"/>
          <w:szCs w:val="32"/>
          <w:shd w:val="clear" w:color="auto" w:fill="FFFFFF"/>
        </w:rPr>
        <w:t>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2024年度国有资本经营预算财政拨本年支出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万元，基本支出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万元，项目支出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年度无国有资本经营预算财政拨款支出。</w:t>
      </w:r>
    </w:p>
    <w:p>
      <w:pPr>
        <w:pStyle w:val="6"/>
        <w:shd w:val="clear" w:color="auto"/>
        <w:adjustRightInd w:val="0"/>
        <w:snapToGrid w:val="0"/>
        <w:spacing w:before="0"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三、财政拨款“三公”经费情况说明</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4.47</w:t>
      </w:r>
      <w:r>
        <w:rPr>
          <w:rFonts w:ascii="Times New Roman" w:hAnsi="Times New Roman" w:eastAsia="方正仿宋_GBK" w:cs="方正仿宋_GBK"/>
          <w:sz w:val="32"/>
          <w:szCs w:val="32"/>
          <w:shd w:val="clear" w:color="auto" w:fill="FFFFFF"/>
        </w:rPr>
        <w:t>万元，较年初预算数增加0.47万元，增长11.75%，主要原因是年初无公务车运行维护费，本年度支出0.47万元公务车运行维护费。较上年支出数减少2.49万元，下降35.78%，主要原因是厉行节约。</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pPr>
        <w:shd w:val="clear"/>
        <w:adjustRightInd w:val="0"/>
        <w:snapToGrid w:val="0"/>
        <w:spacing w:line="560" w:lineRule="exact"/>
        <w:ind w:firstLine="640" w:firstLineChars="200"/>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hint="eastAsia" w:ascii="Times New Roman" w:hAnsi="Times New Roman" w:eastAsia="方正仿宋_GBK" w:cs="方正仿宋_GBK"/>
          <w:sz w:val="32"/>
          <w:szCs w:val="32"/>
          <w:shd w:val="clear" w:color="auto" w:fill="FFFFFF"/>
          <w:lang w:val="en-US" w:eastAsia="zh-CN" w:bidi="ar-SA"/>
        </w:rPr>
        <w:t>0.00万元</w:t>
      </w:r>
      <w:r>
        <w:rPr>
          <w:rFonts w:ascii="Times New Roman" w:hAnsi="Times New Roman" w:eastAsia="方正仿宋_GBK" w:cs="方正仿宋_GBK"/>
          <w:sz w:val="32"/>
          <w:szCs w:val="32"/>
          <w:shd w:val="clear" w:color="auto" w:fill="FFFFFF"/>
        </w:rPr>
        <w:t>。费用支出较年初预算数无增减，主要原因是年初预算未安排且本年未发生公务车购置费用。较上年支出数无增减，主要原因是上年和本年均未发生公务车购置费用。</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0.48</w:t>
      </w:r>
      <w:r>
        <w:rPr>
          <w:rFonts w:ascii="Times New Roman" w:hAnsi="Times New Roman" w:eastAsia="方正仿宋_GBK" w:cs="方正仿宋_GBK"/>
          <w:sz w:val="32"/>
          <w:szCs w:val="32"/>
          <w:shd w:val="clear" w:color="auto" w:fill="FFFFFF"/>
        </w:rPr>
        <w:t>万元，主要用于</w:t>
      </w:r>
      <w:r>
        <w:rPr>
          <w:rFonts w:ascii="Times New Roman" w:hAnsi="Times New Roman" w:eastAsia="方正仿宋_GBK" w:cs="方正仿宋_GBK"/>
          <w:sz w:val="32"/>
          <w:szCs w:val="32"/>
          <w:shd w:val="clear" w:color="auto" w:fill="FFFFFF"/>
          <w:lang w:bidi="ar"/>
        </w:rPr>
        <w:t>公务车加油、运行及维护</w:t>
      </w:r>
      <w:r>
        <w:rPr>
          <w:rFonts w:ascii="Times New Roman" w:hAnsi="Times New Roman" w:eastAsia="方正仿宋_GBK" w:cs="方正仿宋_GBK"/>
          <w:sz w:val="32"/>
          <w:szCs w:val="32"/>
          <w:shd w:val="clear" w:color="auto" w:fill="FFFFFF"/>
        </w:rPr>
        <w:t>。费用支出较年初预算数增加0.48万元，增长100.00%，主要原因是年初无公务车运行维护费预算，实际</w:t>
      </w:r>
      <w:r>
        <w:rPr>
          <w:rFonts w:ascii="Times New Roman" w:hAnsi="Times New Roman" w:eastAsia="方正仿宋_GBK" w:cs="方正仿宋_GBK"/>
          <w:sz w:val="32"/>
          <w:szCs w:val="32"/>
          <w:shd w:val="clear" w:color="auto" w:fill="FFFFFF"/>
          <w:lang w:bidi="ar"/>
        </w:rPr>
        <w:t>抑尘车运行维护支出产生费用</w:t>
      </w:r>
      <w:r>
        <w:rPr>
          <w:rFonts w:ascii="Times New Roman" w:hAnsi="Times New Roman" w:eastAsia="方正仿宋_GBK" w:cs="方正仿宋_GBK"/>
          <w:sz w:val="32"/>
          <w:szCs w:val="32"/>
          <w:shd w:val="clear" w:color="auto" w:fill="FFFFFF"/>
        </w:rPr>
        <w:t>。较上年支出数增加0.01万元，增长2.13%，主要原因是</w:t>
      </w:r>
      <w:r>
        <w:rPr>
          <w:rFonts w:ascii="Times New Roman" w:hAnsi="Times New Roman" w:eastAsia="方正仿宋_GBK" w:cs="方正仿宋_GBK"/>
          <w:sz w:val="32"/>
          <w:szCs w:val="32"/>
          <w:shd w:val="clear" w:color="auto" w:fill="FFFFFF"/>
          <w:lang w:bidi="ar"/>
        </w:rPr>
        <w:t>抑尘车运行维护增加</w:t>
      </w:r>
      <w:r>
        <w:rPr>
          <w:rFonts w:ascii="Times New Roman" w:hAnsi="Times New Roman" w:eastAsia="方正仿宋_GBK" w:cs="方正仿宋_GBK"/>
          <w:sz w:val="32"/>
          <w:szCs w:val="32"/>
          <w:shd w:val="clear" w:color="auto" w:fill="FFFFFF"/>
        </w:rPr>
        <w:t>。</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3.99</w:t>
      </w:r>
      <w:r>
        <w:rPr>
          <w:rFonts w:ascii="Times New Roman" w:hAnsi="Times New Roman"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lang w:bidi="ar"/>
        </w:rPr>
        <w:t>上级部门、其他区县及相关部门检查指导工作发生的接待支出。</w:t>
      </w:r>
      <w:r>
        <w:rPr>
          <w:rFonts w:ascii="Times New Roman" w:hAnsi="Times New Roman" w:eastAsia="方正仿宋_GBK" w:cs="方正仿宋_GBK"/>
          <w:sz w:val="32"/>
          <w:szCs w:val="32"/>
          <w:shd w:val="clear" w:color="auto" w:fill="FFFFFF"/>
        </w:rPr>
        <w:t>费用支出较年初预算数减少0.01万元，下降0.25%，主要原因是厉行节约。较上年支出数减少2.51万元，下降38.62%，主要原因是厉行节约。</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44</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475</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83.91</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0.48</w:t>
      </w:r>
      <w:r>
        <w:rPr>
          <w:rFonts w:ascii="Times New Roman" w:hAnsi="Times New Roman" w:eastAsia="方正仿宋_GBK" w:cs="方正仿宋_GBK"/>
          <w:sz w:val="32"/>
          <w:szCs w:val="32"/>
          <w:shd w:val="clear" w:color="auto" w:fill="FFFFFF"/>
        </w:rPr>
        <w:t>万元。</w:t>
      </w:r>
    </w:p>
    <w:p>
      <w:pPr>
        <w:pStyle w:val="6"/>
        <w:shd w:val="clear" w:color="auto"/>
        <w:adjustRightInd w:val="0"/>
        <w:snapToGrid w:val="0"/>
        <w:spacing w:before="0" w:beforeAutospacing="0" w:after="0" w:afterAutospacing="0" w:line="560" w:lineRule="exact"/>
        <w:ind w:firstLine="643" w:firstLineChars="200"/>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（一）财政拨款会议费和培训费情况说明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本年度会议费支出</w:t>
      </w:r>
      <w:r>
        <w:rPr>
          <w:rFonts w:ascii="Times New Roman" w:hAnsi="Times New Roman" w:eastAsia="方正仿宋_GBK" w:cs="方正仿宋_GBK"/>
          <w:sz w:val="32"/>
          <w:szCs w:val="32"/>
        </w:rPr>
        <w:t>0.29</w:t>
      </w:r>
      <w:r>
        <w:rPr>
          <w:rFonts w:ascii="Times New Roman" w:hAnsi="Times New Roman" w:eastAsia="方正仿宋_GBK" w:cs="方正仿宋_GBK"/>
          <w:sz w:val="32"/>
          <w:szCs w:val="32"/>
          <w:shd w:val="clear" w:color="auto" w:fill="FFFFFF"/>
        </w:rPr>
        <w:t>万元，与2023年度相比，减少0.45万元，下降60.81%，主要原因是厉行节约。本年度培训费支出</w:t>
      </w:r>
      <w:r>
        <w:rPr>
          <w:rFonts w:ascii="Times New Roman" w:hAnsi="Times New Roman" w:eastAsia="方正仿宋_GBK" w:cs="方正仿宋_GBK"/>
          <w:sz w:val="32"/>
          <w:szCs w:val="32"/>
        </w:rPr>
        <w:t>0.29</w:t>
      </w:r>
      <w:r>
        <w:rPr>
          <w:rFonts w:ascii="Times New Roman" w:hAnsi="Times New Roman" w:eastAsia="方正仿宋_GBK" w:cs="方正仿宋_GBK"/>
          <w:sz w:val="32"/>
          <w:szCs w:val="32"/>
          <w:shd w:val="clear" w:color="auto" w:fill="FFFFFF"/>
        </w:rPr>
        <w:t>万元，与2023年度相比，减少0.28万元，下降49.12%，主要原因是厉行节约。</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2024年度本单位机关运行经费支出</w:t>
      </w:r>
      <w:r>
        <w:rPr>
          <w:rFonts w:ascii="Times New Roman" w:hAnsi="Times New Roman" w:eastAsia="方正仿宋_GBK" w:cs="方正仿宋_GBK"/>
          <w:sz w:val="32"/>
          <w:szCs w:val="32"/>
        </w:rPr>
        <w:t>55.97</w:t>
      </w:r>
      <w:r>
        <w:rPr>
          <w:rFonts w:ascii="Times New Roman" w:hAnsi="Times New Roman" w:eastAsia="方正仿宋_GBK" w:cs="方正仿宋_GBK"/>
          <w:sz w:val="32"/>
          <w:szCs w:val="32"/>
          <w:shd w:val="clear" w:color="auto" w:fill="FFFFFF"/>
        </w:rPr>
        <w:t>万元，机关运行经费主要用于开支办公费、水电费、邮电费、公务接待费、培训费、工会经费、劳务费、其他交通费用等。机关运行经费较上年支出数减少9.88万元，下降15.00%，主要原因是厉行节约。</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  截至2024年12月31日，本单位共有车辆</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2024年度本单位政府采购支出总额</w:t>
      </w:r>
      <w:r>
        <w:rPr>
          <w:rFonts w:ascii="Times New Roman" w:hAnsi="Times New Roman" w:eastAsia="方正仿宋_GBK" w:cs="方正仿宋_GBK"/>
          <w:sz w:val="32"/>
          <w:szCs w:val="32"/>
        </w:rPr>
        <w:t>699.85</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699.85</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699.85万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 xml:space="preserve"> %。主要用于采购垫江县入河排污口规范化建设工程采购项目。</w:t>
      </w:r>
    </w:p>
    <w:p>
      <w:pPr>
        <w:pStyle w:val="6"/>
        <w:shd w:val="clear" w:color="auto"/>
        <w:adjustRightInd w:val="0"/>
        <w:snapToGrid w:val="0"/>
        <w:spacing w:before="0"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五、2024年度预算绩效管理情况说明</w:t>
      </w:r>
    </w:p>
    <w:p>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（一）单位自评情况</w:t>
      </w:r>
    </w:p>
    <w:p>
      <w:pPr>
        <w:pStyle w:val="12"/>
        <w:shd w:val="clear"/>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根据预算绩效管理要求，我单位对20个二级项目开展了绩效自评，涉及财政拨款项目支出资金</w:t>
      </w:r>
      <w:r>
        <w:rPr>
          <w:rFonts w:hint="eastAsia" w:ascii="Times New Roman" w:hAnsi="Times New Roman" w:eastAsia="方正仿宋_GBK" w:cs="仿宋_GB2312"/>
          <w:sz w:val="32"/>
          <w:szCs w:val="32"/>
        </w:rPr>
        <w:t>11519.83</w:t>
      </w:r>
      <w:r>
        <w:rPr>
          <w:rFonts w:hint="eastAsia" w:ascii="Times New Roman" w:hAnsi="Times New Roman" w:eastAsia="方正仿宋_GBK" w:cs="方正仿宋_GBK"/>
          <w:sz w:val="32"/>
          <w:szCs w:val="32"/>
          <w:shd w:val="clear" w:color="auto" w:fill="FFFFFF"/>
          <w:lang w:bidi="ar"/>
        </w:rPr>
        <w:t>万元。</w:t>
      </w:r>
    </w:p>
    <w:tbl>
      <w:tblPr>
        <w:tblStyle w:val="7"/>
        <w:tblW w:w="8985" w:type="dxa"/>
        <w:tblInd w:w="0" w:type="dxa"/>
        <w:tblLayout w:type="fixed"/>
        <w:tblCellMar>
          <w:top w:w="0" w:type="dxa"/>
          <w:left w:w="0" w:type="dxa"/>
          <w:bottom w:w="0" w:type="dxa"/>
          <w:right w:w="0" w:type="dxa"/>
        </w:tblCellMar>
      </w:tblPr>
      <w:tblGrid>
        <w:gridCol w:w="2283"/>
        <w:gridCol w:w="559"/>
        <w:gridCol w:w="601"/>
        <w:gridCol w:w="811"/>
        <w:gridCol w:w="703"/>
        <w:gridCol w:w="763"/>
        <w:gridCol w:w="790"/>
        <w:gridCol w:w="570"/>
        <w:gridCol w:w="702"/>
        <w:gridCol w:w="617"/>
        <w:gridCol w:w="586"/>
      </w:tblGrid>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2024年度二级项目绩效自评表</w:t>
            </w:r>
          </w:p>
        </w:tc>
      </w:tr>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1" w:firstLineChars="100"/>
              <w:jc w:val="right"/>
              <w:textAlignment w:val="center"/>
              <w:rPr>
                <w:rFonts w:hint="default" w:ascii="Times New Roman" w:hAnsi="Times New Roman" w:cs="宋体"/>
                <w:b/>
                <w:sz w:val="21"/>
                <w:szCs w:val="21"/>
              </w:rPr>
            </w:pPr>
            <w:r>
              <w:rPr>
                <w:rFonts w:ascii="Times New Roman" w:hAnsi="Times New Roman" w:cs="宋体"/>
                <w:b/>
                <w:sz w:val="21"/>
                <w:szCs w:val="21"/>
                <w:lang w:bidi="ar"/>
              </w:rPr>
              <w:t>状态：绩效审核已审</w:t>
            </w: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项名称：</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垫江县龙滩水库保护生态补偿</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项目编码：</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50023124T000003953611</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自评总分：</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rPr>
                <w:rFonts w:hint="default" w:ascii="Times New Roman" w:hAnsi="Times New Roman" w:cs="宋体"/>
                <w:b/>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项目主部门：</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202-垫江县生态环境局</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财政归口处室：</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005-经建科</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部门联系人：</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何川江</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联电话：</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74682180</w:t>
            </w:r>
          </w:p>
        </w:tc>
      </w:tr>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资金情况</w:t>
            </w:r>
          </w:p>
        </w:tc>
      </w:tr>
      <w:tr>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年初预算数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全年（调整）预算数</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全年执行数</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执行率权重</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执行率得分</w:t>
            </w:r>
          </w:p>
        </w:tc>
      </w:tr>
      <w:tr>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年度总金额</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其中：财政拨款</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10.00 </w:t>
            </w:r>
          </w:p>
        </w:tc>
      </w:tr>
      <w:tr>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一般公共预算</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绩效目标</w:t>
            </w:r>
          </w:p>
        </w:tc>
      </w:tr>
      <w:tr>
        <w:tblPrEx>
          <w:tblCellMar>
            <w:top w:w="0" w:type="dxa"/>
            <w:left w:w="0" w:type="dxa"/>
            <w:bottom w:w="0" w:type="dxa"/>
            <w:right w:w="0" w:type="dxa"/>
          </w:tblCellMar>
        </w:tblPrEx>
        <w:trPr>
          <w:cantSplit/>
          <w:trHeight w:val="23" w:hRule="atLeast"/>
        </w:trPr>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年初绩效目标</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全年（调整）绩效目标</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全年目标实际完成情况</w:t>
            </w:r>
          </w:p>
        </w:tc>
      </w:tr>
      <w:tr>
        <w:tblPrEx>
          <w:tblCellMar>
            <w:top w:w="0" w:type="dxa"/>
            <w:left w:w="0" w:type="dxa"/>
            <w:bottom w:w="0" w:type="dxa"/>
            <w:right w:w="0" w:type="dxa"/>
          </w:tblCellMar>
        </w:tblPrEx>
        <w:trPr>
          <w:cantSplit/>
          <w:trHeight w:val="23" w:hRule="atLeast"/>
        </w:trPr>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atLeast"/>
              <w:jc w:val="both"/>
              <w:textAlignment w:val="top"/>
              <w:rPr>
                <w:rFonts w:hint="default" w:ascii="Times New Roman" w:hAnsi="Times New Roman" w:cs="宋体"/>
                <w:sz w:val="21"/>
                <w:szCs w:val="21"/>
              </w:rPr>
            </w:pPr>
            <w:r>
              <w:rPr>
                <w:rFonts w:ascii="Times New Roman" w:hAnsi="Times New Roman" w:cs="宋体"/>
                <w:sz w:val="21"/>
                <w:szCs w:val="21"/>
                <w:lang w:bidi="ar"/>
              </w:rPr>
              <w:t>减少污染对龙滩水库水质影响，确保龙滩水库水质达到Ⅲ类。</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atLeast"/>
              <w:jc w:val="both"/>
              <w:rPr>
                <w:rFonts w:hint="default" w:ascii="Times New Roman" w:hAnsi="Times New Roman" w:cs="宋体"/>
                <w:sz w:val="21"/>
                <w:szCs w:val="21"/>
              </w:rPr>
            </w:pP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adjustRightInd w:val="0"/>
              <w:snapToGrid w:val="0"/>
              <w:spacing w:line="240" w:lineRule="atLeast"/>
              <w:jc w:val="both"/>
              <w:textAlignment w:val="top"/>
              <w:rPr>
                <w:rFonts w:hint="default" w:ascii="Times New Roman" w:hAnsi="Times New Roman" w:cs="宋体"/>
                <w:sz w:val="21"/>
                <w:szCs w:val="21"/>
              </w:rPr>
            </w:pPr>
            <w:r>
              <w:rPr>
                <w:rFonts w:ascii="Times New Roman" w:hAnsi="Times New Roman" w:cs="宋体"/>
                <w:sz w:val="21"/>
                <w:szCs w:val="21"/>
                <w:lang w:bidi="ar"/>
              </w:rPr>
              <w:t>龙滩水库水质稳定保持Ⅲ类。</w:t>
            </w:r>
          </w:p>
        </w:tc>
      </w:tr>
      <w:tr>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绩效指标</w:t>
            </w: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计量单位</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指标性质</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指标值</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全年完成值</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偏离度（%）</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得分系数（%）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指标权重</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指标得分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是否核心指标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说明</w:t>
            </w: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保护水库个数</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个</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是</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龙滩水库水质达标率</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补偿周期</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年</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8</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8</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提高龙滩水库水质，减少治水成本</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减少</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提高群众生态环保意识</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提高</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持续保障龙滩水库水质稳定达标</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长期</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污水处理范围群众满意度</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90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r>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龙滩水库跨区县生态补偿费用</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万元</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350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350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adjustRightInd w:val="0"/>
              <w:snapToGrid w:val="0"/>
              <w:spacing w:line="240" w:lineRule="atLeast"/>
              <w:jc w:val="both"/>
              <w:rPr>
                <w:rFonts w:hint="default" w:ascii="Times New Roman" w:hAnsi="Times New Roman" w:cs="宋体"/>
                <w:sz w:val="21"/>
                <w:szCs w:val="21"/>
              </w:rPr>
            </w:pPr>
          </w:p>
        </w:tc>
      </w:tr>
    </w:tbl>
    <w:p>
      <w:pPr>
        <w:pStyle w:val="12"/>
        <w:shd w:val="clear"/>
        <w:autoSpaceDE w:val="0"/>
        <w:spacing w:before="0" w:beforeAutospacing="0" w:line="600" w:lineRule="exact"/>
        <w:rPr>
          <w:rFonts w:ascii="Times New Roman" w:hAnsi="Times New Roman" w:eastAsia="方正仿宋_GBK" w:cs="方正仿宋_GBK"/>
          <w:sz w:val="32"/>
          <w:szCs w:val="32"/>
          <w:shd w:val="clear" w:color="auto" w:fill="FFFFFF"/>
        </w:rPr>
      </w:pPr>
    </w:p>
    <w:p>
      <w:pPr>
        <w:pStyle w:val="11"/>
        <w:shd w:val="clear"/>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（二）单位绩效评价情况</w:t>
      </w:r>
    </w:p>
    <w:p>
      <w:pPr>
        <w:pStyle w:val="11"/>
        <w:shd w:val="clear"/>
        <w:autoSpaceDE w:val="0"/>
        <w:spacing w:line="594"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我单位未组织开展绩效评价。</w:t>
      </w:r>
    </w:p>
    <w:p>
      <w:pPr>
        <w:pStyle w:val="11"/>
        <w:shd w:val="clear"/>
        <w:autoSpaceDE w:val="0"/>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（三）财政绩效评价情况</w:t>
      </w:r>
    </w:p>
    <w:p>
      <w:pPr>
        <w:shd w:val="clear"/>
        <w:overflowPunct w:val="0"/>
        <w:adjustRightInd w:val="0"/>
        <w:snapToGrid w:val="0"/>
        <w:spacing w:line="600" w:lineRule="exact"/>
        <w:ind w:firstLine="632" w:firstLineChars="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县财政局委托第三方对我单位</w:t>
      </w:r>
      <w:bookmarkStart w:id="0" w:name="_GoBack"/>
      <w:bookmarkEnd w:id="0"/>
      <w:r>
        <w:rPr>
          <w:rFonts w:hint="eastAsia" w:ascii="Times New Roman" w:hAnsi="Times New Roman" w:eastAsia="方正仿宋_GBK" w:cs="方正仿宋_GBK"/>
          <w:sz w:val="32"/>
          <w:szCs w:val="32"/>
          <w:shd w:val="clear" w:color="auto" w:fill="FFFFFF"/>
          <w:lang w:val="en-US" w:eastAsia="zh-CN" w:bidi="ar-SA"/>
        </w:rPr>
        <w:t>“垫江县农村生活污水处理设施运维服务项目”开展了重点绩效评价，涉及财政拨款项目资金</w:t>
      </w:r>
      <w:r>
        <w:rPr>
          <w:rFonts w:hint="default" w:ascii="Times New Roman" w:hAnsi="Times New Roman" w:eastAsia="方正仿宋_GBK" w:cs="方正仿宋_GBK"/>
          <w:sz w:val="32"/>
          <w:szCs w:val="32"/>
          <w:shd w:val="clear" w:color="auto" w:fill="FFFFFF"/>
          <w:lang w:val="en-US" w:eastAsia="zh-CN" w:bidi="ar-SA"/>
        </w:rPr>
        <w:t>100</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方正仿宋_GBK"/>
          <w:sz w:val="32"/>
          <w:szCs w:val="32"/>
          <w:shd w:val="clear" w:color="auto" w:fill="FFFFFF"/>
          <w:lang w:val="en-US" w:eastAsia="zh-CN" w:bidi="ar-SA"/>
        </w:rPr>
        <w:t>00</w:t>
      </w:r>
      <w:r>
        <w:rPr>
          <w:rFonts w:hint="eastAsia" w:ascii="Times New Roman" w:hAnsi="Times New Roman" w:eastAsia="方正仿宋_GBK" w:cs="方正仿宋_GBK"/>
          <w:sz w:val="32"/>
          <w:szCs w:val="32"/>
          <w:shd w:val="clear" w:color="auto" w:fill="FFFFFF"/>
          <w:lang w:val="en-US" w:eastAsia="zh-CN" w:bidi="ar-SA"/>
        </w:rPr>
        <w:t>万元，评价得分</w:t>
      </w:r>
      <w:r>
        <w:rPr>
          <w:rFonts w:hint="default" w:ascii="Times New Roman" w:hAnsi="Times New Roman" w:eastAsia="方正仿宋_GBK" w:cs="方正仿宋_GBK"/>
          <w:sz w:val="32"/>
          <w:szCs w:val="32"/>
          <w:shd w:val="clear" w:color="auto" w:fill="FFFFFF"/>
          <w:lang w:val="en-US" w:eastAsia="zh-CN" w:bidi="ar-SA"/>
        </w:rPr>
        <w:t>8</w:t>
      </w:r>
      <w:r>
        <w:rPr>
          <w:rFonts w:hint="eastAsia" w:ascii="Times New Roman" w:hAnsi="Times New Roman" w:eastAsia="方正仿宋_GBK" w:cs="方正仿宋_GBK"/>
          <w:sz w:val="32"/>
          <w:szCs w:val="32"/>
          <w:shd w:val="clear" w:color="auto" w:fill="FFFFFF"/>
          <w:lang w:val="en-US" w:eastAsia="zh-CN" w:bidi="ar-SA"/>
        </w:rPr>
        <w:t>3.</w:t>
      </w:r>
      <w:r>
        <w:rPr>
          <w:rFonts w:hint="default" w:ascii="Times New Roman" w:hAnsi="Times New Roman" w:eastAsia="方正仿宋_GBK" w:cs="方正仿宋_GBK"/>
          <w:sz w:val="32"/>
          <w:szCs w:val="32"/>
          <w:shd w:val="clear" w:color="auto" w:fill="FFFFFF"/>
          <w:lang w:val="en-US" w:eastAsia="zh-CN" w:bidi="ar-SA"/>
        </w:rPr>
        <w:t>30</w:t>
      </w:r>
      <w:r>
        <w:rPr>
          <w:rFonts w:hint="eastAsia" w:ascii="Times New Roman" w:hAnsi="Times New Roman" w:eastAsia="方正仿宋_GBK" w:cs="方正仿宋_GBK"/>
          <w:sz w:val="32"/>
          <w:szCs w:val="32"/>
          <w:shd w:val="clear" w:color="auto" w:fill="FFFFFF"/>
          <w:lang w:val="en-US" w:eastAsia="zh-CN" w:bidi="ar-SA"/>
        </w:rPr>
        <w:t>分，评价等次为“良”，绩效评价发现了“未制定运维计划，项目实施内容需进一步完善；绩效目标存在缺陷，绩效指标设置不规范；项目开展工作不到位，核实监测频率太低；运维服务费计算不合理，部分污水处理站不应计费”等主要问题，提出“（一）制定运维计划，完善项目管理流程；（二）完善项目绩效目标，优化绩效指标设置；（三）规范开展项目运行，增加核实检测频率；（四）扣减运维费用，关停部分污水处理站”等下一步工作建议。</w:t>
      </w:r>
    </w:p>
    <w:p>
      <w:pPr>
        <w:pStyle w:val="6"/>
        <w:shd w:val="clear" w:color="auto"/>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六、专业名词解释</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Fonts w:ascii="Times New Roman" w:hAnsi="Times New Roman" w:eastAsia="楷体" w:cs="楷体"/>
          <w:b/>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（二）事业收入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（三）经营收入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（四）其他收入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（五）使用非财政拨款结余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（六）年初结转和结余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（七）结余分配</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（八）年末结转和结余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指单位结转下年的基本支出结转、项目支出结转和结余、经营结余。</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（九）基本支出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（十）项目支出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（十一）经营支出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（十二）“三公”经费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（十三）机关运行经费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（十四）工资福利支出（支出经济分类科目类级）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（十五）商品和服务支出（支出经济分类科目类级）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 （十六）对个人和家庭的补助（支出经济分类科目类级）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反映用于对个人和家庭的补助支出。</w:t>
      </w:r>
    </w:p>
    <w:p>
      <w:pPr>
        <w:pStyle w:val="6"/>
        <w:shd w:val="clear"/>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（十七）其他资本性支出（支出经济分类科目类级）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七、决算公开联系方式及信息反馈渠道</w:t>
      </w:r>
    </w:p>
    <w:p>
      <w:pPr>
        <w:pStyle w:val="6"/>
        <w:shd w:val="clear"/>
        <w:spacing w:before="0" w:beforeAutospacing="0" w:after="0" w:afterAutospacing="0" w:line="594"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本单位决算公开信息反馈和联系方式：023-74688819</w:t>
      </w:r>
    </w:p>
    <w:p>
      <w:pPr>
        <w:pStyle w:val="6"/>
        <w:shd w:val="clear"/>
        <w:snapToGrid w:val="0"/>
        <w:spacing w:before="0" w:beforeAutospacing="0" w:after="0" w:afterAutospacing="0" w:line="600" w:lineRule="exact"/>
        <w:ind w:firstLine="643" w:firstLineChars="200"/>
        <w:jc w:val="both"/>
        <w:rPr>
          <w:rStyle w:val="10"/>
          <w:rFonts w:hint="default"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shd w:val="clear"/>
        <w:rPr>
          <w:rFonts w:hint="default" w:ascii="Times New Roman" w:hAnsi="Times New Roman" w:cs="宋体"/>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jc w:val="right"/>
              <w:rPr>
                <w:rFonts w:hint="default" w:ascii="Times New Roman" w:hAnsi="Times New Roman" w:cs="Arial"/>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公开01表</w:t>
            </w:r>
          </w:p>
        </w:tc>
      </w:tr>
      <w:tr>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2"/>
                <w:szCs w:val="22"/>
              </w:rPr>
            </w:pPr>
            <w:r>
              <w:rPr>
                <w:rFonts w:ascii="Times New Roman" w:hAnsi="Times New Roman" w:cs="宋体"/>
                <w:sz w:val="20"/>
                <w:szCs w:val="20"/>
              </w:rPr>
              <w:t>公开单位：</w:t>
            </w:r>
            <w:r>
              <w:rPr>
                <w:rFonts w:ascii="Times New Roman" w:hAnsi="Times New Roman"/>
                <w:sz w:val="20"/>
              </w:rPr>
              <w:t>垫江县生态环境局（本级）</w:t>
            </w:r>
          </w:p>
        </w:tc>
        <w:tc>
          <w:tcPr>
            <w:tcW w:w="4809"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11,329.12</w:t>
            </w: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103.90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40" w:lineRule="exact"/>
              <w:jc w:val="right"/>
              <w:rPr>
                <w:rFonts w:hint="default" w:ascii="Times New Roman" w:hAnsi="Times New Roman"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40" w:lineRule="exact"/>
              <w:jc w:val="right"/>
              <w:rPr>
                <w:rFonts w:hint="default" w:ascii="Times New Roman" w:hAnsi="Times New Roman"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11,784.47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40" w:lineRule="exact"/>
              <w:jc w:val="right"/>
              <w:rPr>
                <w:rFonts w:hint="default" w:ascii="Times New Roman" w:hAnsi="Times New Roman"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40" w:lineRule="exact"/>
              <w:jc w:val="right"/>
              <w:rPr>
                <w:rFonts w:hint="default" w:ascii="Times New Roman" w:hAnsi="Times New Roman"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rPr>
                <w:rFonts w:hint="default" w:ascii="Times New Roman" w:hAnsi="Times New Roman" w:cs="宋体"/>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rPr>
                <w:rFonts w:hint="default" w:ascii="Times New Roman" w:hAnsi="Times New Roman"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rPr>
                <w:rFonts w:hint="default" w:ascii="Times New Roman" w:hAnsi="Times New Roman"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11,329.12</w:t>
            </w: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11,922.82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597.36</w:t>
            </w:r>
            <w:r>
              <w:rPr>
                <w:rFonts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11,926.48</w:t>
            </w:r>
            <w:r>
              <w:rPr>
                <w:rFonts w:ascii="Times New Roman" w:hAnsi="Times New Roman"/>
                <w:color w:val="000000"/>
                <w:sz w:val="20"/>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11,926.48</w:t>
            </w:r>
            <w:r>
              <w:rPr>
                <w:rFonts w:ascii="Times New Roman" w:hAnsi="Times New Roman"/>
                <w:color w:val="000000"/>
                <w:sz w:val="20"/>
              </w:rPr>
              <w:t xml:space="preserve"> </w:t>
            </w:r>
          </w:p>
        </w:tc>
      </w:tr>
    </w:tbl>
    <w:p>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sz w:val="20"/>
              </w:rPr>
              <w:t>垫江县生态环境局（本级）</w:t>
            </w:r>
          </w:p>
        </w:tc>
        <w:tc>
          <w:tcPr>
            <w:tcW w:w="1233"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公开02表</w:t>
            </w:r>
          </w:p>
        </w:tc>
      </w:tr>
      <w:tr>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11,329.12</w:t>
            </w:r>
            <w:r>
              <w:rPr>
                <w:rFonts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11,329.12</w:t>
            </w:r>
            <w:r>
              <w:rPr>
                <w:rFonts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103.90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103.90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11,192.30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11,192.30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480.60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480.60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234.66</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234.66</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216.93</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216.93</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5,643.70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5,643.70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806.88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806.88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4,836.82</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4,836.82</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18.48</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18.48</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18.48</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18.48</w:t>
            </w:r>
            <w:r>
              <w:rPr>
                <w:rFonts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18.48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18.48</w:t>
            </w: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bl>
    <w:p>
      <w:pPr>
        <w:shd w:val="clea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0"/>
          <w:szCs w:val="20"/>
        </w:rPr>
      </w:pPr>
      <w:r>
        <w:rPr>
          <w:rFonts w:ascii="Times New Roman" w:hAnsi="Times New Roman"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2"/>
        <w:gridCol w:w="3355"/>
        <w:gridCol w:w="1701"/>
        <w:gridCol w:w="1701"/>
        <w:gridCol w:w="1701"/>
        <w:gridCol w:w="1685"/>
        <w:gridCol w:w="1685"/>
        <w:gridCol w:w="1748"/>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58" w:type="dxa"/>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 xml:space="preserve">垫江县生态环境局（本级） </w:t>
            </w:r>
          </w:p>
        </w:tc>
        <w:tc>
          <w:tcPr>
            <w:tcW w:w="1701"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48"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公开03表</w:t>
            </w:r>
          </w:p>
        </w:tc>
      </w:tr>
      <w:tr>
        <w:tblPrEx>
          <w:tblCellMar>
            <w:top w:w="0" w:type="dxa"/>
            <w:left w:w="0" w:type="dxa"/>
            <w:bottom w:w="0" w:type="dxa"/>
            <w:right w:w="0" w:type="dxa"/>
          </w:tblCellMar>
        </w:tblPrEx>
        <w:trPr>
          <w:trHeight w:val="342" w:hRule="atLeast"/>
        </w:trPr>
        <w:tc>
          <w:tcPr>
            <w:tcW w:w="6858" w:type="dxa"/>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48"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62" w:hRule="atLeast"/>
        </w:trPr>
        <w:tc>
          <w:tcPr>
            <w:tcW w:w="5157"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8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18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18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18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62" w:hRule="atLeast"/>
        </w:trPr>
        <w:tc>
          <w:tcPr>
            <w:tcW w:w="515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11,922.82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395.34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11,527.49</w:t>
            </w:r>
            <w:r>
              <w:rPr>
                <w:rFonts w:ascii="Times New Roman" w:hAnsi="Times New Roman"/>
                <w:b/>
                <w:color w:val="000000"/>
                <w:sz w:val="20"/>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103.90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103.83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11,784.47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257.05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11,527.42</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506.51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257.05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249.46</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254.95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254.95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20.15</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219.90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217.80</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6,209.96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6,209.96</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808.88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808.88</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5,154.44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5,154.44</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固体废弃物与化学品</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246.64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246.64</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8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bl>
    <w:p>
      <w:pPr>
        <w:shd w:val="clea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ascii="Times New Roman" w:hAnsi="Times New Roman" w:cs="宋体"/>
          <w:sz w:val="21"/>
          <w:szCs w:val="21"/>
        </w:rPr>
        <w:br w:type="page"/>
      </w:r>
    </w:p>
    <w:p>
      <w:pPr>
        <w:shd w:val="clear"/>
        <w:rPr>
          <w:rFonts w:hint="default" w:ascii="Times New Roman" w:hAnsi="Times New Roman"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hd w:val="clear"/>
              <w:spacing w:line="24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公开04表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11,329.12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103.90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103.90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14.44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14.44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11,784.47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11,784.47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20.02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20.02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11,329.12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593.70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593.70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11,922.82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bl>
    <w:p>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3319"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公开05表</w:t>
            </w:r>
          </w:p>
        </w:tc>
      </w:tr>
      <w:tr>
        <w:tblPrEx>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tblPrEx>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tblPrEx>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11,922.82</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395.34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11,527.49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103.90</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103.83</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0.07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0.07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70.30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27.01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13.58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29.72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33.53</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33.53</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14.44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14.44</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11,784.47</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257.05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11,527.42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506.51</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257.05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249.46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254.95</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254.95</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20.15</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20.15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219.90</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2.10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217.80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6,209.96</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6,209.96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808.88</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808.88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5,154.44</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5,154.44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固体废弃物与化学品</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246.64</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246.64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5,068.00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5,068.00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20.02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20.02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bl>
    <w:p>
      <w:pPr>
        <w:shd w:val="clear"/>
        <w:rPr>
          <w:rFonts w:hint="default"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hd w:val="clea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1923"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公开06表</w:t>
            </w:r>
          </w:p>
        </w:tc>
      </w:tr>
      <w:tr>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275.28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55.97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56.88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0.02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37.12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0.17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77.41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0.05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27.01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2.11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13.58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3.35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14.44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0.46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20.02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16.67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64.08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0.29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2.98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33.53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28.36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5.10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15.40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3.38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0.48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12.27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9.91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bottom"/>
              <w:rPr>
                <w:rFonts w:hint="default" w:ascii="Times New Roman" w:hAnsi="Times New Roman" w:cs="宋体"/>
                <w:color w:val="000000"/>
                <w:sz w:val="18"/>
                <w:szCs w:val="18"/>
              </w:rPr>
            </w:pPr>
            <w:r>
              <w:rPr>
                <w:rFonts w:ascii="Times New Roman" w:hAnsi="Times New Roman" w:cs="宋体"/>
                <w:color w:val="000000"/>
                <w:sz w:val="18"/>
                <w:szCs w:val="18"/>
              </w:rPr>
              <w:t>339.37</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55.97</w:t>
            </w:r>
            <w:r>
              <w:rPr>
                <w:rFonts w:ascii="Times New Roman" w:hAnsi="Times New Roman"/>
                <w:color w:val="000000"/>
                <w:sz w:val="18"/>
              </w:rPr>
              <w:t xml:space="preserve"> </w:t>
            </w:r>
          </w:p>
        </w:tc>
      </w:tr>
    </w:tbl>
    <w:p>
      <w:pPr>
        <w:shd w:val="clear"/>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公开07表</w:t>
            </w:r>
          </w:p>
        </w:tc>
      </w:tr>
      <w:tr>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both"/>
              <w:textAlignment w:val="center"/>
              <w:rPr>
                <w:rFonts w:hint="default" w:ascii="Times New Roman" w:hAnsi="Times New Roman" w:cs="宋体"/>
                <w:color w:val="000000"/>
                <w:sz w:val="20"/>
                <w:szCs w:val="20"/>
              </w:rPr>
            </w:pP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both"/>
              <w:textAlignment w:val="center"/>
              <w:rPr>
                <w:rFonts w:hint="default" w:ascii="Times New Roman" w:hAnsi="Times New Roman"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bl>
    <w:p>
      <w:pPr>
        <w:shd w:val="clear"/>
        <w:rPr>
          <w:rFonts w:hint="default" w:ascii="Times New Roman" w:hAnsi="Times New Roman" w:cs="宋体"/>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ascii="Times New Roman" w:hAnsi="Times New Roman"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公开08表</w:t>
            </w:r>
          </w:p>
        </w:tc>
      </w:tr>
      <w:tr>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right"/>
              <w:rPr>
                <w:rFonts w:hint="default" w:ascii="Times New Roman" w:hAnsi="Times New Roman"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8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p>
        </w:tc>
        <w:tc>
          <w:tcPr>
            <w:tcW w:w="3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right"/>
              <w:rPr>
                <w:rFonts w:hint="default" w:ascii="Times New Roman" w:hAnsi="Times New Roman"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 xml:space="preserve"> </w:t>
            </w:r>
          </w:p>
        </w:tc>
      </w:tr>
    </w:tbl>
    <w:p>
      <w:pPr>
        <w:shd w:val="clea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r>
        <w:rPr>
          <w:rFonts w:hint="default" w:ascii="Times New Roman" w:hAnsi="Times New Roman"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机构运行信息表</w:t>
            </w:r>
          </w:p>
        </w:tc>
      </w:tr>
      <w:tr>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center"/>
              <w:rPr>
                <w:rFonts w:hint="default" w:ascii="Times New Roman" w:hAnsi="Times New Roman" w:cs="宋体"/>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公开09表</w:t>
            </w:r>
          </w:p>
        </w:tc>
      </w:tr>
      <w:tr>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垫江县生态环境局（本级）</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决算数</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4.47</w:t>
            </w: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4.47</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55.97</w:t>
            </w: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55.97</w:t>
            </w: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0.48</w:t>
            </w: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0.48</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0.48</w:t>
            </w: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0.48</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w:t>
            </w: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3.99</w:t>
            </w:r>
            <w:r>
              <w:rPr>
                <w:rFonts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3.99</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3.99</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w:t>
            </w: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44</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699.85</w:t>
            </w: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475</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699.85</w:t>
            </w: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699.85</w:t>
            </w:r>
            <w:r>
              <w:rPr>
                <w:rFonts w:ascii="Times New Roman" w:hAnsi="Times New Roman"/>
                <w:color w:val="000000"/>
                <w:sz w:val="16"/>
              </w:rPr>
              <w:t xml:space="preserve"> </w:t>
            </w:r>
          </w:p>
        </w:tc>
      </w:tr>
      <w:tr>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0.29</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rPr>
                <w:rFonts w:hint="default" w:ascii="Times New Roman" w:hAnsi="Times New Roman" w:cs="宋体"/>
                <w:color w:val="000000"/>
                <w:sz w:val="16"/>
                <w:szCs w:val="16"/>
              </w:rPr>
            </w:pPr>
          </w:p>
        </w:tc>
      </w:tr>
      <w:tr>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0.29</w:t>
            </w:r>
            <w:r>
              <w:rPr>
                <w:rFonts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hd w:val="clear"/>
              <w:spacing w:line="200" w:lineRule="exact"/>
              <w:rPr>
                <w:rFonts w:hint="default" w:ascii="Times New Roman" w:hAnsi="Times New Roman"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00" w:lineRule="exact"/>
              <w:jc w:val="right"/>
              <w:rPr>
                <w:rFonts w:hint="default" w:ascii="Times New Roman" w:hAnsi="Times New Roman" w:cs="宋体"/>
                <w:color w:val="000000"/>
                <w:sz w:val="16"/>
                <w:szCs w:val="16"/>
              </w:rPr>
            </w:pPr>
          </w:p>
        </w:tc>
      </w:tr>
    </w:tbl>
    <w:p>
      <w:pPr>
        <w:shd w:val="clear"/>
        <w:rPr>
          <w:rFonts w:hint="default" w:ascii="Times New Roman" w:hAnsi="Times New Roman" w:cs="宋体"/>
          <w:sz w:val="21"/>
          <w:szCs w:val="21"/>
        </w:rPr>
      </w:pPr>
      <w:r>
        <w:rPr>
          <w:rFonts w:ascii="Times New Roman" w:hAnsi="Times New Roman"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156B7"/>
    <w:rsid w:val="000239C6"/>
    <w:rsid w:val="001D3BB7"/>
    <w:rsid w:val="002575A9"/>
    <w:rsid w:val="002B254B"/>
    <w:rsid w:val="00466C9B"/>
    <w:rsid w:val="00550ABE"/>
    <w:rsid w:val="00770383"/>
    <w:rsid w:val="007819D4"/>
    <w:rsid w:val="007B419D"/>
    <w:rsid w:val="007B7C4B"/>
    <w:rsid w:val="007D3D39"/>
    <w:rsid w:val="00826D75"/>
    <w:rsid w:val="00906C9C"/>
    <w:rsid w:val="00994AF7"/>
    <w:rsid w:val="009B67B8"/>
    <w:rsid w:val="009D2B67"/>
    <w:rsid w:val="00A566F9"/>
    <w:rsid w:val="00AF2751"/>
    <w:rsid w:val="00B03CCD"/>
    <w:rsid w:val="00B9239A"/>
    <w:rsid w:val="00BE2B89"/>
    <w:rsid w:val="00C10E9E"/>
    <w:rsid w:val="00C20C3E"/>
    <w:rsid w:val="00CD02CB"/>
    <w:rsid w:val="00CF2ACF"/>
    <w:rsid w:val="00F73F90"/>
    <w:rsid w:val="00FB4B3B"/>
    <w:rsid w:val="01474EBF"/>
    <w:rsid w:val="01F3521E"/>
    <w:rsid w:val="03B87EA0"/>
    <w:rsid w:val="03E3214F"/>
    <w:rsid w:val="044C50BA"/>
    <w:rsid w:val="05BC6D49"/>
    <w:rsid w:val="06194FF1"/>
    <w:rsid w:val="06A2550B"/>
    <w:rsid w:val="06F80EE2"/>
    <w:rsid w:val="07001CCA"/>
    <w:rsid w:val="075678DB"/>
    <w:rsid w:val="078E47BA"/>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4B235C"/>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27359"/>
    <w:rsid w:val="1B6F15B6"/>
    <w:rsid w:val="1BAA2EDC"/>
    <w:rsid w:val="1CA55E64"/>
    <w:rsid w:val="1D014A01"/>
    <w:rsid w:val="1D022362"/>
    <w:rsid w:val="1D1B04B0"/>
    <w:rsid w:val="1DA52501"/>
    <w:rsid w:val="1DAD25F1"/>
    <w:rsid w:val="1DBD6767"/>
    <w:rsid w:val="1DC52125"/>
    <w:rsid w:val="1DC905EA"/>
    <w:rsid w:val="1DD26311"/>
    <w:rsid w:val="1E374ACB"/>
    <w:rsid w:val="1ECF0A66"/>
    <w:rsid w:val="1EF67CA4"/>
    <w:rsid w:val="1F020D3A"/>
    <w:rsid w:val="1F2C5189"/>
    <w:rsid w:val="1F4B0B02"/>
    <w:rsid w:val="1F523404"/>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7D7786"/>
    <w:rsid w:val="36C9128A"/>
    <w:rsid w:val="375423B5"/>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4E3061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3C513D"/>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BD6CC3"/>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604DDC"/>
    <w:rsid w:val="768A7619"/>
    <w:rsid w:val="772E1EBA"/>
    <w:rsid w:val="773F4A73"/>
    <w:rsid w:val="77CD02EB"/>
    <w:rsid w:val="78187757"/>
    <w:rsid w:val="781926BC"/>
    <w:rsid w:val="796D60A4"/>
    <w:rsid w:val="79A031D5"/>
    <w:rsid w:val="7A1525F7"/>
    <w:rsid w:val="7B420052"/>
    <w:rsid w:val="7BD06A28"/>
    <w:rsid w:val="7C3A7C0B"/>
    <w:rsid w:val="7C5248E4"/>
    <w:rsid w:val="7C566698"/>
    <w:rsid w:val="7C5866A3"/>
    <w:rsid w:val="7D7406BB"/>
    <w:rsid w:val="7DE94331"/>
    <w:rsid w:val="7DF565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2548</Words>
  <Characters>14529</Characters>
  <Lines>121</Lines>
  <Paragraphs>34</Paragraphs>
  <TotalTime>3</TotalTime>
  <ScaleCrop>false</ScaleCrop>
  <LinksUpToDate>false</LinksUpToDate>
  <CharactersWithSpaces>17043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2025-09-15T06:53:11Z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