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spacing w:before="0" w:beforeAutospacing="0" w:after="0" w:afterAutospacing="0" w:line="600"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垫江县生态环境监测站</w:t>
      </w:r>
    </w:p>
    <w:p>
      <w:pPr>
        <w:pStyle w:val="6"/>
        <w:shd w:val="clear"/>
        <w:spacing w:before="0" w:beforeAutospacing="0" w:after="0" w:afterAutospacing="0" w:line="600" w:lineRule="exact"/>
        <w:jc w:val="center"/>
        <w:rPr>
          <w:rStyle w:val="10"/>
          <w:rFonts w:hint="default" w:ascii="Times New Roman" w:hAnsi="Times New Roman" w:eastAsia="黑体" w:cs="黑体"/>
          <w:sz w:val="32"/>
          <w:szCs w:val="32"/>
          <w:shd w:val="clear" w:color="auto" w:fill="FFFFFF"/>
        </w:rPr>
      </w:pPr>
      <w:r>
        <w:rPr>
          <w:rFonts w:ascii="Times New Roman" w:hAnsi="Times New Roman" w:eastAsia="方正小标宋_GBK" w:cs="方正小标宋_GBK"/>
          <w:sz w:val="44"/>
          <w:szCs w:val="44"/>
          <w:shd w:val="clear" w:color="auto" w:fill="FFFFFF"/>
        </w:rPr>
        <w:t>2024年度决算公开说明</w:t>
      </w:r>
    </w:p>
    <w:p>
      <w:pPr>
        <w:pStyle w:val="6"/>
        <w:shd w:val="clear" w:color="auto"/>
        <w:spacing w:beforeAutospacing="0" w:after="0" w:afterAutospacing="0" w:line="580" w:lineRule="exact"/>
        <w:ind w:firstLine="643" w:firstLineChars="200"/>
        <w:rPr>
          <w:rFonts w:hint="default" w:ascii="Times New Roman" w:hAnsi="Times New Roman" w:eastAsia="黑体" w:cs="黑体"/>
          <w:sz w:val="32"/>
          <w:szCs w:val="32"/>
        </w:rPr>
      </w:pPr>
      <w:r>
        <w:rPr>
          <w:rStyle w:val="10"/>
          <w:rFonts w:ascii="Times New Roman" w:hAnsi="Times New Roman" w:eastAsia="黑体" w:cs="黑体"/>
          <w:sz w:val="32"/>
          <w:szCs w:val="32"/>
          <w:shd w:val="clear" w:color="auto" w:fill="FFFFFF"/>
        </w:rPr>
        <w:t>一、单位基本情况</w:t>
      </w:r>
    </w:p>
    <w:p>
      <w:pPr>
        <w:pStyle w:val="6"/>
        <w:shd w:val="clear"/>
        <w:spacing w:before="0" w:beforeAutospacing="0" w:after="0" w:afterAutospacing="0" w:line="580" w:lineRule="exact"/>
        <w:ind w:firstLine="643" w:firstLineChars="200"/>
        <w:rPr>
          <w:rFonts w:hint="default" w:ascii="Times New Roman" w:hAnsi="Times New Roman" w:eastAsia="方正楷体_GBK" w:cs="方正楷体_GBK"/>
          <w:b/>
          <w:bCs/>
          <w:sz w:val="32"/>
          <w:szCs w:val="32"/>
          <w:shd w:val="clear" w:color="auto" w:fill="FFFFFF"/>
        </w:rPr>
      </w:pPr>
      <w:r>
        <w:rPr>
          <w:rFonts w:ascii="Times New Roman" w:hAnsi="Times New Roman" w:eastAsia="方正楷体_GBK" w:cs="方正楷体_GBK"/>
          <w:b/>
          <w:bCs/>
          <w:sz w:val="32"/>
          <w:szCs w:val="32"/>
          <w:shd w:val="clear" w:color="auto" w:fill="FFFFFF"/>
        </w:rPr>
        <w:t>（一）职能职责</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办公室：负责文秘、文电、会务、考勤考核、后勤等工作；负责办公用品申报购置、仪器设备购置申请计划、现场采样和实验室分析所需药品、耗材、试剂、标准物质和劳保用品协调采购；建立合格供应商档案；负责监测报告发放登记和客户满意度调查等工作。</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综合技术室：负责环境质量监测和污染源监测的工作计划和总结；负责催办、督办监测工作完成进度，汇总监测记录；负责环境质量监测数据和污染源监测数据填报、传输和发布；负责本站信息系统建设、运行维护和管理工作；牵头组织开展企业自行监测工作业务指导和数据审核工作；负责涉及监测领域的新闻采访、政务信息及网络信息发布等工作；负责向环保局其它科室及其它有需求的政府部门提供相关监测数据；牵头组织开展质量报告书、污染源排污状况报告编制工作；负责全县环境统计技术工作，承担全县环境统计技术工作；配合市环保局指定的维护空气自动站的技术公司做好空气自动站的检查、管理工作。</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质量管理室：负责组织开展能力认证持证上岗申报和资质认证申报、质量管理体系的修订、宣传贯彻及培训工作；负责制定年度质量管理计划和总结；负责组织开展各类质量活动；负责标准、技术规范的查找更新、购买及质量管理档案工作；负责质控考核、比对、方法验证、质量监督、量值溯源及量值传递等质量保证工作；组织实施仪器设备检定/校准工作，负责标准物质管理；牵头应对所有质量考核工作；负责实验室分析和现场采样记录报告质控审核；牵头负责对监测报告的投诉和申诉处置工作；负责管理县生态环境监测站CMA印章等工作。</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分析室：负责组织接收委托送样样品；负责各类实验室项目原始记录收集；负责实验室各类仪器设备管理、期间核查、维护、联系维修及实验室各项安全管理工作；负责提交实验室仪器设备检定计划、药品（标液）、试剂、耗材及设备的采购申请计划，验收、入库及管理工作；组织开展新进仪器设备使用培训工作；负责易制毒药品和剧毒药品采购、验收和管理；负责新进设备建档工作；负责实验室日常清洁及人员值班、样品留置、处置工作；负责组织开展环境科研工作。</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监测室：负责组织涉及现场采样、现场项目监测及样品采集与样品运输领域相关工作，及时编写监测报告或分析结果报告；负责仪器设备、耗材及药品等购置计划、申请及验收工作；负责现场设备的期间核查及提出仪器设备检定计划，开展仪器设备维护和维修工作；负责新进设备建档工作，协助做好方法变更及验证工作；组织开展涉及现场仪器设备使用培训；负责自动在线监测设备的比对等工作；负责编制本站突发性环境污染事件应急监测预案；负责突发应急监测制定监测方案。</w:t>
      </w:r>
    </w:p>
    <w:p>
      <w:pPr>
        <w:pStyle w:val="6"/>
        <w:shd w:val="clear"/>
        <w:spacing w:before="0" w:beforeAutospacing="0" w:after="0" w:afterAutospacing="0" w:line="580" w:lineRule="exact"/>
        <w:ind w:firstLine="643" w:firstLineChars="200"/>
        <w:rPr>
          <w:rFonts w:hint="default" w:ascii="Times New Roman" w:hAnsi="Times New Roman" w:eastAsia="方正楷体_GBK" w:cs="方正楷体_GBK"/>
          <w:b/>
          <w:bCs/>
          <w:sz w:val="32"/>
          <w:szCs w:val="32"/>
          <w:shd w:val="clear" w:color="auto" w:fill="FFFFFF"/>
        </w:rPr>
      </w:pPr>
      <w:r>
        <w:rPr>
          <w:rFonts w:ascii="Times New Roman" w:hAnsi="Times New Roman" w:eastAsia="方正楷体_GBK" w:cs="方正楷体_GBK"/>
          <w:b/>
          <w:bCs/>
          <w:sz w:val="32"/>
          <w:szCs w:val="32"/>
          <w:shd w:val="clear" w:color="auto" w:fill="FFFFFF"/>
        </w:rPr>
        <w:t>（二）机构设置</w:t>
      </w:r>
    </w:p>
    <w:p>
      <w:pPr>
        <w:pStyle w:val="6"/>
        <w:shd w:val="clear" w:color="auto"/>
        <w:spacing w:beforeAutospacing="0" w:after="0" w:afterAutospacing="0" w:line="58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本单位内设机构办公室、综合技术室、质量管理室、分析室、监测室，各核定内设机构领导职数1名。至此，核定县生态环境监测站站长职数1名、副站长职数2名，内设机构领导职数5名。</w:t>
      </w:r>
    </w:p>
    <w:p>
      <w:pPr>
        <w:pStyle w:val="6"/>
        <w:shd w:val="clear" w:color="auto"/>
        <w:spacing w:beforeAutospacing="0" w:after="0" w:afterAutospacing="0" w:line="58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黑体" w:cs="黑体"/>
          <w:sz w:val="32"/>
          <w:szCs w:val="32"/>
          <w:shd w:val="clear" w:color="auto" w:fill="FFFFFF"/>
        </w:rPr>
        <w:t>二、单位决算收支情况说明</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pPr>
        <w:pStyle w:val="6"/>
        <w:shd w:val="clear" w:color="auto"/>
        <w:spacing w:beforeAutospacing="0" w:after="0" w:afterAutospacing="0" w:line="58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2024年度收入总计1064.69万元，支出总计</w:t>
      </w:r>
      <w:r>
        <w:rPr>
          <w:rFonts w:ascii="Times New Roman" w:hAnsi="Times New Roman" w:eastAsia="方正仿宋_GBK" w:cs="方正仿宋_GBK"/>
          <w:sz w:val="32"/>
          <w:szCs w:val="32"/>
        </w:rPr>
        <w:t>1064.69</w:t>
      </w:r>
      <w:r>
        <w:rPr>
          <w:rFonts w:ascii="Times New Roman" w:hAnsi="Times New Roman" w:eastAsia="方正仿宋_GBK" w:cs="方正仿宋_GBK"/>
          <w:sz w:val="32"/>
          <w:szCs w:val="32"/>
          <w:shd w:val="clear" w:color="auto" w:fill="FFFFFF"/>
        </w:rPr>
        <w:t>万元。收、支与2023年度相比，减少20.58万元，下降1.90%，主要原因是本年度有人员减少。</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2024年度收入合计1034.23万元，与2023年度相比，减少41.75万元，下降3.88%，主要原因是本年度有人员减少。其中：财政拨款收入</w:t>
      </w:r>
      <w:r>
        <w:rPr>
          <w:rFonts w:ascii="Times New Roman" w:hAnsi="Times New Roman" w:eastAsia="方正仿宋_GBK" w:cs="方正仿宋_GBK"/>
          <w:sz w:val="32"/>
          <w:szCs w:val="32"/>
        </w:rPr>
        <w:t>1010.22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97.68</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24.02</w:t>
      </w:r>
      <w:r>
        <w:rPr>
          <w:rFonts w:ascii="Times New Roman" w:hAnsi="Times New Roman" w:eastAsia="方正仿宋_GBK" w:cs="方正仿宋_GBK"/>
          <w:sz w:val="32"/>
          <w:szCs w:val="32"/>
          <w:shd w:val="clear" w:color="auto" w:fill="FFFFFF"/>
        </w:rPr>
        <w:t>万元，占2.32%。此外，使用非财政拨款结余和专用结余</w:t>
      </w:r>
      <w:r>
        <w:rPr>
          <w:rFonts w:ascii="Times New Roman" w:hAnsi="Times New Roman" w:eastAsia="方正仿宋_GBK" w:cs="方正仿宋_GBK"/>
          <w:sz w:val="32"/>
          <w:szCs w:val="32"/>
        </w:rPr>
        <w:t>3.59</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26.87</w:t>
      </w:r>
      <w:r>
        <w:rPr>
          <w:rFonts w:ascii="Times New Roman" w:hAnsi="Times New Roman" w:eastAsia="方正仿宋_GBK" w:cs="方正仿宋_GBK"/>
          <w:sz w:val="32"/>
          <w:szCs w:val="32"/>
          <w:shd w:val="clear" w:color="auto" w:fill="FFFFFF"/>
        </w:rPr>
        <w:t>万元。</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1056.35</w:t>
      </w:r>
      <w:r>
        <w:rPr>
          <w:rFonts w:ascii="Times New Roman" w:hAnsi="Times New Roman" w:eastAsia="方正仿宋_GBK" w:cs="方正仿宋_GBK"/>
          <w:sz w:val="32"/>
          <w:szCs w:val="32"/>
          <w:shd w:val="clear" w:color="auto" w:fill="FFFFFF"/>
        </w:rPr>
        <w:t>万元，与2023年度相比，减少26.74万元，下降2.47%，主要原因是本年度有人员减少。其中：基本支出</w:t>
      </w:r>
      <w:r>
        <w:rPr>
          <w:rFonts w:ascii="Times New Roman" w:hAnsi="Times New Roman" w:eastAsia="方正仿宋_GBK" w:cs="方正仿宋_GBK"/>
          <w:sz w:val="32"/>
          <w:szCs w:val="32"/>
        </w:rPr>
        <w:t>894.24</w:t>
      </w:r>
      <w:r>
        <w:rPr>
          <w:rFonts w:ascii="Times New Roman" w:hAnsi="Times New Roman" w:eastAsia="方正仿宋_GBK" w:cs="方正仿宋_GBK"/>
          <w:sz w:val="32"/>
          <w:szCs w:val="32"/>
          <w:shd w:val="clear" w:color="auto" w:fill="FFFFFF"/>
        </w:rPr>
        <w:t>万元，占84.65%；项目支出</w:t>
      </w:r>
      <w:r>
        <w:rPr>
          <w:rFonts w:ascii="Times New Roman" w:hAnsi="Times New Roman" w:eastAsia="方正仿宋_GBK" w:cs="方正仿宋_GBK"/>
          <w:sz w:val="32"/>
          <w:szCs w:val="32"/>
        </w:rPr>
        <w:t>162.11</w:t>
      </w:r>
      <w:r>
        <w:rPr>
          <w:rFonts w:ascii="Times New Roman" w:hAnsi="Times New Roman" w:eastAsia="方正仿宋_GBK" w:cs="方正仿宋_GBK"/>
          <w:sz w:val="32"/>
          <w:szCs w:val="32"/>
          <w:shd w:val="clear" w:color="auto" w:fill="FFFFFF"/>
        </w:rPr>
        <w:t>万元，占15.35%；经营支出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8.35</w:t>
      </w:r>
      <w:r>
        <w:rPr>
          <w:rFonts w:ascii="Times New Roman" w:hAnsi="Times New Roman" w:eastAsia="方正仿宋_GBK" w:cs="方正仿宋_GBK"/>
          <w:sz w:val="32"/>
          <w:szCs w:val="32"/>
          <w:shd w:val="clear" w:color="auto" w:fill="FFFFFF"/>
        </w:rPr>
        <w:t>万元，与2023年度相比，增加6.18万元，增长284.79%，主要原因是上年结转结余资金在本年支付。</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2024年度财政拨款收、支总计1036.94万元。与2023年相比，财政拨款收、支总计各减少8.46万元，下降0.81%。主要原因是本年度有人员减少。</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1010.22</w:t>
      </w:r>
      <w:r>
        <w:rPr>
          <w:rFonts w:ascii="Times New Roman" w:hAnsi="Times New Roman" w:eastAsia="方正仿宋_GBK" w:cs="方正仿宋_GBK"/>
          <w:sz w:val="32"/>
          <w:szCs w:val="32"/>
          <w:shd w:val="clear" w:color="auto" w:fill="FFFFFF"/>
        </w:rPr>
        <w:t>万元，与2023年度相比，减少35.18万元，下降3.37%。主要原因是本年度有人员减少。较年初预算数增加124.37万元，增长14.04%。主要原因是市级补助监测事权上收经费及补缴以往年度社保。此外，年初财政拨款结转和结余</w:t>
      </w:r>
      <w:r>
        <w:rPr>
          <w:rFonts w:ascii="Times New Roman" w:hAnsi="Times New Roman" w:eastAsia="方正仿宋_GBK" w:cs="方正仿宋_GBK"/>
          <w:sz w:val="32"/>
          <w:szCs w:val="32"/>
        </w:rPr>
        <w:t>26.73</w:t>
      </w:r>
      <w:r>
        <w:rPr>
          <w:rFonts w:ascii="Times New Roman" w:hAnsi="Times New Roman" w:eastAsia="方正仿宋_GBK" w:cs="方正仿宋_GBK"/>
          <w:sz w:val="32"/>
          <w:szCs w:val="32"/>
          <w:shd w:val="clear" w:color="auto" w:fill="FFFFFF"/>
        </w:rPr>
        <w:t>万元。</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1036.94</w:t>
      </w:r>
      <w:r>
        <w:rPr>
          <w:rFonts w:ascii="Times New Roman" w:hAnsi="Times New Roman" w:eastAsia="方正仿宋_GBK" w:cs="方正仿宋_GBK"/>
          <w:sz w:val="32"/>
          <w:szCs w:val="32"/>
          <w:shd w:val="clear" w:color="auto" w:fill="FFFFFF"/>
        </w:rPr>
        <w:t>万元，与2023年度相比，减少6.42万元，下降0.62%。主要原因是本年度有人员减少。较年初预算数增加151.09万元，增长17.06%。主要原因是市级补助监测事权上收经费及补缴以往年度社保。</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万元，与2023年度相比，减少2.03万元，下降100.00%，主要原因是本年度无结转结余。</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xml:space="preserve"> 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0.49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0.05</w:t>
      </w:r>
      <w:r>
        <w:rPr>
          <w:rFonts w:ascii="Times New Roman" w:hAnsi="Times New Roman" w:eastAsia="方正仿宋_GBK" w:cs="方正仿宋_GBK"/>
          <w:sz w:val="32"/>
          <w:szCs w:val="32"/>
          <w:shd w:val="clear" w:color="auto" w:fill="FFFFFF"/>
        </w:rPr>
        <w:t>%，较年初预算数减少1.87万元，下降79.24%，主要原因是单位人员培训减少。</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173.97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16.78</w:t>
      </w:r>
      <w:r>
        <w:rPr>
          <w:rFonts w:ascii="Times New Roman" w:hAnsi="Times New Roman" w:eastAsia="方正仿宋_GBK" w:cs="方正仿宋_GBK"/>
          <w:sz w:val="32"/>
          <w:szCs w:val="32"/>
          <w:shd w:val="clear" w:color="auto" w:fill="FFFFFF"/>
        </w:rPr>
        <w:t>%，较年初预算数增加89.23万元，增长105.30%，主要原因是补缴以往年度社保。</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29.48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2.84</w:t>
      </w:r>
      <w:r>
        <w:rPr>
          <w:rFonts w:ascii="Times New Roman" w:hAnsi="Times New Roman" w:eastAsia="方正仿宋_GBK" w:cs="方正仿宋_GBK"/>
          <w:sz w:val="32"/>
          <w:szCs w:val="32"/>
          <w:shd w:val="clear" w:color="auto" w:fill="FFFFFF"/>
        </w:rPr>
        <w:t>%，较年初预算数减少2.25万元，下降7.09%，主要原因是人员减少。</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（4）节能环保支出</w:t>
      </w:r>
      <w:r>
        <w:rPr>
          <w:rFonts w:ascii="Times New Roman" w:hAnsi="Times New Roman" w:eastAsia="方正仿宋_GBK" w:cs="方正仿宋_GBK"/>
          <w:sz w:val="32"/>
          <w:szCs w:val="32"/>
        </w:rPr>
        <w:t>772.82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74.53</w:t>
      </w:r>
      <w:r>
        <w:rPr>
          <w:rFonts w:ascii="Times New Roman" w:hAnsi="Times New Roman" w:eastAsia="方正仿宋_GBK" w:cs="方正仿宋_GBK"/>
          <w:sz w:val="32"/>
          <w:szCs w:val="32"/>
          <w:shd w:val="clear" w:color="auto" w:fill="FFFFFF"/>
        </w:rPr>
        <w:t>%，较年初预算数增加43.88万元，增长6.02%，主要原因是市级补助监测事权上收经费。</w:t>
      </w:r>
    </w:p>
    <w:p>
      <w:pPr>
        <w:shd w:val="clear"/>
        <w:spacing w:line="580" w:lineRule="exact"/>
        <w:ind w:firstLine="640" w:firstLineChars="200"/>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（5）</w:t>
      </w:r>
      <w:r>
        <w:rPr>
          <w:rFonts w:ascii="Times New Roman" w:hAnsi="Times New Roman" w:eastAsia="方正仿宋_GBK" w:cs="方正仿宋_GBK"/>
          <w:sz w:val="32"/>
          <w:szCs w:val="32"/>
        </w:rPr>
        <w:t>住房保障支出60.18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5.80</w:t>
      </w:r>
      <w:r>
        <w:rPr>
          <w:rFonts w:ascii="Times New Roman" w:hAnsi="Times New Roman" w:eastAsia="方正仿宋_GBK" w:cs="方正仿宋_GBK"/>
          <w:sz w:val="32"/>
          <w:szCs w:val="32"/>
          <w:shd w:val="clear" w:color="auto" w:fill="FFFFFF"/>
        </w:rPr>
        <w:t>%，较年初预算数增加22.10万元，增长58.04%，主要原因是公积金基数调整。</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2024年度一般公共财政拨款基本支出</w:t>
      </w:r>
      <w:r>
        <w:rPr>
          <w:rFonts w:ascii="Times New Roman" w:hAnsi="Times New Roman" w:eastAsia="方正仿宋_GBK" w:cs="方正仿宋_GBK"/>
          <w:sz w:val="32"/>
          <w:szCs w:val="32"/>
        </w:rPr>
        <w:t>890.65</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833.98</w:t>
      </w:r>
      <w:r>
        <w:rPr>
          <w:rFonts w:ascii="Times New Roman" w:hAnsi="Times New Roman" w:eastAsia="方正仿宋_GBK" w:cs="方正仿宋_GBK"/>
          <w:sz w:val="32"/>
          <w:szCs w:val="32"/>
          <w:shd w:val="clear" w:color="auto" w:fill="FFFFFF"/>
        </w:rPr>
        <w:t>万元，与2023年度相比，增加14.87万元，增长1.82%，主要原因是补缴以往年度社保</w:t>
      </w:r>
      <w:r>
        <w:rPr>
          <w:rFonts w:ascii="Times New Roman" w:hAnsi="Times New Roman" w:eastAsia="方正仿宋_GBK" w:cs="方正仿宋_GBK"/>
          <w:color w:val="FF0000"/>
          <w:sz w:val="32"/>
          <w:szCs w:val="32"/>
          <w:shd w:val="clear" w:color="auto" w:fill="FFFFFF"/>
        </w:rPr>
        <w:t>。</w:t>
      </w:r>
      <w:r>
        <w:rPr>
          <w:rFonts w:ascii="Times New Roman" w:hAnsi="Times New Roman" w:eastAsia="方正仿宋_GBK" w:cs="方正仿宋_GBK"/>
          <w:sz w:val="32"/>
          <w:szCs w:val="32"/>
          <w:shd w:val="clear" w:color="auto" w:fill="FFFFFF"/>
        </w:rPr>
        <w:t>人员经费用途主要包括基本工资、津贴补贴、奖金、社会保障缴费、绩效工资、住房公积金、医疗费等。公用经费</w:t>
      </w:r>
      <w:r>
        <w:rPr>
          <w:rFonts w:ascii="Times New Roman" w:hAnsi="Times New Roman" w:eastAsia="方正仿宋_GBK" w:cs="方正仿宋_GBK"/>
          <w:sz w:val="32"/>
          <w:szCs w:val="32"/>
        </w:rPr>
        <w:t>56.67</w:t>
      </w:r>
      <w:r>
        <w:rPr>
          <w:rFonts w:ascii="Times New Roman" w:hAnsi="Times New Roman" w:eastAsia="方正仿宋_GBK" w:cs="方正仿宋_GBK"/>
          <w:sz w:val="32"/>
          <w:szCs w:val="32"/>
          <w:shd w:val="clear" w:color="auto" w:fill="FFFFFF"/>
        </w:rPr>
        <w:t>万元，与2023年度相比，减少27.98万元，下降33.05%，主要原因是厉行节约。公用经费用途主要包括办公费、水电费、邮电费、公务接待费、培训费、工会经费、劳务费、其他交通费用等。</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2024年度国有资本经营预算财政拨本年支出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万元，基本支出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万元，项目支出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年度无国有资本经营预算财政拨款支出。</w:t>
      </w:r>
    </w:p>
    <w:p>
      <w:pPr>
        <w:pStyle w:val="6"/>
        <w:shd w:val="clear" w:color="auto"/>
        <w:spacing w:beforeAutospacing="0" w:after="0" w:afterAutospacing="0" w:line="58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三、财政拨款“三公”经费情况说明</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3.64</w:t>
      </w:r>
      <w:r>
        <w:rPr>
          <w:rFonts w:ascii="Times New Roman" w:hAnsi="Times New Roman" w:eastAsia="方正仿宋_GBK" w:cs="方正仿宋_GBK"/>
          <w:sz w:val="32"/>
          <w:szCs w:val="32"/>
          <w:shd w:val="clear" w:color="auto" w:fill="FFFFFF"/>
        </w:rPr>
        <w:t>万元，较年初预算数减少0.76万元，下降17.27%，主要原因是厉行节约。较上年支出数减少5.33万元，下降59.42%，主要原因是厉行节约。</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pPr>
        <w:shd w:val="clear"/>
        <w:spacing w:line="580" w:lineRule="exact"/>
        <w:ind w:firstLine="640" w:firstLineChars="200"/>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万元，主要是用于安排因公出国（境）费用，费用支出较年初预算数无增减，主要原因是本年未发生因公出国（境）费用。较上年支出数无增减，主要原因是上年和本年均未发生因公出国（境）费用。</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万元，主要用于购置公务用车，费用支出较年初预算数无增减，主要原因是未购置公务车。较上年支出数无增减，主要原因是本年和上年均未购置公务车。</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3.00</w:t>
      </w:r>
      <w:r>
        <w:rPr>
          <w:rFonts w:ascii="Times New Roman" w:hAnsi="Times New Roman" w:eastAsia="方正仿宋_GBK" w:cs="方正仿宋_GBK"/>
          <w:sz w:val="32"/>
          <w:szCs w:val="32"/>
          <w:shd w:val="clear" w:color="auto" w:fill="FFFFFF"/>
        </w:rPr>
        <w:t>万元，主要用于</w:t>
      </w:r>
      <w:r>
        <w:rPr>
          <w:rFonts w:ascii="Times New Roman" w:hAnsi="Times New Roman" w:eastAsia="方正仿宋_GBK" w:cs="方正仿宋_GBK"/>
          <w:sz w:val="32"/>
          <w:szCs w:val="32"/>
          <w:shd w:val="clear" w:color="auto" w:fill="FFFFFF"/>
          <w:lang w:bidi="ar"/>
        </w:rPr>
        <w:t>公务车加油、维修维护</w:t>
      </w:r>
      <w:r>
        <w:rPr>
          <w:rFonts w:ascii="Times New Roman" w:hAnsi="Times New Roman" w:eastAsia="方正仿宋_GBK" w:cs="方正仿宋_GBK"/>
          <w:sz w:val="32"/>
          <w:szCs w:val="32"/>
          <w:shd w:val="clear" w:color="auto" w:fill="FFFFFF"/>
        </w:rPr>
        <w:t>。费用支出较年初预算数无增减，主要原因是严格按照年初预算数执行。较上年支出数减少5.00万元，下降62.50%，主要原因是年初预算数减少。</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0.64</w:t>
      </w:r>
      <w:r>
        <w:rPr>
          <w:rFonts w:ascii="Times New Roman" w:hAnsi="Times New Roman" w:eastAsia="方正仿宋_GBK" w:cs="方正仿宋_GBK"/>
          <w:sz w:val="32"/>
          <w:szCs w:val="32"/>
          <w:shd w:val="clear" w:color="auto" w:fill="FFFFFF"/>
        </w:rPr>
        <w:t>万元，主要用于接待</w:t>
      </w:r>
      <w:r>
        <w:rPr>
          <w:rFonts w:ascii="Times New Roman" w:hAnsi="Times New Roman" w:eastAsia="方正仿宋_GBK" w:cs="方正仿宋_GBK"/>
          <w:sz w:val="32"/>
          <w:szCs w:val="32"/>
          <w:shd w:val="clear" w:color="auto" w:fill="FFFFFF"/>
          <w:lang w:bidi="ar"/>
        </w:rPr>
        <w:t>上级部门、其他区县及相关部门检查指导工作发生的接待支出</w:t>
      </w:r>
      <w:r>
        <w:rPr>
          <w:rFonts w:ascii="Times New Roman" w:hAnsi="Times New Roman" w:eastAsia="方正仿宋_GBK" w:cs="方正仿宋_GBK"/>
          <w:sz w:val="32"/>
          <w:szCs w:val="32"/>
          <w:shd w:val="clear" w:color="auto" w:fill="FFFFFF"/>
        </w:rPr>
        <w:t>。费用支出较年初预算数减少0.76万元，下降54.29%，主要原因是厉行节约。较上年支出数减少0.33万元，下降34.02%，主要原因是厉行节约。</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12</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78</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82.40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1.50</w:t>
      </w:r>
      <w:r>
        <w:rPr>
          <w:rFonts w:ascii="Times New Roman" w:hAnsi="Times New Roman" w:eastAsia="方正仿宋_GBK" w:cs="方正仿宋_GBK"/>
          <w:sz w:val="32"/>
          <w:szCs w:val="32"/>
          <w:shd w:val="clear" w:color="auto" w:fill="FFFFFF"/>
        </w:rPr>
        <w:t>万元。</w:t>
      </w:r>
    </w:p>
    <w:p>
      <w:pPr>
        <w:pStyle w:val="6"/>
        <w:shd w:val="clear" w:color="auto"/>
        <w:spacing w:beforeAutospacing="0" w:after="0" w:afterAutospacing="0" w:line="58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四、其他需要说明的事项</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（一）财政拨款会议费和培训费情况说明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万元，与2023年度相比，无增减，主要原因是均未组织召开会议。本年度培训费支出</w:t>
      </w:r>
      <w:r>
        <w:rPr>
          <w:rFonts w:ascii="Times New Roman" w:hAnsi="Times New Roman" w:eastAsia="方正仿宋_GBK" w:cs="方正仿宋_GBK"/>
          <w:sz w:val="32"/>
          <w:szCs w:val="32"/>
        </w:rPr>
        <w:t>0.49</w:t>
      </w:r>
      <w:r>
        <w:rPr>
          <w:rFonts w:ascii="Times New Roman" w:hAnsi="Times New Roman" w:eastAsia="方正仿宋_GBK" w:cs="方正仿宋_GBK"/>
          <w:sz w:val="32"/>
          <w:szCs w:val="32"/>
          <w:shd w:val="clear" w:color="auto" w:fill="FFFFFF"/>
        </w:rPr>
        <w:t>万元，与2023年度相比，增加0.01万元，增长2.08%，主要原因是本年度安排培训增加。</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2023年度本单位机关运行经费支出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万元，机关运行经费较上年支出数无增减，</w:t>
      </w:r>
      <w:r>
        <w:rPr>
          <w:rFonts w:ascii="Times New Roman" w:hAnsi="Times New Roman" w:eastAsia="方正仿宋_GBK"/>
          <w:bCs/>
          <w:sz w:val="32"/>
          <w:szCs w:val="32"/>
        </w:rPr>
        <w:t>主要原因是按照部门决算列报口径，</w:t>
      </w:r>
      <w:r>
        <w:rPr>
          <w:rFonts w:hint="default" w:ascii="Times New Roman" w:hAnsi="Times New Roman" w:eastAsia="方正仿宋_GBK" w:cs="方正仿宋_GBK"/>
          <w:sz w:val="32"/>
          <w:szCs w:val="32"/>
        </w:rPr>
        <w:t>我单位不在机关运行经费统计范围之内。</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截至2024年12月31日，本单位共有车辆</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0.00万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 xml:space="preserve"> %。2024年度我单位未发生政府采购事项，无相关经费支出。</w:t>
      </w:r>
    </w:p>
    <w:p>
      <w:pPr>
        <w:pStyle w:val="6"/>
        <w:shd w:val="clear" w:color="auto"/>
        <w:spacing w:beforeAutospacing="0" w:after="0" w:afterAutospacing="0" w:line="58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五、2024年度预算绩效管理情况说明</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（一）单位自评情况</w:t>
      </w:r>
    </w:p>
    <w:p>
      <w:pPr>
        <w:pStyle w:val="12"/>
        <w:shd w:val="clear"/>
        <w:autoSpaceDE w:val="0"/>
        <w:spacing w:before="0" w:beforeAutospacing="0" w:after="0" w:afterAutospacing="0" w:line="580" w:lineRule="exact"/>
        <w:ind w:firstLine="640" w:firstLineChars="200"/>
        <w:rPr>
          <w:rFonts w:ascii="Times New Roman" w:hAnsi="Times New Roman" w:eastAsia="方正仿宋_GBK" w:cs="方正仿宋_GBK"/>
          <w:sz w:val="32"/>
          <w:szCs w:val="32"/>
          <w:highlight w:val="yellow"/>
          <w:shd w:val="clear" w:color="auto" w:fill="FFFFFF"/>
        </w:rPr>
      </w:pPr>
      <w:r>
        <w:rPr>
          <w:rFonts w:hint="eastAsia" w:ascii="Times New Roman" w:hAnsi="Times New Roman" w:eastAsia="方正仿宋_GBK" w:cs="方正仿宋_GBK"/>
          <w:sz w:val="32"/>
          <w:szCs w:val="32"/>
          <w:shd w:val="clear" w:color="auto" w:fill="FFFFFF"/>
        </w:rPr>
        <w:t>根据预算绩效管理要求，我单位对2个二级项目开展了绩效自评，涉及财政拨款项目支出资金146.29万元。</w:t>
      </w:r>
    </w:p>
    <w:tbl>
      <w:tblPr>
        <w:tblStyle w:val="7"/>
        <w:tblW w:w="8361" w:type="dxa"/>
        <w:tblInd w:w="0" w:type="dxa"/>
        <w:tblLayout w:type="fixed"/>
        <w:tblCellMar>
          <w:top w:w="0" w:type="dxa"/>
          <w:left w:w="0" w:type="dxa"/>
          <w:bottom w:w="0" w:type="dxa"/>
          <w:right w:w="0" w:type="dxa"/>
        </w:tblCellMar>
      </w:tblPr>
      <w:tblGrid>
        <w:gridCol w:w="1633"/>
        <w:gridCol w:w="492"/>
        <w:gridCol w:w="16"/>
        <w:gridCol w:w="832"/>
        <w:gridCol w:w="148"/>
        <w:gridCol w:w="418"/>
        <w:gridCol w:w="164"/>
        <w:gridCol w:w="628"/>
        <w:gridCol w:w="530"/>
        <w:gridCol w:w="16"/>
        <w:gridCol w:w="573"/>
        <w:gridCol w:w="16"/>
        <w:gridCol w:w="815"/>
        <w:gridCol w:w="16"/>
        <w:gridCol w:w="500"/>
        <w:gridCol w:w="16"/>
        <w:gridCol w:w="636"/>
        <w:gridCol w:w="16"/>
        <w:gridCol w:w="880"/>
        <w:gridCol w:w="16"/>
      </w:tblGrid>
      <w:tr>
        <w:tblPrEx>
          <w:tblCellMar>
            <w:top w:w="0" w:type="dxa"/>
            <w:left w:w="0" w:type="dxa"/>
            <w:bottom w:w="0" w:type="dxa"/>
            <w:right w:w="0" w:type="dxa"/>
          </w:tblCellMar>
        </w:tblPrEx>
        <w:trPr>
          <w:gridAfter w:val="1"/>
          <w:wAfter w:w="16" w:type="dxa"/>
          <w:trHeight w:val="23" w:hRule="atLeast"/>
        </w:trPr>
        <w:tc>
          <w:tcPr>
            <w:tcW w:w="8345"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2024年度二级项目绩效自评表</w:t>
            </w:r>
          </w:p>
        </w:tc>
      </w:tr>
      <w:tr>
        <w:tblPrEx>
          <w:tblCellMar>
            <w:top w:w="0" w:type="dxa"/>
            <w:left w:w="0" w:type="dxa"/>
            <w:bottom w:w="0" w:type="dxa"/>
            <w:right w:w="0" w:type="dxa"/>
          </w:tblCellMar>
        </w:tblPrEx>
        <w:trPr>
          <w:gridAfter w:val="1"/>
          <w:wAfter w:w="16" w:type="dxa"/>
          <w:trHeight w:val="23" w:hRule="atLeast"/>
        </w:trPr>
        <w:tc>
          <w:tcPr>
            <w:tcW w:w="8345"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ind w:firstLine="181" w:firstLineChars="100"/>
              <w:jc w:val="right"/>
              <w:textAlignment w:val="center"/>
              <w:rPr>
                <w:rFonts w:hint="default" w:ascii="Times New Roman" w:hAnsi="Times New Roman" w:cs="宋体"/>
                <w:b/>
                <w:sz w:val="18"/>
                <w:szCs w:val="18"/>
              </w:rPr>
            </w:pPr>
            <w:r>
              <w:rPr>
                <w:rFonts w:ascii="Times New Roman" w:hAnsi="Times New Roman" w:cs="宋体"/>
                <w:b/>
                <w:sz w:val="18"/>
                <w:szCs w:val="18"/>
                <w:lang w:bidi="ar"/>
              </w:rPr>
              <w:t>状态：绩效审核已审</w:t>
            </w:r>
          </w:p>
        </w:tc>
      </w:tr>
      <w:tr>
        <w:tblPrEx>
          <w:tblCellMar>
            <w:top w:w="0" w:type="dxa"/>
            <w:left w:w="0" w:type="dxa"/>
            <w:bottom w:w="0" w:type="dxa"/>
            <w:right w:w="0" w:type="dxa"/>
          </w:tblCellMar>
        </w:tblPrEx>
        <w:trPr>
          <w:gridAfter w:val="1"/>
          <w:wAfter w:w="16" w:type="dxa"/>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项目名称：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生态环境监测经费</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both"/>
              <w:textAlignment w:val="center"/>
              <w:rPr>
                <w:rFonts w:hint="default" w:ascii="Times New Roman" w:hAnsi="Times New Roman" w:cs="宋体"/>
                <w:b/>
                <w:sz w:val="18"/>
                <w:szCs w:val="18"/>
              </w:rPr>
            </w:pPr>
            <w:r>
              <w:rPr>
                <w:rFonts w:ascii="Times New Roman" w:hAnsi="Times New Roman" w:cs="宋体"/>
                <w:b/>
                <w:sz w:val="18"/>
                <w:szCs w:val="18"/>
                <w:lang w:bidi="ar"/>
              </w:rPr>
              <w:t>项目编码：</w:t>
            </w:r>
          </w:p>
        </w:tc>
        <w:tc>
          <w:tcPr>
            <w:tcW w:w="13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50023122T000000109587</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b/>
                <w:sz w:val="18"/>
                <w:szCs w:val="18"/>
              </w:rPr>
            </w:pPr>
            <w:r>
              <w:rPr>
                <w:rFonts w:ascii="Times New Roman" w:hAnsi="Times New Roman" w:cs="宋体"/>
                <w:b/>
                <w:sz w:val="18"/>
                <w:szCs w:val="18"/>
                <w:lang w:bidi="ar"/>
              </w:rPr>
              <w:t>自评总分：</w:t>
            </w:r>
          </w:p>
        </w:tc>
        <w:tc>
          <w:tcPr>
            <w:tcW w:w="134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100.00</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rPr>
                <w:rFonts w:hint="default" w:ascii="Times New Roman" w:hAnsi="Times New Roman" w:cs="宋体"/>
                <w:b/>
                <w:sz w:val="18"/>
                <w:szCs w:val="18"/>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exact"/>
              <w:rPr>
                <w:rFonts w:hint="default" w:ascii="Times New Roman" w:hAnsi="Times New Roman" w:cs="宋体"/>
                <w:sz w:val="18"/>
                <w:szCs w:val="18"/>
              </w:rPr>
            </w:pPr>
          </w:p>
        </w:tc>
      </w:tr>
      <w:tr>
        <w:tblPrEx>
          <w:tblCellMar>
            <w:top w:w="0" w:type="dxa"/>
            <w:left w:w="0" w:type="dxa"/>
            <w:bottom w:w="0" w:type="dxa"/>
            <w:right w:w="0" w:type="dxa"/>
          </w:tblCellMar>
        </w:tblPrEx>
        <w:trPr>
          <w:gridAfter w:val="1"/>
          <w:wAfter w:w="16" w:type="dxa"/>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b/>
                <w:sz w:val="18"/>
                <w:szCs w:val="18"/>
              </w:rPr>
            </w:pPr>
            <w:r>
              <w:rPr>
                <w:rFonts w:ascii="Times New Roman" w:hAnsi="Times New Roman" w:cs="宋体"/>
                <w:b/>
                <w:sz w:val="18"/>
                <w:szCs w:val="18"/>
                <w:lang w:bidi="ar"/>
              </w:rPr>
              <w:t>项目主管部门：</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202-垫江县生态环境局</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财政归口处室：</w:t>
            </w:r>
          </w:p>
        </w:tc>
        <w:tc>
          <w:tcPr>
            <w:tcW w:w="13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005-经建科</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b/>
                <w:sz w:val="18"/>
                <w:szCs w:val="18"/>
              </w:rPr>
            </w:pPr>
            <w:r>
              <w:rPr>
                <w:rFonts w:ascii="Times New Roman" w:hAnsi="Times New Roman" w:cs="宋体"/>
                <w:b/>
                <w:sz w:val="18"/>
                <w:szCs w:val="18"/>
                <w:lang w:bidi="ar"/>
              </w:rPr>
              <w:t>部门联系人：</w:t>
            </w:r>
          </w:p>
        </w:tc>
        <w:tc>
          <w:tcPr>
            <w:tcW w:w="134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卢吉文</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both"/>
              <w:textAlignment w:val="center"/>
              <w:rPr>
                <w:rFonts w:hint="default" w:ascii="Times New Roman" w:hAnsi="Times New Roman" w:cs="宋体"/>
                <w:b/>
                <w:sz w:val="18"/>
                <w:szCs w:val="18"/>
              </w:rPr>
            </w:pPr>
            <w:r>
              <w:rPr>
                <w:rFonts w:ascii="Times New Roman" w:hAnsi="Times New Roman" w:cs="宋体"/>
                <w:b/>
                <w:sz w:val="18"/>
                <w:szCs w:val="18"/>
                <w:lang w:bidi="ar"/>
              </w:rPr>
              <w:t>联系电话：</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exact"/>
              <w:textAlignment w:val="center"/>
              <w:rPr>
                <w:rFonts w:hint="default" w:ascii="Times New Roman" w:hAnsi="Times New Roman" w:cs="宋体"/>
                <w:sz w:val="18"/>
                <w:szCs w:val="18"/>
              </w:rPr>
            </w:pPr>
            <w:r>
              <w:rPr>
                <w:rFonts w:ascii="Times New Roman" w:hAnsi="Times New Roman" w:cs="宋体"/>
                <w:sz w:val="18"/>
                <w:szCs w:val="18"/>
                <w:lang w:bidi="ar"/>
              </w:rPr>
              <w:t>74527009</w:t>
            </w:r>
          </w:p>
        </w:tc>
      </w:tr>
      <w:tr>
        <w:tblPrEx>
          <w:tblCellMar>
            <w:top w:w="0" w:type="dxa"/>
            <w:left w:w="0" w:type="dxa"/>
            <w:bottom w:w="0" w:type="dxa"/>
            <w:right w:w="0" w:type="dxa"/>
          </w:tblCellMar>
        </w:tblPrEx>
        <w:trPr>
          <w:gridAfter w:val="1"/>
          <w:wAfter w:w="16" w:type="dxa"/>
          <w:trHeight w:val="23" w:hRule="atLeast"/>
        </w:trPr>
        <w:tc>
          <w:tcPr>
            <w:tcW w:w="8345"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资金情况</w:t>
            </w:r>
          </w:p>
        </w:tc>
      </w:tr>
      <w:tr>
        <w:tblPrEx>
          <w:tblCellMar>
            <w:top w:w="0" w:type="dxa"/>
            <w:left w:w="0" w:type="dxa"/>
            <w:bottom w:w="0" w:type="dxa"/>
            <w:right w:w="0" w:type="dxa"/>
          </w:tblCellMar>
        </w:tblPrEx>
        <w:trPr>
          <w:gridAfter w:val="1"/>
          <w:wAfter w:w="16" w:type="dxa"/>
          <w:trHeight w:val="23"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rPr>
                <w:rFonts w:hint="default" w:ascii="Times New Roman" w:hAnsi="Times New Roman" w:cs="宋体"/>
                <w:sz w:val="18"/>
                <w:szCs w:val="18"/>
              </w:rPr>
            </w:pPr>
          </w:p>
        </w:tc>
        <w:tc>
          <w:tcPr>
            <w:tcW w:w="14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年初预算数</w:t>
            </w:r>
          </w:p>
        </w:tc>
        <w:tc>
          <w:tcPr>
            <w:tcW w:w="13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全年（调整）预算数</w:t>
            </w:r>
          </w:p>
        </w:tc>
        <w:tc>
          <w:tcPr>
            <w:tcW w:w="14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全年执行数</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执行率</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textAlignment w:val="center"/>
              <w:rPr>
                <w:rFonts w:hint="default" w:ascii="Times New Roman" w:hAnsi="Times New Roman" w:cs="宋体"/>
                <w:b/>
                <w:sz w:val="18"/>
                <w:szCs w:val="18"/>
              </w:rPr>
            </w:pPr>
            <w:r>
              <w:rPr>
                <w:rFonts w:ascii="Times New Roman" w:hAnsi="Times New Roman" w:cs="宋体"/>
                <w:b/>
                <w:sz w:val="18"/>
                <w:szCs w:val="18"/>
                <w:lang w:bidi="ar"/>
              </w:rPr>
              <w:t>执行率权重</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执行率得分</w:t>
            </w:r>
          </w:p>
        </w:tc>
      </w:tr>
      <w:tr>
        <w:tblPrEx>
          <w:tblCellMar>
            <w:top w:w="0" w:type="dxa"/>
            <w:left w:w="0" w:type="dxa"/>
            <w:bottom w:w="0" w:type="dxa"/>
            <w:right w:w="0" w:type="dxa"/>
          </w:tblCellMar>
        </w:tblPrEx>
        <w:trPr>
          <w:gridAfter w:val="1"/>
          <w:wAfter w:w="16" w:type="dxa"/>
          <w:trHeight w:val="23"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exact"/>
              <w:rPr>
                <w:rFonts w:hint="default" w:ascii="Times New Roman" w:hAnsi="Times New Roman" w:cs="宋体"/>
                <w:sz w:val="18"/>
                <w:szCs w:val="18"/>
              </w:rPr>
            </w:pPr>
            <w:r>
              <w:rPr>
                <w:rFonts w:ascii="Times New Roman" w:hAnsi="Times New Roman" w:cs="宋体"/>
                <w:sz w:val="18"/>
                <w:szCs w:val="18"/>
                <w:lang w:bidi="ar"/>
              </w:rPr>
              <w:t>年度总金额</w:t>
            </w:r>
          </w:p>
        </w:tc>
        <w:tc>
          <w:tcPr>
            <w:tcW w:w="14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1,000,000.00 </w:t>
            </w:r>
          </w:p>
        </w:tc>
        <w:tc>
          <w:tcPr>
            <w:tcW w:w="13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1,246,969.00 </w:t>
            </w:r>
          </w:p>
        </w:tc>
        <w:tc>
          <w:tcPr>
            <w:tcW w:w="14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1,246,969.00 </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rPr>
                <w:rFonts w:hint="default" w:ascii="Times New Roman" w:hAnsi="Times New Roman" w:cs="宋体"/>
                <w:sz w:val="18"/>
                <w:szCs w:val="18"/>
              </w:rPr>
            </w:pP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rPr>
                <w:rFonts w:hint="default" w:ascii="Times New Roman" w:hAnsi="Times New Roman" w:cs="宋体"/>
                <w:sz w:val="18"/>
                <w:szCs w:val="18"/>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rPr>
                <w:rFonts w:hint="default" w:ascii="Times New Roman" w:hAnsi="Times New Roman" w:cs="宋体"/>
                <w:sz w:val="18"/>
                <w:szCs w:val="18"/>
              </w:rPr>
            </w:pPr>
          </w:p>
        </w:tc>
      </w:tr>
      <w:tr>
        <w:tblPrEx>
          <w:tblCellMar>
            <w:top w:w="0" w:type="dxa"/>
            <w:left w:w="0" w:type="dxa"/>
            <w:bottom w:w="0" w:type="dxa"/>
            <w:right w:w="0" w:type="dxa"/>
          </w:tblCellMar>
        </w:tblPrEx>
        <w:trPr>
          <w:gridAfter w:val="1"/>
          <w:wAfter w:w="16" w:type="dxa"/>
          <w:trHeight w:val="23"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exact"/>
              <w:rPr>
                <w:rFonts w:hint="default" w:ascii="Times New Roman" w:hAnsi="Times New Roman" w:cs="宋体"/>
                <w:sz w:val="18"/>
                <w:szCs w:val="18"/>
              </w:rPr>
            </w:pPr>
            <w:r>
              <w:rPr>
                <w:rFonts w:ascii="Times New Roman" w:hAnsi="Times New Roman" w:cs="宋体"/>
                <w:sz w:val="18"/>
                <w:szCs w:val="18"/>
                <w:lang w:bidi="ar"/>
              </w:rPr>
              <w:t>其中：财政拨款</w:t>
            </w:r>
          </w:p>
        </w:tc>
        <w:tc>
          <w:tcPr>
            <w:tcW w:w="14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1,000,000.00 </w:t>
            </w:r>
          </w:p>
        </w:tc>
        <w:tc>
          <w:tcPr>
            <w:tcW w:w="13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1,246,969.00 </w:t>
            </w:r>
          </w:p>
        </w:tc>
        <w:tc>
          <w:tcPr>
            <w:tcW w:w="14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1,246,969.00 </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textAlignment w:val="center"/>
              <w:rPr>
                <w:rFonts w:hint="default" w:ascii="Times New Roman" w:hAnsi="Times New Roman" w:cs="宋体"/>
                <w:sz w:val="18"/>
                <w:szCs w:val="18"/>
              </w:rPr>
            </w:pPr>
            <w:r>
              <w:rPr>
                <w:rFonts w:ascii="Times New Roman" w:hAnsi="Times New Roman" w:cs="宋体"/>
                <w:sz w:val="18"/>
                <w:szCs w:val="18"/>
                <w:lang w:bidi="ar"/>
              </w:rPr>
              <w:t>10.00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ind w:firstLine="180" w:firstLineChars="100"/>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10.00 </w:t>
            </w:r>
          </w:p>
        </w:tc>
      </w:tr>
      <w:tr>
        <w:tblPrEx>
          <w:tblCellMar>
            <w:top w:w="0" w:type="dxa"/>
            <w:left w:w="0" w:type="dxa"/>
            <w:bottom w:w="0" w:type="dxa"/>
            <w:right w:w="0" w:type="dxa"/>
          </w:tblCellMar>
        </w:tblPrEx>
        <w:trPr>
          <w:gridAfter w:val="1"/>
          <w:wAfter w:w="16" w:type="dxa"/>
          <w:trHeight w:val="23"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exact"/>
              <w:rPr>
                <w:rFonts w:hint="default" w:ascii="Times New Roman" w:hAnsi="Times New Roman" w:cs="宋体"/>
                <w:sz w:val="18"/>
                <w:szCs w:val="18"/>
              </w:rPr>
            </w:pPr>
            <w:r>
              <w:rPr>
                <w:rFonts w:ascii="Times New Roman" w:hAnsi="Times New Roman" w:cs="宋体"/>
                <w:sz w:val="18"/>
                <w:szCs w:val="18"/>
                <w:lang w:bidi="ar"/>
              </w:rPr>
              <w:t>一般公共预算</w:t>
            </w:r>
          </w:p>
        </w:tc>
        <w:tc>
          <w:tcPr>
            <w:tcW w:w="14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1,000,000.00 </w:t>
            </w:r>
          </w:p>
        </w:tc>
        <w:tc>
          <w:tcPr>
            <w:tcW w:w="13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1,246,969.00 </w:t>
            </w:r>
          </w:p>
        </w:tc>
        <w:tc>
          <w:tcPr>
            <w:tcW w:w="14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1,246,969.00 </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rPr>
                <w:rFonts w:hint="default" w:ascii="Times New Roman" w:hAnsi="Times New Roman" w:cs="宋体"/>
                <w:sz w:val="18"/>
                <w:szCs w:val="18"/>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right"/>
              <w:rPr>
                <w:rFonts w:hint="default" w:ascii="Times New Roman" w:hAnsi="Times New Roman" w:cs="宋体"/>
                <w:sz w:val="18"/>
                <w:szCs w:val="18"/>
              </w:rPr>
            </w:pPr>
          </w:p>
        </w:tc>
      </w:tr>
      <w:tr>
        <w:tblPrEx>
          <w:tblCellMar>
            <w:top w:w="0" w:type="dxa"/>
            <w:left w:w="0" w:type="dxa"/>
            <w:bottom w:w="0" w:type="dxa"/>
            <w:right w:w="0" w:type="dxa"/>
          </w:tblCellMar>
        </w:tblPrEx>
        <w:trPr>
          <w:gridAfter w:val="1"/>
          <w:wAfter w:w="16" w:type="dxa"/>
          <w:trHeight w:val="23" w:hRule="atLeast"/>
        </w:trPr>
        <w:tc>
          <w:tcPr>
            <w:tcW w:w="8345"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绩效目标</w:t>
            </w:r>
          </w:p>
        </w:tc>
      </w:tr>
      <w:tr>
        <w:tblPrEx>
          <w:tblCellMar>
            <w:top w:w="0" w:type="dxa"/>
            <w:left w:w="0" w:type="dxa"/>
            <w:bottom w:w="0" w:type="dxa"/>
            <w:right w:w="0" w:type="dxa"/>
          </w:tblCellMar>
        </w:tblPrEx>
        <w:trPr>
          <w:gridAfter w:val="1"/>
          <w:wAfter w:w="16" w:type="dxa"/>
          <w:trHeight w:val="23" w:hRule="atLeast"/>
        </w:trPr>
        <w:tc>
          <w:tcPr>
            <w:tcW w:w="353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年初绩效目标</w:t>
            </w:r>
          </w:p>
        </w:tc>
        <w:tc>
          <w:tcPr>
            <w:tcW w:w="274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全年（调整）绩效目标</w:t>
            </w:r>
          </w:p>
        </w:tc>
        <w:tc>
          <w:tcPr>
            <w:tcW w:w="206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全年目标实际完成情况</w:t>
            </w:r>
          </w:p>
        </w:tc>
      </w:tr>
      <w:tr>
        <w:tblPrEx>
          <w:tblCellMar>
            <w:top w:w="0" w:type="dxa"/>
            <w:left w:w="0" w:type="dxa"/>
            <w:bottom w:w="0" w:type="dxa"/>
            <w:right w:w="0" w:type="dxa"/>
          </w:tblCellMar>
        </w:tblPrEx>
        <w:trPr>
          <w:gridAfter w:val="1"/>
          <w:wAfter w:w="16" w:type="dxa"/>
          <w:trHeight w:val="23" w:hRule="atLeast"/>
        </w:trPr>
        <w:tc>
          <w:tcPr>
            <w:tcW w:w="353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exact"/>
              <w:textAlignment w:val="top"/>
              <w:rPr>
                <w:rFonts w:hint="default" w:ascii="Times New Roman" w:hAnsi="Times New Roman" w:cs="宋体"/>
                <w:sz w:val="18"/>
                <w:szCs w:val="18"/>
              </w:rPr>
            </w:pPr>
            <w:r>
              <w:rPr>
                <w:rFonts w:ascii="Times New Roman" w:hAnsi="Times New Roman" w:cs="宋体"/>
                <w:sz w:val="18"/>
                <w:szCs w:val="18"/>
                <w:lang w:bidi="ar"/>
              </w:rPr>
              <w:t>按照市、县生态环境监测工作要点，有序完成监测工作目标任务，为摸清我县生态环境质量状况以及生态环境管理与治理提供决策依据。</w:t>
            </w:r>
          </w:p>
        </w:tc>
        <w:tc>
          <w:tcPr>
            <w:tcW w:w="274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exact"/>
              <w:textAlignment w:val="top"/>
              <w:rPr>
                <w:rFonts w:hint="default" w:ascii="Times New Roman" w:hAnsi="Times New Roman" w:cs="宋体"/>
                <w:sz w:val="18"/>
                <w:szCs w:val="18"/>
              </w:rPr>
            </w:pPr>
            <w:r>
              <w:rPr>
                <w:rFonts w:ascii="Times New Roman" w:hAnsi="Times New Roman" w:cs="宋体"/>
                <w:sz w:val="18"/>
                <w:szCs w:val="18"/>
                <w:lang w:bidi="ar"/>
              </w:rPr>
              <w:t>按照市、县生态环境监测工作要点，有序完成监测工作目标任务，为摸清我县生态环境质量状况以及生态环境管理与治理提供决策依据。</w:t>
            </w:r>
          </w:p>
        </w:tc>
        <w:tc>
          <w:tcPr>
            <w:tcW w:w="206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exact"/>
              <w:textAlignment w:val="top"/>
              <w:rPr>
                <w:rFonts w:hint="default" w:ascii="Times New Roman" w:hAnsi="Times New Roman" w:cs="宋体"/>
                <w:sz w:val="18"/>
                <w:szCs w:val="18"/>
              </w:rPr>
            </w:pPr>
            <w:r>
              <w:rPr>
                <w:rFonts w:ascii="Times New Roman" w:hAnsi="Times New Roman" w:cs="宋体"/>
                <w:sz w:val="18"/>
                <w:szCs w:val="18"/>
                <w:lang w:bidi="ar"/>
              </w:rPr>
              <w:t>2024年，垫江县生态环境监测站严格按照市、县生态环境监测工作要点及要求，结合县域工作实际，有序高效完成了年初工作目标任务，配合各级各部门，完成执法、监督、委托等监测任务，共出具监测报告（报表）352份，报出数据超30000个，为环境管理和治理提供决策依据。</w:t>
            </w:r>
          </w:p>
        </w:tc>
      </w:tr>
      <w:tr>
        <w:tblPrEx>
          <w:tblCellMar>
            <w:top w:w="0" w:type="dxa"/>
            <w:left w:w="0" w:type="dxa"/>
            <w:bottom w:w="0" w:type="dxa"/>
            <w:right w:w="0" w:type="dxa"/>
          </w:tblCellMar>
        </w:tblPrEx>
        <w:trPr>
          <w:gridAfter w:val="1"/>
          <w:wAfter w:w="16" w:type="dxa"/>
          <w:trHeight w:val="23" w:hRule="atLeast"/>
        </w:trPr>
        <w:tc>
          <w:tcPr>
            <w:tcW w:w="8345"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绩效指标</w:t>
            </w: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指标名称</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计量单位</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指标性质</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指标值</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全年完成值</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偏离度（%）</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得分系数（%）</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指标权重</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指标得分</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是否核心指标</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b/>
                <w:sz w:val="18"/>
                <w:szCs w:val="18"/>
              </w:rPr>
            </w:pPr>
            <w:r>
              <w:rPr>
                <w:rFonts w:ascii="Times New Roman" w:hAnsi="Times New Roman" w:cs="宋体"/>
                <w:b/>
                <w:sz w:val="18"/>
                <w:szCs w:val="18"/>
                <w:lang w:bidi="ar"/>
              </w:rPr>
              <w:t>说明</w:t>
            </w: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sz w:val="18"/>
                <w:szCs w:val="18"/>
              </w:rPr>
            </w:pPr>
            <w:r>
              <w:rPr>
                <w:rFonts w:ascii="Times New Roman" w:hAnsi="Times New Roman" w:cs="宋体"/>
                <w:sz w:val="18"/>
                <w:szCs w:val="18"/>
                <w:lang w:bidi="ar"/>
              </w:rPr>
              <w:t>出具各类报告及报表</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200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352</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76</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5</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textAlignment w:val="center"/>
              <w:rPr>
                <w:rFonts w:hint="default" w:ascii="Times New Roman" w:hAnsi="Times New Roman" w:cs="宋体"/>
                <w:sz w:val="18"/>
                <w:szCs w:val="18"/>
              </w:rPr>
            </w:pPr>
            <w:r>
              <w:rPr>
                <w:rFonts w:ascii="Times New Roman" w:hAnsi="Times New Roman" w:cs="宋体"/>
                <w:sz w:val="18"/>
                <w:szCs w:val="18"/>
                <w:lang w:bidi="ar"/>
              </w:rPr>
              <w:t>结合县域工作实际，共出具监测报告（报表）352份</w:t>
            </w: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sz w:val="18"/>
                <w:szCs w:val="18"/>
              </w:rPr>
            </w:pPr>
            <w:r>
              <w:rPr>
                <w:rFonts w:ascii="Times New Roman" w:hAnsi="Times New Roman" w:cs="宋体"/>
                <w:sz w:val="18"/>
                <w:szCs w:val="18"/>
                <w:lang w:bidi="ar"/>
              </w:rPr>
              <w:t>生态环境监测网络运行空气自动站</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5</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生态环境监测网络运行噪声自动监测点</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个</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6</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5</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确保生态环境监测网络运行</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5</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完成各类监测任务率</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5</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完成环境监测能力建设</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5</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环境监测工作按时完成率</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15</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控制污染物排放总量，提升环境质量</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提升环境质量</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公众生态环境满意度满意度</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90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90</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5</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监测设施设备维修、维护、检定/校准、 更换、新增"</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万元</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84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84</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4</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4</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（完成各类监测任务）标准物质</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万元</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7</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4</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4</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（完成各类监测任务）实验耗材</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万元</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6</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4</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4</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（完成各类监测任务）药品试剂</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万元</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7</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4</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4</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exac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生态环境监测网络运行</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万元</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20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20</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4</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4</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rPr>
                <w:rFonts w:hint="default" w:ascii="Times New Roman" w:hAnsi="Times New Roman" w:cs="宋体"/>
                <w:color w:val="000000"/>
                <w:sz w:val="18"/>
                <w:szCs w:val="18"/>
              </w:rPr>
            </w:pPr>
          </w:p>
        </w:tc>
      </w:tr>
    </w:tbl>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（二）单位绩效评价情况</w:t>
      </w:r>
    </w:p>
    <w:p>
      <w:pPr>
        <w:pStyle w:val="11"/>
        <w:shd w:val="clear"/>
        <w:autoSpaceDE w:val="0"/>
        <w:spacing w:line="580" w:lineRule="exact"/>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我单位未组织开展绩效评价。</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（三）财政绩效评价情况</w:t>
      </w:r>
    </w:p>
    <w:p>
      <w:pPr>
        <w:shd w:val="clear"/>
        <w:overflowPunct w:val="0"/>
        <w:adjustRightInd w:val="0"/>
        <w:snapToGrid w:val="0"/>
        <w:spacing w:line="600" w:lineRule="exact"/>
        <w:ind w:firstLine="632" w:firstLineChars="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县财政局委托第三方对我单位</w:t>
      </w:r>
      <w:bookmarkStart w:id="0" w:name="_GoBack"/>
      <w:bookmarkEnd w:id="0"/>
      <w:r>
        <w:rPr>
          <w:rFonts w:hint="eastAsia" w:ascii="Times New Roman" w:hAnsi="Times New Roman" w:eastAsia="方正仿宋_GBK" w:cs="方正仿宋_GBK"/>
          <w:sz w:val="32"/>
          <w:szCs w:val="32"/>
          <w:shd w:val="clear" w:color="auto" w:fill="FFFFFF"/>
          <w:lang w:val="en-US" w:eastAsia="zh-CN" w:bidi="ar-SA"/>
        </w:rPr>
        <w:t>“生态环境监测经费”开展了重点绩效评价，涉及财政拨款项目资金124.70万元，评价得分89.5</w:t>
      </w:r>
      <w:r>
        <w:rPr>
          <w:rFonts w:hint="default" w:ascii="Times New Roman" w:hAnsi="Times New Roman" w:eastAsia="方正仿宋_GBK" w:cs="方正仿宋_GBK"/>
          <w:sz w:val="32"/>
          <w:szCs w:val="32"/>
          <w:shd w:val="clear" w:color="auto" w:fill="FFFFFF"/>
          <w:lang w:val="en-US" w:eastAsia="zh-CN" w:bidi="ar-SA"/>
        </w:rPr>
        <w:t>0</w:t>
      </w:r>
      <w:r>
        <w:rPr>
          <w:rFonts w:hint="eastAsia" w:ascii="Times New Roman" w:hAnsi="Times New Roman" w:eastAsia="方正仿宋_GBK" w:cs="方正仿宋_GBK"/>
          <w:sz w:val="32"/>
          <w:szCs w:val="32"/>
          <w:shd w:val="clear" w:color="auto" w:fill="FFFFFF"/>
          <w:lang w:val="en-US" w:eastAsia="zh-CN" w:bidi="ar-SA"/>
        </w:rPr>
        <w:t>分，评价等次为“良”，绩效评价发现了“绩效目标存在缺陷，绩效指标设置不规范；预算编制合理性较差，监测经费实际成本较低；专项资金使用监管不强，存在资金混用情况”等主要问题，提出“（一）完善项目绩效目标，优化绩效指标设置；（二）合理测算监测成本，据实编制监测经费预算；（三）严格监管专项资金使用，明确资金使用方向”等下一步工作建议。</w:t>
      </w:r>
    </w:p>
    <w:p>
      <w:pPr>
        <w:pStyle w:val="6"/>
        <w:shd w:val="clear" w:color="auto"/>
        <w:spacing w:line="58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  六、专业名词解释</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b/>
          <w:bCs/>
          <w:sz w:val="32"/>
          <w:szCs w:val="32"/>
          <w:shd w:val="clear" w:color="auto" w:fill="FFFFFF"/>
        </w:rPr>
        <w:t> </w:t>
      </w:r>
      <w:r>
        <w:rPr>
          <w:rFonts w:ascii="Times New Roman" w:hAnsi="Times New Roman" w:eastAsia="楷体" w:cs="楷体"/>
          <w:b/>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（二）事业收入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（三）经营收入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（四）其他收入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（五）使用非财政拨款结余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（六）年初结转和结余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（七）结余分配</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（八）年末结转和结余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指单位结转下年的基本支出结转、项目支出结转和结余、经营结余。</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（九）基本支出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（十）项目支出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（十一）经营支出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（十二）“三公”经费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（十三）机关运行经费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（十四）工资福利支出（支出经济分类科目类级）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（十五）商品和服务支出（支出经济分类科目类级）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（十六）对个人和家庭的补助（支出经济分类科目类级）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反映用于对个人和家庭的补助支出。</w:t>
      </w:r>
    </w:p>
    <w:p>
      <w:pPr>
        <w:pStyle w:val="6"/>
        <w:shd w:val="clear"/>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（十七）其他资本性支出（支出经济分类科目类级）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spacing w:line="580" w:lineRule="exact"/>
        <w:ind w:firstLine="643" w:firstLineChars="200"/>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黑体" w:cs="黑体"/>
          <w:sz w:val="32"/>
          <w:szCs w:val="32"/>
          <w:shd w:val="clear" w:color="auto" w:fill="FFFFFF"/>
        </w:rPr>
        <w:t>七、决算公开联系方式及信息反馈渠道</w:t>
      </w:r>
    </w:p>
    <w:p>
      <w:pPr>
        <w:pStyle w:val="6"/>
        <w:shd w:val="clear"/>
        <w:snapToGrid w:val="0"/>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本单位决算公开信息反馈和联系方式：023-74688819</w:t>
      </w:r>
    </w:p>
    <w:p>
      <w:pPr>
        <w:pStyle w:val="11"/>
        <w:shd w:val="clear"/>
        <w:autoSpaceDE w:val="0"/>
        <w:spacing w:line="580" w:lineRule="exact"/>
        <w:ind w:firstLine="0" w:firstLineChars="0"/>
        <w:rPr>
          <w:rStyle w:val="10"/>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2"/>
                <w:szCs w:val="22"/>
              </w:rPr>
            </w:pPr>
            <w:r>
              <w:rPr>
                <w:rFonts w:ascii="Times New Roman" w:hAnsi="Times New Roman" w:cs="宋体"/>
                <w:sz w:val="20"/>
                <w:szCs w:val="20"/>
              </w:rPr>
              <w:t>单位：</w:t>
            </w:r>
            <w:r>
              <w:rPr>
                <w:rFonts w:ascii="Times New Roman" w:hAnsi="Times New Roman"/>
                <w:sz w:val="20"/>
              </w:rPr>
              <w:t>垫江县生态环境监测站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1,010.22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1,034.23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1,064.69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1,064.69</w:t>
            </w:r>
            <w:r>
              <w:rPr>
                <w:rFonts w:ascii="Times New Roman" w:hAnsi="Times New Roman"/>
                <w:color w:val="000000"/>
                <w:sz w:val="20"/>
              </w:rPr>
              <w:t xml:space="preserve"> </w:t>
            </w:r>
          </w:p>
        </w:tc>
      </w:tr>
    </w:tbl>
    <w:p>
      <w:pPr>
        <w:shd w:val="clear"/>
        <w:rPr>
          <w:rFonts w:hint="default" w:ascii="Times New Roman" w:hAnsi="Times New Roman" w:cs="宋体"/>
          <w:sz w:val="21"/>
          <w:szCs w:val="21"/>
        </w:rPr>
      </w:pPr>
    </w:p>
    <w:p>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sz w:val="20"/>
              </w:rPr>
              <w:t>垫江县生态环境监测站</w:t>
            </w:r>
          </w:p>
        </w:tc>
        <w:tc>
          <w:tcPr>
            <w:tcW w:w="454"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1,034.23</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1,010.22</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772.14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748.12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772.14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748.12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772.14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748.12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ind w:left="600" w:hanging="600" w:hangingChars="3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23"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tblPrEx>
          <w:tblCellMar>
            <w:top w:w="0" w:type="dxa"/>
            <w:left w:w="0" w:type="dxa"/>
            <w:bottom w:w="0" w:type="dxa"/>
            <w:right w:w="0" w:type="dxa"/>
          </w:tblCellMar>
        </w:tblPrEx>
        <w:trPr>
          <w:trHeight w:val="23"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 xml:space="preserve">垫江县生态环境监测站 </w:t>
            </w:r>
          </w:p>
        </w:tc>
        <w:tc>
          <w:tcPr>
            <w:tcW w:w="560"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23"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23"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tblPrEx>
          <w:tblCellMar>
            <w:top w:w="0" w:type="dxa"/>
            <w:left w:w="0" w:type="dxa"/>
            <w:bottom w:w="0" w:type="dxa"/>
            <w:right w:w="0" w:type="dxa"/>
          </w:tblCellMar>
        </w:tblPrEx>
        <w:trPr>
          <w:trHeight w:val="326"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26"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26"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26"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23"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1,056.35</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894.24</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162.11</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792.22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630.11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162.11</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792.22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630.11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162.11</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792.22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630.11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162.11</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3"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ascii="Times New Roman" w:hAnsi="Times New Roman" w:cs="宋体"/>
          <w:sz w:val="21"/>
          <w:szCs w:val="21"/>
        </w:rPr>
        <w:br w:type="page"/>
      </w:r>
    </w:p>
    <w:p>
      <w:pPr>
        <w:shd w:val="clear"/>
        <w:rPr>
          <w:rFonts w:hint="default" w:ascii="Times New Roman" w:hAnsi="Times New Roman"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垫江县生态环境监测站</w:t>
            </w: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hd w:val="clear"/>
              <w:spacing w:line="24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1,010.22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1,010.22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1,036.94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1,036.94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1,036.94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1,036.94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1,036.94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垫江县生态环境监测站</w:t>
            </w:r>
          </w:p>
        </w:tc>
        <w:tc>
          <w:tcPr>
            <w:tcW w:w="1077"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1,036.94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890.65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107.55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107.55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772.82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626.52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772.82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626.52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772.82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626.52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hd w:val="clea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垫江县生态环境监测站</w:t>
            </w:r>
          </w:p>
        </w:tc>
        <w:tc>
          <w:tcPr>
            <w:tcW w:w="539"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820.33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359.10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833.98</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56.67</w:t>
            </w:r>
            <w:r>
              <w:rPr>
                <w:rFonts w:ascii="Times New Roman" w:hAnsi="Times New Roman"/>
                <w:color w:val="000000"/>
                <w:sz w:val="18"/>
              </w:rPr>
              <w:t xml:space="preserve"> </w:t>
            </w:r>
          </w:p>
        </w:tc>
      </w:tr>
    </w:tbl>
    <w:p>
      <w:pPr>
        <w:shd w:val="clear"/>
        <w:spacing w:line="28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垫江县生态环境监测站</w:t>
            </w: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both"/>
              <w:textAlignment w:val="center"/>
              <w:rPr>
                <w:rFonts w:hint="default" w:ascii="Times New Roman" w:hAnsi="Times New Roman"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ascii="Times New Roman" w:hAnsi="Times New Roman" w:cs="宋体"/>
          <w:sz w:val="21"/>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ascii="Times New Roman" w:hAnsi="Times New Roman"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垫江县生态环境监测站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shd w:val="clear"/>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hint="default" w:ascii="Times New Roman" w:hAnsi="Times New Roman"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pPr>
              <w:shd w:val="clea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r>
              <w:rPr>
                <w:rFonts w:ascii="Times New Roman" w:hAnsi="Times New Roman" w:cs="宋体"/>
                <w:kern w:val="2"/>
                <w:sz w:val="20"/>
                <w:szCs w:val="20"/>
              </w:rPr>
              <w:t>单位</w:t>
            </w:r>
            <w:r>
              <w:rPr>
                <w:rFonts w:ascii="Times New Roman" w:hAnsi="Times New Roman" w:cs="宋体"/>
                <w:color w:val="000000"/>
                <w:kern w:val="2"/>
                <w:sz w:val="20"/>
                <w:szCs w:val="20"/>
              </w:rPr>
              <w:t>：</w:t>
            </w:r>
            <w:r>
              <w:rPr>
                <w:rFonts w:ascii="Times New Roman" w:hAnsi="Times New Roman"/>
                <w:color w:val="000000"/>
                <w:sz w:val="20"/>
              </w:rPr>
              <w:t>垫江县生态环境监测站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32.62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sz w:val="16"/>
                <w:szCs w:val="16"/>
              </w:rPr>
            </w:pPr>
          </w:p>
        </w:tc>
      </w:tr>
    </w:tbl>
    <w:p>
      <w:pPr>
        <w:shd w:val="clear"/>
        <w:rPr>
          <w:rFonts w:hint="default" w:ascii="Times New Roman" w:hAnsi="Times New Roman" w:cs="宋体"/>
          <w:sz w:val="21"/>
          <w:szCs w:val="21"/>
        </w:rPr>
      </w:pPr>
      <w:r>
        <w:rPr>
          <w:rFonts w:ascii="Times New Roman" w:hAnsi="Times New Roman"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636013"/>
    <w:rsid w:val="006D56B7"/>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B5142"/>
    <w:rsid w:val="00CF2ACF"/>
    <w:rsid w:val="00F73F90"/>
    <w:rsid w:val="00FB4B3B"/>
    <w:rsid w:val="00FE2532"/>
    <w:rsid w:val="01474EBF"/>
    <w:rsid w:val="016456A5"/>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B835E2"/>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4E4CCF"/>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4360999"/>
    <w:rsid w:val="352930DB"/>
    <w:rsid w:val="35573069"/>
    <w:rsid w:val="355F6038"/>
    <w:rsid w:val="358C217E"/>
    <w:rsid w:val="3644378F"/>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3FE44D85"/>
    <w:rsid w:val="4004000C"/>
    <w:rsid w:val="40BD5482"/>
    <w:rsid w:val="411B6CE5"/>
    <w:rsid w:val="412070D7"/>
    <w:rsid w:val="41314E40"/>
    <w:rsid w:val="41660BB9"/>
    <w:rsid w:val="41E0734B"/>
    <w:rsid w:val="426C1EA8"/>
    <w:rsid w:val="42736402"/>
    <w:rsid w:val="42E86A87"/>
    <w:rsid w:val="43307B09"/>
    <w:rsid w:val="439A3EB9"/>
    <w:rsid w:val="43BB152F"/>
    <w:rsid w:val="446D4880"/>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2C4537"/>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290CA1"/>
    <w:rsid w:val="5EBE1815"/>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8D0A5B"/>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81E0B"/>
    <w:rsid w:val="772E1EBA"/>
    <w:rsid w:val="781926BC"/>
    <w:rsid w:val="796D60A4"/>
    <w:rsid w:val="79A031D5"/>
    <w:rsid w:val="7A1525F7"/>
    <w:rsid w:val="7B420052"/>
    <w:rsid w:val="7BD06A28"/>
    <w:rsid w:val="7C3A7C0B"/>
    <w:rsid w:val="7C5248E4"/>
    <w:rsid w:val="7C566698"/>
    <w:rsid w:val="7C5866A3"/>
    <w:rsid w:val="7CBF463C"/>
    <w:rsid w:val="7D7406BB"/>
    <w:rsid w:val="7DE94331"/>
    <w:rsid w:val="7DF20E33"/>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2423</Words>
  <Characters>13812</Characters>
  <Lines>115</Lines>
  <Paragraphs>32</Paragraphs>
  <TotalTime>1</TotalTime>
  <ScaleCrop>false</ScaleCrop>
  <LinksUpToDate>false</LinksUpToDate>
  <CharactersWithSpaces>16203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2025-09-15T06:52:51Z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