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spacing w:before="0" w:beforeAutospacing="0" w:after="0" w:afterAutospacing="0" w:line="596"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垫江县生态环境保护综合行政执法支队</w:t>
      </w:r>
    </w:p>
    <w:p>
      <w:pPr>
        <w:pStyle w:val="6"/>
        <w:shd w:val="clear"/>
        <w:spacing w:before="0" w:beforeAutospacing="0" w:after="0" w:afterAutospacing="0" w:line="580" w:lineRule="exact"/>
        <w:jc w:val="center"/>
        <w:rPr>
          <w:rStyle w:val="10"/>
          <w:rFonts w:ascii="Times New Roman" w:hAnsi="Times New Roman" w:eastAsia="方正小标宋_GBK" w:cs="方正小标宋_GBK"/>
          <w:b w:val="0"/>
          <w:sz w:val="36"/>
          <w:szCs w:val="36"/>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pPr>
        <w:pStyle w:val="6"/>
        <w:shd w:val="clear" w:color="auto"/>
        <w:spacing w:beforeAutospacing="0" w:after="0" w:afterAutospacing="0" w:line="580" w:lineRule="exact"/>
        <w:ind w:firstLine="643" w:firstLineChars="200"/>
        <w:rPr>
          <w:rFonts w:hint="default" w:ascii="Times New Roman" w:hAnsi="Times New Roman" w:eastAsia="黑体" w:cs="黑体"/>
          <w:sz w:val="32"/>
          <w:szCs w:val="32"/>
        </w:rPr>
      </w:pPr>
      <w:r>
        <w:rPr>
          <w:rStyle w:val="10"/>
          <w:rFonts w:ascii="Times New Roman" w:hAnsi="Times New Roman" w:eastAsia="黑体" w:cs="黑体"/>
          <w:sz w:val="32"/>
          <w:szCs w:val="32"/>
          <w:shd w:val="clear" w:color="auto" w:fill="FFFFFF"/>
        </w:rPr>
        <w:t>一、单位基本情况</w:t>
      </w:r>
    </w:p>
    <w:p>
      <w:pPr>
        <w:pStyle w:val="6"/>
        <w:shd w:val="clear"/>
        <w:spacing w:before="0" w:beforeAutospacing="0" w:after="0" w:afterAutospacing="0" w:line="580" w:lineRule="exact"/>
        <w:ind w:firstLine="640" w:firstLineChars="200"/>
        <w:jc w:val="both"/>
        <w:rPr>
          <w:rStyle w:val="10"/>
          <w:rFonts w:hint="default" w:ascii="Times New Roman" w:hAnsi="Times New Roman" w:eastAsia="方正楷体_GBK" w:cs="方正楷体_GBK"/>
          <w:sz w:val="32"/>
          <w:szCs w:val="32"/>
          <w:shd w:val="clear" w:color="auto" w:fill="FFFFFF"/>
        </w:rPr>
      </w:pPr>
      <w:r>
        <w:rPr>
          <w:rStyle w:val="10"/>
          <w:rFonts w:ascii="Times New Roman" w:hAnsi="Times New Roman" w:eastAsia="方正楷体_GBK" w:cs="方正楷体_GBK"/>
          <w:sz w:val="32"/>
          <w:szCs w:val="32"/>
          <w:shd w:val="clear" w:color="auto" w:fill="FFFFFF"/>
        </w:rPr>
        <w:t>（一）职能职责</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垫江县生态环</w:t>
      </w:r>
      <w:bookmarkStart w:id="0" w:name="_GoBack"/>
      <w:bookmarkEnd w:id="0"/>
      <w:r>
        <w:rPr>
          <w:rFonts w:ascii="Times New Roman" w:hAnsi="Times New Roman" w:eastAsia="方正仿宋_GBK" w:cs="方正仿宋_GBK"/>
          <w:sz w:val="32"/>
          <w:szCs w:val="32"/>
          <w:shd w:val="clear" w:color="auto" w:fill="FFFFFF"/>
        </w:rPr>
        <w:t>境保护综合行政执法支队以县生态环境局名义，统一行使污染防治、生态保护、核与辐射安全的行政处罚权及与之相关的行政检查、行政强制权等执法职能。</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1、承担全县生态环境保护综合行政执法的组织协调。组织开展有关专项执法，配合相关交叉执法、异地执法。参与拟订生态环境保护综合行政执法管理制度、执法标准规范。</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承担污染防治执法事项和环境违法案件的依法调查处理。依法开展水生态环境保护、饮用水水源地、地下水、入河排污口，大气环境保护，土壤生态环境保护，固体废物、化学品、重金属，农业面源、工业噪声等方面的污染防治执法和监督检查。</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承担生态保护执法事项和环境违法案件的依法调查处理。承担自然保护地内进行非法开矿、修路、筑坝、建设等造成生态破坏的生态保护执法和监督检查。依法开展因开发土地、矿藏等造成生态破坏的行政执法和监督检查。</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4、承担核与辐射安全执法事项和环境违法案件的依法调查处理，依法组织开展核与辐射安全监督检查。</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5、承担重点监管对象的在线监测（控）体系建设和监督管理工作。</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6、承担生态环境有关信访、投诉举报受理日常工作。</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7、承担与生态环境保护综合行政执法有关的应急工作。</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8、完成县委、县政府和县生态环境局交办的其他任务。</w:t>
      </w:r>
    </w:p>
    <w:p>
      <w:pPr>
        <w:pStyle w:val="6"/>
        <w:shd w:val="clear"/>
        <w:spacing w:before="0" w:beforeAutospacing="0" w:after="0" w:afterAutospacing="0" w:line="580" w:lineRule="exact"/>
        <w:ind w:firstLine="640" w:firstLineChars="200"/>
        <w:jc w:val="both"/>
        <w:rPr>
          <w:rStyle w:val="10"/>
          <w:rFonts w:hint="default" w:ascii="Times New Roman" w:hAnsi="Times New Roman" w:eastAsia="方正楷体_GBK" w:cs="方正楷体_GBK"/>
          <w:sz w:val="32"/>
          <w:szCs w:val="32"/>
          <w:shd w:val="clear" w:color="auto" w:fill="FFFFFF"/>
        </w:rPr>
      </w:pPr>
      <w:r>
        <w:rPr>
          <w:rStyle w:val="10"/>
          <w:rFonts w:ascii="Times New Roman" w:hAnsi="Times New Roman" w:eastAsia="方正楷体_GBK" w:cs="方正楷体_GBK"/>
          <w:sz w:val="32"/>
          <w:szCs w:val="32"/>
          <w:shd w:val="clear" w:color="auto" w:fill="FFFFFF"/>
        </w:rPr>
        <w:t>（二）机构设置</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上述职责，垫江县生态环境保护综合行政执法支队设办公室﹙信访科﹚、环境应急科﹙安全监管科﹚、案件审理科、生态环境执法一大队、生态环境执法二大队、生态环境执法三大队、生态环境执法四大队、特勤大队。</w:t>
      </w:r>
    </w:p>
    <w:p>
      <w:pPr>
        <w:pStyle w:val="6"/>
        <w:shd w:val="clear" w:color="auto"/>
        <w:spacing w:beforeAutospacing="0" w:after="0" w:afterAutospacing="0" w:line="58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黑体" w:cs="黑体"/>
          <w:sz w:val="32"/>
          <w:szCs w:val="32"/>
          <w:shd w:val="clear" w:color="auto" w:fill="FFFFFF"/>
        </w:rPr>
        <w:t>二、单位决算收支情况说明</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pPr>
        <w:pStyle w:val="6"/>
        <w:shd w:val="clear" w:color="auto"/>
        <w:spacing w:beforeAutospacing="0" w:after="0" w:afterAutospacing="0" w:line="580" w:lineRule="exact"/>
        <w:ind w:firstLine="643" w:firstLineChars="200"/>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2024年度收入总计670.21万元，支出总计</w:t>
      </w:r>
      <w:r>
        <w:rPr>
          <w:rFonts w:ascii="Times New Roman" w:hAnsi="Times New Roman" w:eastAsia="方正仿宋_GBK" w:cs="方正仿宋_GBK"/>
          <w:sz w:val="32"/>
          <w:szCs w:val="32"/>
        </w:rPr>
        <w:t>670.21</w:t>
      </w:r>
      <w:r>
        <w:rPr>
          <w:rFonts w:ascii="Times New Roman" w:hAnsi="Times New Roman" w:eastAsia="方正仿宋_GBK" w:cs="方正仿宋_GBK"/>
          <w:sz w:val="32"/>
          <w:szCs w:val="32"/>
          <w:shd w:val="clear" w:color="auto" w:fill="FFFFFF"/>
        </w:rPr>
        <w:t>万元。收、支与2023年度相比，增加34.84万元，增长5.48%，主要原因是职工正常晋级晋档工资调增，社保基数调增及补缴以前年度社保。</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2024年度收入合计648.98万元，与2023年度相比，增加21.31万元，增长3.40%，主要原因是职工正常晋级晋档工资调增，社保基数调增及补缴以前年度社保。其中：财政拨款收入</w:t>
      </w:r>
      <w:r>
        <w:rPr>
          <w:rFonts w:ascii="Times New Roman" w:hAnsi="Times New Roman" w:eastAsia="方正仿宋_GBK" w:cs="方正仿宋_GBK"/>
          <w:sz w:val="32"/>
          <w:szCs w:val="32"/>
        </w:rPr>
        <w:t>648.98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21.23</w:t>
      </w:r>
      <w:r>
        <w:rPr>
          <w:rFonts w:ascii="Times New Roman" w:hAnsi="Times New Roman" w:eastAsia="方正仿宋_GBK" w:cs="方正仿宋_GBK"/>
          <w:sz w:val="32"/>
          <w:szCs w:val="32"/>
          <w:shd w:val="clear" w:color="auto" w:fill="FFFFFF"/>
        </w:rPr>
        <w:t>万元。</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662.34</w:t>
      </w:r>
      <w:r>
        <w:rPr>
          <w:rFonts w:ascii="Times New Roman" w:hAnsi="Times New Roman" w:eastAsia="方正仿宋_GBK" w:cs="方正仿宋_GBK"/>
          <w:sz w:val="32"/>
          <w:szCs w:val="32"/>
          <w:shd w:val="clear" w:color="auto" w:fill="FFFFFF"/>
        </w:rPr>
        <w:t>万元，与2023年度相比，增加32.62万元，增长5.18%，主要原因是职工正常晋级晋档工资调增，社保基数调增及补缴以前年度社保。其中：基本支出</w:t>
      </w:r>
      <w:r>
        <w:rPr>
          <w:rFonts w:ascii="Times New Roman" w:hAnsi="Times New Roman" w:eastAsia="方正仿宋_GBK" w:cs="方正仿宋_GBK"/>
          <w:sz w:val="32"/>
          <w:szCs w:val="32"/>
        </w:rPr>
        <w:t>581.02</w:t>
      </w:r>
      <w:r>
        <w:rPr>
          <w:rFonts w:ascii="Times New Roman" w:hAnsi="Times New Roman" w:eastAsia="方正仿宋_GBK" w:cs="方正仿宋_GBK"/>
          <w:sz w:val="32"/>
          <w:szCs w:val="32"/>
          <w:shd w:val="clear" w:color="auto" w:fill="FFFFFF"/>
        </w:rPr>
        <w:t>万元，占87.72%；项目支出</w:t>
      </w:r>
      <w:r>
        <w:rPr>
          <w:rFonts w:ascii="Times New Roman" w:hAnsi="Times New Roman" w:eastAsia="方正仿宋_GBK" w:cs="方正仿宋_GBK"/>
          <w:sz w:val="32"/>
          <w:szCs w:val="32"/>
        </w:rPr>
        <w:t>81.32</w:t>
      </w:r>
      <w:r>
        <w:rPr>
          <w:rFonts w:ascii="Times New Roman" w:hAnsi="Times New Roman" w:eastAsia="方正仿宋_GBK" w:cs="方正仿宋_GBK"/>
          <w:sz w:val="32"/>
          <w:szCs w:val="32"/>
          <w:shd w:val="clear" w:color="auto" w:fill="FFFFFF"/>
        </w:rPr>
        <w:t>万元，占12.28%；经营支出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7.87</w:t>
      </w:r>
      <w:r>
        <w:rPr>
          <w:rFonts w:ascii="Times New Roman" w:hAnsi="Times New Roman" w:eastAsia="方正仿宋_GBK" w:cs="方正仿宋_GBK"/>
          <w:sz w:val="32"/>
          <w:szCs w:val="32"/>
          <w:shd w:val="clear" w:color="auto" w:fill="FFFFFF"/>
        </w:rPr>
        <w:t>万元，与2023年度相比，增加2.22万元，增长39.29%，主要原因是职工退公积金。</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2024年度财政拨款收、支总计667.45万元。与2023年相比，财政拨款收、支总计各增加34.84万元，增长5.51%。主要原因是职工正常晋级晋档工资调增，社保基数调增及补缴以前年度社保。</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648.98</w:t>
      </w:r>
      <w:r>
        <w:rPr>
          <w:rFonts w:ascii="Times New Roman" w:hAnsi="Times New Roman" w:eastAsia="方正仿宋_GBK" w:cs="方正仿宋_GBK"/>
          <w:sz w:val="32"/>
          <w:szCs w:val="32"/>
          <w:shd w:val="clear" w:color="auto" w:fill="FFFFFF"/>
        </w:rPr>
        <w:t>万元，与2023年度相比，增加24.07万元，增长3.85%。主要原因是职工正常晋级晋档工资调增，社保基数调增。较年初预算数减少15.78万元，下降2.37%。主要原因是人员减少。此外，年初财政拨款结转和结余</w:t>
      </w:r>
      <w:r>
        <w:rPr>
          <w:rFonts w:ascii="Times New Roman" w:hAnsi="Times New Roman" w:eastAsia="方正仿宋_GBK" w:cs="方正仿宋_GBK"/>
          <w:sz w:val="32"/>
          <w:szCs w:val="32"/>
        </w:rPr>
        <w:t>18.47</w:t>
      </w:r>
      <w:r>
        <w:rPr>
          <w:rFonts w:ascii="Times New Roman" w:hAnsi="Times New Roman" w:eastAsia="方正仿宋_GBK" w:cs="方正仿宋_GBK"/>
          <w:sz w:val="32"/>
          <w:szCs w:val="32"/>
          <w:shd w:val="clear" w:color="auto" w:fill="FFFFFF"/>
        </w:rPr>
        <w:t>万元。</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662.34</w:t>
      </w:r>
      <w:r>
        <w:rPr>
          <w:rFonts w:ascii="Times New Roman" w:hAnsi="Times New Roman" w:eastAsia="方正仿宋_GBK" w:cs="方正仿宋_GBK"/>
          <w:sz w:val="32"/>
          <w:szCs w:val="32"/>
          <w:shd w:val="clear" w:color="auto" w:fill="FFFFFF"/>
        </w:rPr>
        <w:t>万元，与2023年度相比，增加32.62万元，增长5.18%。主要原因是职工正常晋级晋档工资调增，社保基数调增及补缴以前年度社保。较年初预算数减少2.42万元，下降0.36%。主要原因是人员减少。</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5.11</w:t>
      </w:r>
      <w:r>
        <w:rPr>
          <w:rFonts w:ascii="Times New Roman" w:hAnsi="Times New Roman" w:eastAsia="方正仿宋_GBK" w:cs="方正仿宋_GBK"/>
          <w:sz w:val="32"/>
          <w:szCs w:val="32"/>
          <w:shd w:val="clear" w:color="auto" w:fill="FFFFFF"/>
        </w:rPr>
        <w:t>万元，与2023年度相比，增加2.22万元，增长76.82%，主要原因是职工退公积金。</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0.38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0.06</w:t>
      </w:r>
      <w:r>
        <w:rPr>
          <w:rFonts w:ascii="Times New Roman" w:hAnsi="Times New Roman" w:eastAsia="方正仿宋_GBK" w:cs="方正仿宋_GBK"/>
          <w:sz w:val="32"/>
          <w:szCs w:val="32"/>
          <w:shd w:val="clear" w:color="auto" w:fill="FFFFFF"/>
        </w:rPr>
        <w:t>%，较年初预算数减少1.13万元，下降74.83%，主要原因是本年安排培训减少。</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82.09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12.39</w:t>
      </w:r>
      <w:r>
        <w:rPr>
          <w:rFonts w:ascii="Times New Roman" w:hAnsi="Times New Roman" w:eastAsia="方正仿宋_GBK" w:cs="方正仿宋_GBK"/>
          <w:sz w:val="32"/>
          <w:szCs w:val="32"/>
          <w:shd w:val="clear" w:color="auto" w:fill="FFFFFF"/>
        </w:rPr>
        <w:t>%，较年初预算数增加7.32万元，增长9.79%，主要原因是补缴以往年度社保。</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27.01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4.08</w:t>
      </w:r>
      <w:r>
        <w:rPr>
          <w:rFonts w:ascii="Times New Roman" w:hAnsi="Times New Roman" w:eastAsia="方正仿宋_GBK" w:cs="方正仿宋_GBK"/>
          <w:sz w:val="32"/>
          <w:szCs w:val="32"/>
          <w:shd w:val="clear" w:color="auto" w:fill="FFFFFF"/>
        </w:rPr>
        <w:t>%，较年初预算数减少1.76万元，下降6.12%，主要原因是社保基数调整。</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（4）节能环保支出</w:t>
      </w:r>
      <w:r>
        <w:rPr>
          <w:rFonts w:ascii="Times New Roman" w:hAnsi="Times New Roman" w:eastAsia="方正仿宋_GBK" w:cs="方正仿宋_GBK"/>
          <w:sz w:val="32"/>
          <w:szCs w:val="32"/>
        </w:rPr>
        <w:t>515.87</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77.89</w:t>
      </w:r>
      <w:r>
        <w:rPr>
          <w:rFonts w:ascii="Times New Roman" w:hAnsi="Times New Roman" w:eastAsia="方正仿宋_GBK" w:cs="方正仿宋_GBK"/>
          <w:sz w:val="32"/>
          <w:szCs w:val="32"/>
          <w:shd w:val="clear" w:color="auto" w:fill="FFFFFF"/>
        </w:rPr>
        <w:t>%，较年初预算数减少4.65万元，下降0.89%，主要原因是人员减少。</w:t>
      </w:r>
    </w:p>
    <w:p>
      <w:pPr>
        <w:shd w:val="clear"/>
        <w:spacing w:line="58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w:t>
      </w:r>
      <w:r>
        <w:rPr>
          <w:rFonts w:ascii="Times New Roman" w:hAnsi="Times New Roman" w:eastAsia="方正仿宋_GBK" w:cs="方正仿宋_GBK"/>
          <w:sz w:val="32"/>
          <w:szCs w:val="32"/>
        </w:rPr>
        <w:t>住房保障支出36.99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5.58</w:t>
      </w:r>
      <w:r>
        <w:rPr>
          <w:rFonts w:ascii="Times New Roman" w:hAnsi="Times New Roman" w:eastAsia="方正仿宋_GBK" w:cs="方正仿宋_GBK"/>
          <w:sz w:val="32"/>
          <w:szCs w:val="32"/>
          <w:shd w:val="clear" w:color="auto" w:fill="FFFFFF"/>
        </w:rPr>
        <w:t>%，较年初预算数减少2.21万元，下降5.64%，主要原因是人员减少。</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pPr>
        <w:pStyle w:val="12"/>
        <w:shd w:val="clear"/>
        <w:spacing w:before="0" w:beforeAutospacing="0" w:after="0" w:afterAutospacing="0" w:line="58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581.02</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498.15</w:t>
      </w:r>
      <w:r>
        <w:rPr>
          <w:rFonts w:ascii="Times New Roman" w:hAnsi="Times New Roman" w:eastAsia="方正仿宋_GBK" w:cs="方正仿宋_GBK"/>
          <w:sz w:val="32"/>
          <w:szCs w:val="32"/>
          <w:shd w:val="clear" w:color="auto" w:fill="FFFFFF"/>
        </w:rPr>
        <w:t>万元，与2023年度相比，增加30.24万元，增长6.46%，主要原因是</w:t>
      </w:r>
      <w:r>
        <w:rPr>
          <w:rFonts w:hint="eastAsia" w:ascii="Times New Roman" w:hAnsi="Times New Roman" w:eastAsia="方正仿宋_GBK" w:cs="方正仿宋_GBK"/>
          <w:sz w:val="32"/>
          <w:szCs w:val="32"/>
          <w:shd w:val="clear" w:color="auto" w:fill="FFFFFF"/>
        </w:rPr>
        <w:t>职工正常晋升工资调增及补缴以往年度社保</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bidi="ar"/>
        </w:rPr>
        <w:t>基本工资、津贴补贴、奖金、社会保障缴费、绩效工资、住房公积金、医疗费等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82.88</w:t>
      </w:r>
      <w:r>
        <w:rPr>
          <w:rFonts w:ascii="Times New Roman" w:hAnsi="Times New Roman" w:eastAsia="方正仿宋_GBK" w:cs="方正仿宋_GBK"/>
          <w:sz w:val="32"/>
          <w:szCs w:val="32"/>
          <w:shd w:val="clear" w:color="auto" w:fill="FFFFFF"/>
        </w:rPr>
        <w:t>万元，与2023年度相比，减少0.83万元，下降0.99%，主要原因是</w:t>
      </w:r>
      <w:r>
        <w:rPr>
          <w:rFonts w:hint="eastAsia" w:ascii="Times New Roman" w:hAnsi="Times New Roman" w:eastAsia="方正仿宋_GBK" w:cs="方正仿宋_GBK"/>
          <w:sz w:val="32"/>
          <w:szCs w:val="32"/>
          <w:shd w:val="clear" w:color="auto" w:fill="FFFFFF"/>
        </w:rPr>
        <w:t>厉行节约</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lang w:bidi="ar"/>
        </w:rPr>
        <w:t>办公费、水电费、邮电费、公务接待费、培训费、工会经费、劳务费、其他交通费用等</w:t>
      </w:r>
      <w:r>
        <w:rPr>
          <w:rFonts w:ascii="Times New Roman" w:hAnsi="Times New Roman" w:eastAsia="方正仿宋_GBK" w:cs="方正仿宋_GBK"/>
          <w:sz w:val="32"/>
          <w:szCs w:val="32"/>
          <w:shd w:val="clear" w:color="auto" w:fill="FFFFFF"/>
        </w:rPr>
        <w:t>。</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pPr>
        <w:pStyle w:val="11"/>
        <w:shd w:val="clear"/>
        <w:autoSpaceDE w:val="0"/>
        <w:spacing w:line="580" w:lineRule="exact"/>
        <w:ind w:firstLine="64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w:t>
      </w:r>
      <w:r>
        <w:rPr>
          <w:rFonts w:hint="eastAsia"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年度无政府性基金预算财政拨款收支。</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rPr>
        <w:t> </w:t>
      </w:r>
      <w:r>
        <w:rPr>
          <w:rFonts w:ascii="Times New Roman" w:hAnsi="Times New Roman" w:eastAsia="方正仿宋_GBK" w:cs="方正仿宋_GBK"/>
          <w:sz w:val="32"/>
          <w:szCs w:val="32"/>
          <w:shd w:val="clear" w:color="auto" w:fill="FFFFFF"/>
        </w:rPr>
        <w:t>2024年</w:t>
      </w:r>
      <w:r>
        <w:rPr>
          <w:rFonts w:hint="default" w:ascii="Times New Roman" w:hAnsi="Times New Roman" w:eastAsia="方正仿宋_GBK" w:cs="方正仿宋_GBK"/>
          <w:sz w:val="32"/>
          <w:szCs w:val="32"/>
          <w:shd w:val="clear" w:color="auto" w:fill="FFFFFF"/>
        </w:rPr>
        <w:t>度国有资本经营预算财政拨本年支出0.00万元，基本支出0.00万元，项目支出0.00万元，本单位</w:t>
      </w:r>
      <w:r>
        <w:rPr>
          <w:rFonts w:ascii="Times New Roman" w:hAnsi="Times New Roman" w:eastAsia="方正仿宋_GBK" w:cs="方正仿宋_GBK"/>
          <w:sz w:val="32"/>
          <w:szCs w:val="32"/>
          <w:shd w:val="clear" w:color="auto" w:fill="FFFFFF"/>
        </w:rPr>
        <w:t>2024年</w:t>
      </w:r>
      <w:r>
        <w:rPr>
          <w:rFonts w:hint="default" w:ascii="Times New Roman" w:hAnsi="Times New Roman" w:eastAsia="方正仿宋_GBK" w:cs="方正仿宋_GBK"/>
          <w:sz w:val="32"/>
          <w:szCs w:val="32"/>
          <w:shd w:val="clear" w:color="auto" w:fill="FFFFFF"/>
        </w:rPr>
        <w:t>度无国有资本经营预算财政拨款支出。</w:t>
      </w:r>
    </w:p>
    <w:p>
      <w:pPr>
        <w:pStyle w:val="6"/>
        <w:shd w:val="clear" w:color="auto"/>
        <w:spacing w:beforeAutospacing="0" w:after="0" w:afterAutospacing="0"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三、财政拨款“三公”经费情况说明</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13.79</w:t>
      </w:r>
      <w:r>
        <w:rPr>
          <w:rFonts w:ascii="Times New Roman" w:hAnsi="Times New Roman" w:eastAsia="方正仿宋_GBK" w:cs="方正仿宋_GBK"/>
          <w:sz w:val="32"/>
          <w:szCs w:val="32"/>
          <w:shd w:val="clear" w:color="auto" w:fill="FFFFFF"/>
        </w:rPr>
        <w:t>万元，较年初预算数减少1.21万元，下降8.07%，主要原因是厉行节约。较上年支出数增加4.12万元，增长42.61%，主要原因是公务用车运行维护费增加。</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万元，主要是用于</w:t>
      </w:r>
      <w:r>
        <w:rPr>
          <w:rFonts w:hint="default" w:ascii="Times New Roman" w:hAnsi="Times New Roman" w:eastAsia="方正仿宋_GBK" w:cs="方正仿宋_GBK"/>
          <w:sz w:val="32"/>
          <w:szCs w:val="32"/>
          <w:shd w:val="clear" w:color="auto" w:fill="FFFFFF"/>
        </w:rPr>
        <w:t>年初预算数未安排因公出国（境）费用，也未发生因公出国（境）费用。较上年支出数无增减，主要原因是上年和本年均未发生因公出国（境）费用。</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rPr>
        <w:t>费用支出较年初预算数无增减，主要原因是年初预算数未安排且本年未发生公务车购置费用。较上年支出数无增减，主要原因是上年和本年均未发生公务车购置费用。</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12.00</w:t>
      </w:r>
      <w:r>
        <w:rPr>
          <w:rFonts w:ascii="Times New Roman" w:hAnsi="Times New Roman" w:eastAsia="方正仿宋_GBK" w:cs="方正仿宋_GBK"/>
          <w:sz w:val="32"/>
          <w:szCs w:val="32"/>
          <w:shd w:val="clear" w:color="auto" w:fill="FFFFFF"/>
        </w:rPr>
        <w:t>万元，主要用于公务车加油、维修维护。费用支出较年初预算数无增减，主要原因是严格按照年初预算数执行。较上年支出数增加4.00万元，增长50.00%，主要原因是年初预算数增加。</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1.79</w:t>
      </w:r>
      <w:r>
        <w:rPr>
          <w:rFonts w:ascii="Times New Roman" w:hAnsi="Times New Roman" w:eastAsia="方正仿宋_GBK" w:cs="方正仿宋_GBK"/>
          <w:sz w:val="32"/>
          <w:szCs w:val="32"/>
          <w:shd w:val="clear" w:color="auto" w:fill="FFFFFF"/>
        </w:rPr>
        <w:t>万元，主要用于接待上级部门、其他区县及相关部门检查指导工作发生的接待支出。费用支出较年初预算数减少1.21万元，下降40.33%，主要原因是厉行节约。较上年支出数增加0.12万元，增长7.19%，主要原因是本年迎接</w:t>
      </w:r>
      <w:r>
        <w:rPr>
          <w:rFonts w:hint="eastAsia" w:ascii="Times New Roman" w:hAnsi="Times New Roman" w:eastAsia="方正仿宋_GBK" w:cs="方正仿宋_GBK"/>
          <w:sz w:val="32"/>
          <w:szCs w:val="32"/>
          <w:shd w:val="clear" w:color="auto" w:fill="FFFFFF"/>
          <w:lang w:eastAsia="zh-CN"/>
        </w:rPr>
        <w:t>中央生态环保督察</w:t>
      </w:r>
      <w:r>
        <w:rPr>
          <w:rFonts w:ascii="Times New Roman" w:hAnsi="Times New Roman" w:eastAsia="方正仿宋_GBK" w:cs="方正仿宋_GBK"/>
          <w:sz w:val="32"/>
          <w:szCs w:val="32"/>
          <w:shd w:val="clear" w:color="auto" w:fill="FFFFFF"/>
        </w:rPr>
        <w:t>，接待增加。</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3</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23</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206</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87.11</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4.00</w:t>
      </w:r>
      <w:r>
        <w:rPr>
          <w:rFonts w:ascii="Times New Roman" w:hAnsi="Times New Roman" w:eastAsia="方正仿宋_GBK" w:cs="方正仿宋_GBK"/>
          <w:sz w:val="32"/>
          <w:szCs w:val="32"/>
          <w:shd w:val="clear" w:color="auto" w:fill="FFFFFF"/>
        </w:rPr>
        <w:t>万元。</w:t>
      </w:r>
    </w:p>
    <w:p>
      <w:pPr>
        <w:pStyle w:val="6"/>
        <w:shd w:val="clear" w:color="auto"/>
        <w:spacing w:beforeAutospacing="0" w:after="0" w:afterAutospacing="0" w:line="580" w:lineRule="exact"/>
        <w:ind w:firstLine="643" w:firstLineChars="200"/>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（一）财政拨款会议费和培训费情况说明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万元，与2023年度相比，无增减，主要原因是均未组织召开会议。本年度培训费支出</w:t>
      </w:r>
      <w:r>
        <w:rPr>
          <w:rFonts w:ascii="Times New Roman" w:hAnsi="Times New Roman" w:eastAsia="方正仿宋_GBK" w:cs="方正仿宋_GBK"/>
          <w:sz w:val="32"/>
          <w:szCs w:val="32"/>
        </w:rPr>
        <w:t>0.38</w:t>
      </w:r>
      <w:r>
        <w:rPr>
          <w:rFonts w:ascii="Times New Roman" w:hAnsi="Times New Roman" w:eastAsia="方正仿宋_GBK" w:cs="方正仿宋_GBK"/>
          <w:sz w:val="32"/>
          <w:szCs w:val="32"/>
          <w:shd w:val="clear" w:color="auto" w:fill="FFFFFF"/>
        </w:rPr>
        <w:t>万元，与2023年度相比，减少0.23万元，下降37.70%，主要原因是本年安排培训减少。</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2024年度本单位机关运行经费支出</w:t>
      </w:r>
      <w:r>
        <w:rPr>
          <w:rFonts w:ascii="Times New Roman" w:hAnsi="Times New Roman" w:eastAsia="方正仿宋_GBK" w:cs="方正仿宋_GBK"/>
          <w:sz w:val="32"/>
          <w:szCs w:val="32"/>
        </w:rPr>
        <w:t>82.88</w:t>
      </w:r>
      <w:r>
        <w:rPr>
          <w:rFonts w:ascii="Times New Roman" w:hAnsi="Times New Roman" w:eastAsia="方正仿宋_GBK" w:cs="方正仿宋_GBK"/>
          <w:sz w:val="32"/>
          <w:szCs w:val="32"/>
          <w:shd w:val="clear" w:color="auto" w:fill="FFFFFF"/>
        </w:rPr>
        <w:t>万元，机关运行经费主要用于开支办公费、水电费、邮电费、公务接待费、培训费、工会经费、劳务费、其他交通费用等。机关运行经费较上年支出数减少0.83万元，下降0.99%，主要原因是厉行节约。</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截至2024年12月31日，本单位共有车辆</w:t>
      </w:r>
      <w:r>
        <w:rPr>
          <w:rFonts w:ascii="Times New Roman" w:hAnsi="Times New Roman" w:eastAsia="方正仿宋_GBK" w:cs="方正仿宋_GBK"/>
          <w:sz w:val="32"/>
          <w:szCs w:val="32"/>
        </w:rPr>
        <w:t>3</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1</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pPr>
        <w:pStyle w:val="6"/>
        <w:shd w:val="clear"/>
        <w:spacing w:before="0" w:beforeAutospacing="0" w:after="0" w:afterAutospacing="0" w:line="580" w:lineRule="exact"/>
        <w:ind w:firstLine="800" w:firstLineChars="25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0.00万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 xml:space="preserve"> %。202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年度我单位未发生政府采购事项，无相关经费支出。</w:t>
      </w:r>
    </w:p>
    <w:p>
      <w:pPr>
        <w:pStyle w:val="6"/>
        <w:shd w:val="clear" w:color="auto"/>
        <w:spacing w:beforeAutospacing="0" w:after="0" w:afterAutospacing="0" w:line="580" w:lineRule="exact"/>
        <w:ind w:firstLine="643" w:firstLineChars="200"/>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五、2024年度预算绩效管理情况说明</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（一）单位自评情况</w:t>
      </w:r>
    </w:p>
    <w:p>
      <w:pPr>
        <w:pStyle w:val="12"/>
        <w:shd w:val="clear"/>
        <w:autoSpaceDE w:val="0"/>
        <w:spacing w:before="0" w:beforeAutospacing="0" w:after="0" w:afterAutospacing="0" w:line="580" w:lineRule="exact"/>
        <w:ind w:firstLine="640" w:firstLineChars="200"/>
        <w:rPr>
          <w:rFonts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shd w:val="clear" w:color="auto" w:fill="FFFFFF"/>
        </w:rPr>
        <w:t>根据预算绩效管理要求，我单位对4个二级项目开展了绩效自评，涉及财政拨款项目支出资金81.32万元</w:t>
      </w:r>
    </w:p>
    <w:tbl>
      <w:tblPr>
        <w:tblStyle w:val="7"/>
        <w:tblW w:w="9198" w:type="dxa"/>
        <w:tblInd w:w="0" w:type="dxa"/>
        <w:tblLayout w:type="fixed"/>
        <w:tblCellMar>
          <w:top w:w="0" w:type="dxa"/>
          <w:left w:w="0" w:type="dxa"/>
          <w:bottom w:w="0" w:type="dxa"/>
          <w:right w:w="0" w:type="dxa"/>
        </w:tblCellMar>
      </w:tblPr>
      <w:tblGrid>
        <w:gridCol w:w="1420"/>
        <w:gridCol w:w="763"/>
        <w:gridCol w:w="831"/>
        <w:gridCol w:w="1178"/>
        <w:gridCol w:w="1139"/>
        <w:gridCol w:w="1044"/>
        <w:gridCol w:w="630"/>
        <w:gridCol w:w="549"/>
        <w:gridCol w:w="549"/>
        <w:gridCol w:w="589"/>
        <w:gridCol w:w="506"/>
      </w:tblGrid>
      <w:tr>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2024年度二级项目绩效自评表</w:t>
            </w:r>
          </w:p>
        </w:tc>
      </w:tr>
      <w:tr>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1" w:firstLineChars="100"/>
              <w:jc w:val="right"/>
              <w:textAlignment w:val="center"/>
              <w:rPr>
                <w:rFonts w:hint="default" w:ascii="Times New Roman" w:hAnsi="Times New Roman" w:cs="宋体"/>
                <w:b/>
                <w:sz w:val="18"/>
                <w:szCs w:val="18"/>
              </w:rPr>
            </w:pPr>
            <w:r>
              <w:rPr>
                <w:rFonts w:ascii="Times New Roman" w:hAnsi="Times New Roman" w:cs="宋体"/>
                <w:b/>
                <w:sz w:val="18"/>
                <w:szCs w:val="18"/>
                <w:lang w:bidi="ar"/>
              </w:rPr>
              <w:t>状态：绩效审核已审</w:t>
            </w: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项目名称：</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textAlignment w:val="center"/>
              <w:rPr>
                <w:rFonts w:hint="default" w:ascii="Times New Roman" w:hAnsi="Times New Roman" w:cs="宋体"/>
                <w:sz w:val="18"/>
                <w:szCs w:val="18"/>
              </w:rPr>
            </w:pPr>
            <w:r>
              <w:rPr>
                <w:rFonts w:ascii="Times New Roman" w:hAnsi="Times New Roman" w:cs="宋体"/>
                <w:sz w:val="18"/>
                <w:szCs w:val="18"/>
                <w:lang w:bidi="ar"/>
              </w:rPr>
              <w:t>购买服务人员经费</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项目编码：</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50023123T000003150430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自评总分：</w:t>
            </w:r>
          </w:p>
        </w:tc>
        <w:tc>
          <w:tcPr>
            <w:tcW w:w="21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rPr>
                <w:rFonts w:hint="default" w:ascii="Times New Roman" w:hAnsi="Times New Roman" w:cs="宋体"/>
                <w:sz w:val="18"/>
                <w:szCs w:val="18"/>
              </w:rPr>
            </w:pPr>
            <w:r>
              <w:rPr>
                <w:rFonts w:ascii="Times New Roman" w:hAnsi="Times New Roman" w:cs="宋体"/>
                <w:sz w:val="18"/>
                <w:szCs w:val="18"/>
                <w:lang w:bidi="ar"/>
              </w:rPr>
              <w:t>100.00</w:t>
            </w: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项目主管部门：</w:t>
            </w:r>
          </w:p>
        </w:tc>
        <w:tc>
          <w:tcPr>
            <w:tcW w:w="15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202-垫江县生态环境局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财政归口处室：</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005-经建科</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部门联系人：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董世波</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right"/>
              <w:textAlignment w:val="center"/>
              <w:rPr>
                <w:rFonts w:hint="default" w:ascii="Times New Roman" w:hAnsi="Times New Roman" w:cs="宋体"/>
                <w:b/>
                <w:sz w:val="18"/>
                <w:szCs w:val="18"/>
              </w:rPr>
            </w:pPr>
            <w:r>
              <w:rPr>
                <w:rFonts w:ascii="Times New Roman" w:hAnsi="Times New Roman" w:cs="宋体"/>
                <w:b/>
                <w:sz w:val="18"/>
                <w:szCs w:val="18"/>
                <w:lang w:bidi="ar"/>
              </w:rPr>
              <w:t>联电话：</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atLeast"/>
              <w:textAlignment w:val="center"/>
              <w:rPr>
                <w:rFonts w:hint="default" w:ascii="Times New Roman" w:hAnsi="Times New Roman" w:cs="宋体"/>
                <w:sz w:val="18"/>
                <w:szCs w:val="18"/>
              </w:rPr>
            </w:pPr>
            <w:r>
              <w:rPr>
                <w:rFonts w:ascii="Times New Roman" w:hAnsi="Times New Roman" w:cs="宋体"/>
                <w:sz w:val="18"/>
                <w:szCs w:val="18"/>
                <w:lang w:bidi="ar"/>
              </w:rPr>
              <w:t>74688072</w:t>
            </w:r>
          </w:p>
        </w:tc>
      </w:tr>
      <w:tr>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资金情况</w:t>
            </w:r>
          </w:p>
        </w:tc>
      </w:tr>
      <w:tr>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年初预算数</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全年（调整）预算数</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全年执行数</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执行率</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textAlignment w:val="center"/>
              <w:rPr>
                <w:rFonts w:hint="default" w:ascii="Times New Roman" w:hAnsi="Times New Roman" w:cs="宋体"/>
                <w:b/>
                <w:sz w:val="18"/>
                <w:szCs w:val="18"/>
              </w:rPr>
            </w:pPr>
            <w:r>
              <w:rPr>
                <w:rFonts w:ascii="Times New Roman" w:hAnsi="Times New Roman" w:cs="宋体"/>
                <w:b/>
                <w:sz w:val="18"/>
                <w:szCs w:val="18"/>
                <w:lang w:bidi="ar"/>
              </w:rPr>
              <w:t>执行率权重</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执行率得分</w:t>
            </w:r>
          </w:p>
        </w:tc>
      </w:tr>
      <w:tr>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年度总金额</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r>
      <w:tr>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其中：财政拨款</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10.00</w:t>
            </w:r>
          </w:p>
        </w:tc>
      </w:tr>
      <w:tr>
        <w:tblPrEx>
          <w:tblCellMar>
            <w:top w:w="0" w:type="dxa"/>
            <w:left w:w="0" w:type="dxa"/>
            <w:bottom w:w="0" w:type="dxa"/>
            <w:right w:w="0" w:type="dxa"/>
          </w:tblCellMar>
        </w:tblPrEx>
        <w:trPr>
          <w:trHeight w:val="23" w:hRule="atLeast"/>
        </w:trPr>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一般公共预算</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21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192,000.00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r>
      <w:tr>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绩效目标</w:t>
            </w:r>
          </w:p>
        </w:tc>
      </w:tr>
      <w:tr>
        <w:tblPrEx>
          <w:tblCellMar>
            <w:top w:w="0" w:type="dxa"/>
            <w:left w:w="0" w:type="dxa"/>
            <w:bottom w:w="0" w:type="dxa"/>
            <w:right w:w="0" w:type="dxa"/>
          </w:tblCellMar>
        </w:tblPrEx>
        <w:trPr>
          <w:trHeight w:val="23" w:hRule="atLeast"/>
        </w:trPr>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年初绩效目标</w:t>
            </w:r>
          </w:p>
        </w:tc>
        <w:tc>
          <w:tcPr>
            <w:tcW w:w="33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全年（调整）绩效目标</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全年目标实际完成情况</w:t>
            </w:r>
          </w:p>
        </w:tc>
      </w:tr>
      <w:tr>
        <w:tblPrEx>
          <w:tblCellMar>
            <w:top w:w="0" w:type="dxa"/>
            <w:left w:w="0" w:type="dxa"/>
            <w:bottom w:w="0" w:type="dxa"/>
            <w:right w:w="0" w:type="dxa"/>
          </w:tblCellMar>
        </w:tblPrEx>
        <w:trPr>
          <w:trHeight w:val="23" w:hRule="atLeast"/>
        </w:trPr>
        <w:tc>
          <w:tcPr>
            <w:tcW w:w="41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spacing w:line="240" w:lineRule="atLeast"/>
              <w:textAlignment w:val="top"/>
              <w:rPr>
                <w:rFonts w:hint="default" w:ascii="Times New Roman" w:hAnsi="Times New Roman" w:cs="宋体"/>
                <w:sz w:val="18"/>
                <w:szCs w:val="18"/>
              </w:rPr>
            </w:pPr>
            <w:r>
              <w:rPr>
                <w:rFonts w:ascii="Times New Roman" w:hAnsi="Times New Roman" w:cs="宋体"/>
                <w:sz w:val="18"/>
                <w:szCs w:val="18"/>
                <w:lang w:bidi="ar"/>
              </w:rPr>
              <w:t>通过购买服务人员，辅助环境执法工作。</w:t>
            </w:r>
          </w:p>
        </w:tc>
        <w:tc>
          <w:tcPr>
            <w:tcW w:w="33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spacing w:line="240" w:lineRule="atLeast"/>
              <w:rPr>
                <w:rFonts w:hint="default" w:ascii="Times New Roman" w:hAnsi="Times New Roman" w:cs="宋体"/>
                <w:sz w:val="18"/>
                <w:szCs w:val="18"/>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shd w:val="clear"/>
              <w:spacing w:line="240" w:lineRule="atLeast"/>
              <w:textAlignment w:val="top"/>
              <w:rPr>
                <w:rFonts w:hint="default" w:ascii="Times New Roman" w:hAnsi="Times New Roman" w:cs="宋体"/>
                <w:sz w:val="18"/>
                <w:szCs w:val="18"/>
              </w:rPr>
            </w:pPr>
            <w:r>
              <w:rPr>
                <w:rFonts w:ascii="Times New Roman" w:hAnsi="Times New Roman" w:cs="宋体"/>
                <w:sz w:val="18"/>
                <w:szCs w:val="18"/>
                <w:lang w:bidi="ar"/>
              </w:rPr>
              <w:t>购买服务人员，辅助环境执法工作。</w:t>
            </w:r>
          </w:p>
        </w:tc>
      </w:tr>
      <w:tr>
        <w:tblPrEx>
          <w:tblCellMar>
            <w:top w:w="0" w:type="dxa"/>
            <w:left w:w="0" w:type="dxa"/>
            <w:bottom w:w="0" w:type="dxa"/>
            <w:right w:w="0" w:type="dxa"/>
          </w:tblCellMar>
        </w:tblPrEx>
        <w:trPr>
          <w:trHeight w:val="23" w:hRule="atLeast"/>
        </w:trPr>
        <w:tc>
          <w:tcPr>
            <w:tcW w:w="919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eastAsia="微软雅黑" w:cs="微软雅黑"/>
                <w:b/>
                <w:sz w:val="18"/>
                <w:szCs w:val="18"/>
              </w:rPr>
            </w:pPr>
            <w:r>
              <w:rPr>
                <w:rFonts w:ascii="Times New Roman" w:hAnsi="Times New Roman" w:eastAsia="微软雅黑" w:cs="微软雅黑"/>
                <w:b/>
                <w:sz w:val="18"/>
                <w:szCs w:val="18"/>
                <w:lang w:bidi="ar"/>
              </w:rPr>
              <w:t>绩效指标</w:t>
            </w: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指标名称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计量单位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指标性质</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指标值</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全年完成值</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偏离度（%）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得分系数（%）</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指标权重</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指标得分</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是否核心指标</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b/>
                <w:sz w:val="18"/>
                <w:szCs w:val="18"/>
              </w:rPr>
            </w:pPr>
            <w:r>
              <w:rPr>
                <w:rFonts w:ascii="Times New Roman" w:hAnsi="Times New Roman" w:cs="宋体"/>
                <w:b/>
                <w:sz w:val="18"/>
                <w:szCs w:val="18"/>
                <w:lang w:bidi="ar"/>
              </w:rPr>
              <w:t>说明</w:t>
            </w: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临时工工资发放人数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8</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是</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临时工工作质量达标率</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sz w:val="18"/>
                <w:szCs w:val="18"/>
              </w:rPr>
            </w:pPr>
            <w:r>
              <w:rPr>
                <w:rFonts w:ascii="Times New Roman" w:hAnsi="Times New Roman" w:cs="宋体"/>
                <w:sz w:val="18"/>
                <w:szCs w:val="18"/>
                <w:lang w:bidi="ar"/>
              </w:rPr>
              <w:t>临时工工资发放及时率</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15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sz w:val="18"/>
                <w:szCs w:val="18"/>
              </w:rPr>
            </w:pPr>
            <w:r>
              <w:rPr>
                <w:rFonts w:ascii="Times New Roman" w:hAnsi="Times New Roman" w:cs="宋体"/>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sz w:val="18"/>
                <w:szCs w:val="18"/>
              </w:rPr>
            </w:pP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为单位履行职能职责提供保障</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服务对象满意度指标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90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90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color w:val="000000"/>
                <w:sz w:val="18"/>
                <w:szCs w:val="18"/>
              </w:rPr>
            </w:pPr>
          </w:p>
        </w:tc>
      </w:tr>
      <w:tr>
        <w:tblPrEx>
          <w:tblCellMar>
            <w:top w:w="0" w:type="dxa"/>
            <w:left w:w="0" w:type="dxa"/>
            <w:bottom w:w="0" w:type="dxa"/>
            <w:right w:w="0" w:type="dxa"/>
          </w:tblCellMar>
        </w:tblPrEx>
        <w:trPr>
          <w:trHeight w:val="23"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临时工工资标准</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元/人*月</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ind w:firstLine="180" w:firstLineChars="100"/>
              <w:jc w:val="center"/>
              <w:textAlignment w:val="center"/>
              <w:rPr>
                <w:rFonts w:hint="default" w:ascii="Times New Roman" w:hAnsi="Times New Roman" w:cs="宋体"/>
                <w:color w:val="000000"/>
                <w:sz w:val="18"/>
                <w:szCs w:val="18"/>
              </w:rPr>
            </w:pPr>
            <w:r>
              <w:rPr>
                <w:rFonts w:ascii="Times New Roman" w:hAnsi="Times New Roman" w:cs="宋体"/>
                <w:color w:val="000000"/>
                <w:sz w:val="18"/>
                <w:szCs w:val="18"/>
                <w:lang w:bidi="ar"/>
              </w:rPr>
              <w:t>否</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atLeast"/>
              <w:jc w:val="center"/>
              <w:rPr>
                <w:rFonts w:hint="default" w:ascii="Times New Roman" w:hAnsi="Times New Roman" w:cs="宋体"/>
                <w:color w:val="000000"/>
                <w:sz w:val="18"/>
                <w:szCs w:val="18"/>
              </w:rPr>
            </w:pPr>
          </w:p>
        </w:tc>
      </w:tr>
    </w:tbl>
    <w:p>
      <w:pPr>
        <w:pStyle w:val="11"/>
        <w:shd w:val="clear"/>
        <w:autoSpaceDE w:val="0"/>
        <w:spacing w:line="580" w:lineRule="exact"/>
        <w:ind w:firstLine="0" w:firstLineChars="0"/>
        <w:rPr>
          <w:rFonts w:ascii="Times New Roman" w:hAnsi="Times New Roman" w:eastAsia="楷体" w:cs="楷体"/>
          <w:b/>
          <w:bCs/>
          <w:sz w:val="32"/>
          <w:szCs w:val="32"/>
          <w:shd w:val="clear" w:color="auto" w:fill="FFFFFF"/>
        </w:rPr>
      </w:pPr>
    </w:p>
    <w:p>
      <w:pPr>
        <w:pStyle w:val="11"/>
        <w:numPr>
          <w:ilvl w:val="0"/>
          <w:numId w:val="1"/>
        </w:numPr>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单位绩效评价情况</w:t>
      </w:r>
    </w:p>
    <w:p>
      <w:pPr>
        <w:pStyle w:val="11"/>
        <w:shd w:val="clear"/>
        <w:autoSpaceDE w:val="0"/>
        <w:spacing w:line="580" w:lineRule="exact"/>
        <w:ind w:firstLine="960" w:firstLineChars="3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我单位未组织开展绩效评价。</w:t>
      </w:r>
    </w:p>
    <w:p>
      <w:pPr>
        <w:pStyle w:val="11"/>
        <w:shd w:val="clear"/>
        <w:autoSpaceDE w:val="0"/>
        <w:spacing w:line="580"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（三）财政绩效评价情况</w:t>
      </w:r>
    </w:p>
    <w:p>
      <w:pPr>
        <w:pStyle w:val="11"/>
        <w:shd w:val="clear"/>
        <w:autoSpaceDE w:val="0"/>
        <w:spacing w:line="580" w:lineRule="exact"/>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县财政局未委托第三方对我单位开展绩效评价。</w:t>
      </w:r>
    </w:p>
    <w:p>
      <w:pPr>
        <w:pStyle w:val="6"/>
        <w:shd w:val="clear" w:color="auto"/>
        <w:spacing w:beforeAutospacing="0" w:after="0" w:afterAutospacing="0" w:line="580" w:lineRule="exact"/>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六、专业名词解释</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b/>
          <w:bCs/>
          <w:sz w:val="32"/>
          <w:szCs w:val="32"/>
          <w:shd w:val="clear" w:color="auto" w:fill="FFFFFF"/>
        </w:rPr>
        <w:t> </w:t>
      </w:r>
      <w:r>
        <w:rPr>
          <w:rFonts w:ascii="Times New Roman" w:hAnsi="Times New Roman" w:eastAsia="楷体" w:cs="楷体"/>
          <w:b/>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（二）事业收入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（三）经营收入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（四）其他收入</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（五）使用非财政拨款结余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（六）年初结转和结余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（七）结余分配</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（八）年末结转和结余</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（九）基本支出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（十）项目支出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（十一）经营支出</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（十二）“三公”经费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（十三）机关运行经费</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（十四）工资福利支出（支出经济分类科目类级）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（十五）商品和服务支出（支出经济分类科目类级）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楷体" w:cs="楷体"/>
          <w:sz w:val="32"/>
          <w:szCs w:val="32"/>
          <w:shd w:val="clear" w:color="auto" w:fill="FFFFFF"/>
        </w:rPr>
        <w:t> （十六）对个人和家庭的补助（支出经济分类科目类级）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反映用于对个人和家庭的补助支出。</w:t>
      </w:r>
    </w:p>
    <w:p>
      <w:pPr>
        <w:pStyle w:val="6"/>
        <w:shd w:val="clear"/>
        <w:spacing w:before="0" w:beforeAutospacing="0" w:after="0" w:afterAutospacing="0" w:line="580" w:lineRule="exact"/>
        <w:ind w:firstLine="643" w:firstLineChars="200"/>
        <w:jc w:val="both"/>
        <w:rPr>
          <w:rFonts w:hint="default" w:ascii="Times New Roman" w:hAnsi="Times New Roman" w:eastAsia="方正仿宋_GBK" w:cs="方正仿宋_GBK"/>
          <w:sz w:val="32"/>
          <w:szCs w:val="32"/>
        </w:rPr>
      </w:pPr>
      <w:r>
        <w:rPr>
          <w:rStyle w:val="10"/>
          <w:rFonts w:ascii="Times New Roman" w:hAnsi="Times New Roman" w:eastAsia="方正仿宋_GBK" w:cs="方正仿宋_GBK"/>
          <w:sz w:val="32"/>
          <w:szCs w:val="32"/>
          <w:shd w:val="clear" w:color="auto" w:fill="FFFFFF"/>
        </w:rPr>
        <w:t> </w:t>
      </w:r>
      <w:r>
        <w:rPr>
          <w:rStyle w:val="10"/>
          <w:rFonts w:ascii="Times New Roman" w:hAnsi="Times New Roman" w:eastAsia="楷体" w:cs="楷体"/>
          <w:sz w:val="32"/>
          <w:szCs w:val="32"/>
          <w:shd w:val="clear" w:color="auto" w:fill="FFFFFF"/>
        </w:rPr>
        <w:t>（十七）其他资本性支出（支出经济分类科目类级）</w:t>
      </w:r>
      <w:r>
        <w:rPr>
          <w:rFonts w:ascii="Times New Roman" w:hAnsi="Times New Roman" w:eastAsia="楷体" w:cs="楷体"/>
          <w:sz w:val="32"/>
          <w:szCs w:val="32"/>
          <w:shd w:val="clear" w:color="auto" w:fill="FFFFFF"/>
        </w:rPr>
        <w:t>：</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spacing w:beforeAutospacing="0" w:after="0" w:afterAutospacing="0" w:line="580" w:lineRule="exact"/>
        <w:rPr>
          <w:rStyle w:val="10"/>
          <w:rFonts w:hint="default" w:ascii="Times New Roman" w:hAnsi="Times New Roman" w:eastAsia="方正仿宋_GBK" w:cs="方正仿宋_GBK"/>
          <w:sz w:val="32"/>
          <w:szCs w:val="32"/>
          <w:shd w:val="clear" w:color="auto" w:fill="FFFFFF"/>
        </w:rPr>
      </w:pPr>
      <w:r>
        <w:rPr>
          <w:rStyle w:val="10"/>
          <w:rFonts w:ascii="Times New Roman" w:hAnsi="Times New Roman" w:eastAsia="方正仿宋_GBK" w:cs="方正仿宋_GBK"/>
          <w:sz w:val="32"/>
          <w:szCs w:val="32"/>
          <w:shd w:val="clear" w:color="auto" w:fill="FFFFFF"/>
        </w:rPr>
        <w:t xml:space="preserve">    </w:t>
      </w:r>
      <w:r>
        <w:rPr>
          <w:rStyle w:val="10"/>
          <w:rFonts w:ascii="Times New Roman" w:hAnsi="Times New Roman" w:eastAsia="黑体" w:cs="黑体"/>
          <w:sz w:val="32"/>
          <w:szCs w:val="32"/>
          <w:shd w:val="clear" w:color="auto" w:fill="FFFFFF"/>
        </w:rPr>
        <w:t>七、决算公开联系方式及信息反馈渠道</w:t>
      </w:r>
    </w:p>
    <w:p>
      <w:pPr>
        <w:pStyle w:val="6"/>
        <w:shd w:val="clear"/>
        <w:spacing w:before="0" w:beforeAutospacing="0" w:after="0" w:afterAutospacing="0" w:line="58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本单位决算公开信息反馈和联系方式：</w:t>
      </w:r>
      <w:r>
        <w:rPr>
          <w:rFonts w:ascii="Times New Roman" w:hAnsi="Times New Roman" w:eastAsia="方正仿宋_GBK" w:cs="方正仿宋_GBK"/>
          <w:color w:val="FF0000"/>
          <w:sz w:val="32"/>
          <w:szCs w:val="32"/>
          <w:shd w:val="clear" w:color="auto" w:fill="FFFFFF"/>
        </w:rPr>
        <w:t>023-74688819</w:t>
      </w:r>
    </w:p>
    <w:p>
      <w:pPr>
        <w:pStyle w:val="11"/>
        <w:shd w:val="clear"/>
        <w:autoSpaceDE w:val="0"/>
        <w:ind w:firstLine="0" w:firstLineChars="0"/>
        <w:rPr>
          <w:rStyle w:val="10"/>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shd w:val="clear"/>
        <w:rPr>
          <w:rFonts w:hint="default" w:ascii="Times New Roman" w:hAnsi="Times New Roman" w:cs="宋体"/>
          <w:sz w:val="21"/>
          <w:szCs w:val="21"/>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Arial"/>
                <w:color w:val="000000"/>
                <w:sz w:val="22"/>
                <w:szCs w:val="22"/>
              </w:rPr>
            </w:pPr>
            <w:r>
              <w:rPr>
                <w:rFonts w:ascii="Times New Roman" w:hAnsi="Times New Roman" w:cs="宋体"/>
                <w:sz w:val="20"/>
                <w:szCs w:val="20"/>
              </w:rPr>
              <w:t>单位：</w:t>
            </w:r>
            <w:r>
              <w:rPr>
                <w:rFonts w:ascii="Times New Roman" w:hAnsi="Times New Roman"/>
                <w:sz w:val="20"/>
              </w:rPr>
              <w:t>垫江县生态环境保护综合行政执法支队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648.98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hd w:val="clea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670.21</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p>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4"/>
        <w:gridCol w:w="2928"/>
        <w:gridCol w:w="1587"/>
        <w:gridCol w:w="1453"/>
        <w:gridCol w:w="1260"/>
        <w:gridCol w:w="1441"/>
        <w:gridCol w:w="1466"/>
        <w:gridCol w:w="1298"/>
        <w:gridCol w:w="1354"/>
        <w:gridCol w:w="1338"/>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sz w:val="20"/>
              </w:rPr>
              <w:t>垫江县生态环境保护综合行政执法支队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648.98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648.98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505.62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ind w:left="600" w:hanging="600" w:hangingChars="300"/>
        <w:rPr>
          <w:rFonts w:hint="default" w:ascii="Times New Roman" w:hAnsi="Times New Roman" w:cs="宋体"/>
          <w:sz w:val="20"/>
          <w:szCs w:val="20"/>
        </w:rPr>
      </w:pPr>
      <w:r>
        <w:rPr>
          <w:rFonts w:ascii="Times New Roman" w:hAnsi="Times New Roman" w:cs="宋体"/>
          <w:sz w:val="20"/>
          <w:szCs w:val="20"/>
        </w:rPr>
        <w:t>备注：1.本表反映单位本年度取得的各项收入情况。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0"/>
          <w:szCs w:val="20"/>
        </w:rPr>
      </w:pPr>
      <w:r>
        <w:rPr>
          <w:rFonts w:ascii="Times New Roman" w:hAnsi="Times New Roman"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6"/>
        <w:gridCol w:w="3617"/>
        <w:gridCol w:w="1845"/>
        <w:gridCol w:w="1768"/>
        <w:gridCol w:w="1627"/>
        <w:gridCol w:w="1562"/>
        <w:gridCol w:w="1698"/>
        <w:gridCol w:w="1965"/>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 xml:space="preserve">垫江县生态环境保护综合行政执法支队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662.34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581.02</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81.32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0"/>
          <w:szCs w:val="20"/>
        </w:rPr>
      </w:pPr>
      <w:r>
        <w:rPr>
          <w:rFonts w:ascii="Times New Roman" w:hAnsi="Times New Roman" w:cs="宋体"/>
          <w:sz w:val="20"/>
          <w:szCs w:val="20"/>
        </w:rPr>
        <w:t>备注：1.本表反映单位本年度各项支出情况。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p>
      <w:pPr>
        <w:shd w:val="clear"/>
        <w:rPr>
          <w:rFonts w:hint="default" w:ascii="Times New Roman" w:hAnsi="Times New Roman"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hd w:val="clea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hd w:val="clea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82.09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648.98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hd w:val="clear"/>
        <w:spacing w:line="24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1"/>
        <w:gridCol w:w="4087"/>
        <w:gridCol w:w="3319"/>
        <w:gridCol w:w="3309"/>
        <w:gridCol w:w="335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662.34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82.09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431.96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其他环境保护管理事务支出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ascii="Times New Roman" w:hAnsi="Times New Roman" w:cs="宋体"/>
          <w:sz w:val="21"/>
          <w:szCs w:val="21"/>
        </w:rPr>
      </w:pPr>
      <w:r>
        <w:rPr>
          <w:rFonts w:ascii="Times New Roman" w:hAnsi="Times New Roman" w:cs="宋体"/>
          <w:sz w:val="20"/>
          <w:szCs w:val="20"/>
        </w:rPr>
        <w:t>备注：1.本表反映单位本年度一般公共预算财政拨款支出情况。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4994" w:type="pct"/>
        <w:tblInd w:w="0" w:type="dxa"/>
        <w:tblLayout w:type="fixed"/>
        <w:tblCellMar>
          <w:top w:w="0" w:type="dxa"/>
          <w:left w:w="0" w:type="dxa"/>
          <w:bottom w:w="0" w:type="dxa"/>
          <w:right w:w="0" w:type="dxa"/>
        </w:tblCellMar>
      </w:tblPr>
      <w:tblGrid>
        <w:gridCol w:w="805"/>
        <w:gridCol w:w="2820"/>
        <w:gridCol w:w="1545"/>
        <w:gridCol w:w="876"/>
        <w:gridCol w:w="2040"/>
        <w:gridCol w:w="1422"/>
        <w:gridCol w:w="876"/>
        <w:gridCol w:w="3474"/>
        <w:gridCol w:w="150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hd w:val="clea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18"/>
                <w:szCs w:val="18"/>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hd w:val="clea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ascii="Times New Roman" w:hAnsi="Times New Roman"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498.15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bl>
    <w:p>
      <w:pPr>
        <w:shd w:val="clear"/>
        <w:spacing w:line="280" w:lineRule="exact"/>
        <w:rPr>
          <w:rFonts w:hint="default" w:ascii="Times New Roman" w:hAnsi="Times New Roman" w:cs="宋体"/>
          <w:sz w:val="20"/>
          <w:szCs w:val="20"/>
        </w:rPr>
      </w:pPr>
      <w:r>
        <w:rPr>
          <w:rFonts w:ascii="Times New Roman" w:hAnsi="Times New Roman" w:cs="宋体"/>
          <w:sz w:val="20"/>
          <w:szCs w:val="20"/>
        </w:rPr>
        <w:t>备注：1.本表反映单位本年度一般公共预算财政拨款基本支出明细情况。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ascii="Times New Roman" w:hAnsi="Times New Roman" w:cs="宋体"/>
          <w:sz w:val="21"/>
          <w:szCs w:val="21"/>
        </w:rPr>
      </w:pPr>
      <w:r>
        <w:rPr>
          <w:rFonts w:ascii="Times New Roman" w:hAnsi="Times New Roman" w:cs="宋体"/>
          <w:sz w:val="20"/>
          <w:szCs w:val="20"/>
        </w:rPr>
        <w:t>备注：本表反映单位本年度政府性基金预算财政拨款收入支出及结转和结余情况。本单位无政府性基金收支，故本表无数据。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ascii="Times New Roman" w:hAnsi="Times New Roman"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8"/>
        <w:gridCol w:w="3629"/>
        <w:gridCol w:w="3285"/>
        <w:gridCol w:w="191"/>
        <w:gridCol w:w="3475"/>
        <w:gridCol w:w="86"/>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sz w:val="20"/>
                <w:szCs w:val="20"/>
              </w:rPr>
            </w:pPr>
            <w:r>
              <w:rPr>
                <w:rFonts w:ascii="Times New Roman" w:hAnsi="Times New Roman" w:cs="宋体"/>
                <w:sz w:val="20"/>
                <w:szCs w:val="20"/>
              </w:rPr>
              <w:t>单位</w:t>
            </w:r>
            <w:r>
              <w:rPr>
                <w:rFonts w:ascii="Times New Roman" w:hAnsi="Times New Roman" w:cs="宋体"/>
                <w:color w:val="000000"/>
                <w:sz w:val="20"/>
                <w:szCs w:val="20"/>
              </w:rPr>
              <w:t>：</w:t>
            </w:r>
            <w:r>
              <w:rPr>
                <w:rFonts w:ascii="Times New Roman" w:hAnsi="Times New Roman"/>
                <w:color w:val="000000"/>
                <w:sz w:val="20"/>
              </w:rPr>
              <w:t>垫江县生态环境保护综合行政执法支队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shd w:val="clea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hd w:val="clea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ascii="Times New Roman" w:hAnsi="Times New Roman"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shd w:val="clear"/>
        <w:rPr>
          <w:rFonts w:hint="default" w:ascii="Times New Roman" w:hAnsi="Times New Roman" w:cs="宋体"/>
          <w:sz w:val="21"/>
          <w:szCs w:val="21"/>
        </w:rPr>
      </w:pPr>
      <w:r>
        <w:rPr>
          <w:rFonts w:ascii="Times New Roman" w:hAnsi="Times New Roman" w:cs="宋体"/>
          <w:sz w:val="20"/>
          <w:szCs w:val="20"/>
        </w:rPr>
        <w:t>备注：本表反映单位本年度国有资本经营预算财政拨款支出情况。本单位无国有资本经营收支，故本表无数据。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pPr>
        <w:shd w:val="clear"/>
        <w:rPr>
          <w:rFonts w:hint="default" w:ascii="Times New Roman" w:hAnsi="Times New Roman" w:cs="宋体"/>
          <w:sz w:val="21"/>
          <w:szCs w:val="21"/>
        </w:rPr>
      </w:pPr>
      <w:r>
        <w:rPr>
          <w:rFonts w:hint="default" w:ascii="Times New Roman" w:hAnsi="Times New Roman"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hd w:val="clea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pPr>
              <w:shd w:val="clea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r>
              <w:rPr>
                <w:rFonts w:ascii="Times New Roman" w:hAnsi="Times New Roman" w:cs="宋体"/>
                <w:kern w:val="2"/>
                <w:sz w:val="20"/>
                <w:szCs w:val="20"/>
              </w:rPr>
              <w:t>单位</w:t>
            </w:r>
            <w:r>
              <w:rPr>
                <w:rFonts w:ascii="Times New Roman" w:hAnsi="Times New Roman" w:cs="宋体"/>
                <w:color w:val="000000"/>
                <w:kern w:val="2"/>
                <w:sz w:val="20"/>
                <w:szCs w:val="20"/>
              </w:rPr>
              <w:t>：</w:t>
            </w:r>
            <w:r>
              <w:rPr>
                <w:rFonts w:ascii="Times New Roman" w:hAnsi="Times New Roman"/>
                <w:color w:val="000000"/>
                <w:sz w:val="20"/>
              </w:rPr>
              <w:t>垫江县生态环境保护综合行政执法支队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hd w:val="clea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82.88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hd w:val="clea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hd w:val="clear"/>
              <w:spacing w:line="280" w:lineRule="exact"/>
              <w:jc w:val="right"/>
              <w:rPr>
                <w:rFonts w:hint="default" w:ascii="Times New Roman" w:hAnsi="Times New Roman" w:cs="宋体"/>
                <w:color w:val="000000"/>
                <w:sz w:val="16"/>
                <w:szCs w:val="16"/>
              </w:rPr>
            </w:pPr>
          </w:p>
        </w:tc>
      </w:tr>
    </w:tbl>
    <w:p>
      <w:pPr>
        <w:shd w:val="clear"/>
        <w:rPr>
          <w:rFonts w:hint="default" w:ascii="Times New Roman" w:hAnsi="Times New Roman" w:cs="宋体"/>
          <w:sz w:val="21"/>
          <w:szCs w:val="21"/>
        </w:rPr>
      </w:pPr>
      <w:r>
        <w:rPr>
          <w:rFonts w:ascii="Times New Roman" w:hAnsi="Times New Roman"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91E68"/>
    <w:multiLevelType w:val="singleLevel"/>
    <w:tmpl w:val="BA091E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151FA9"/>
    <w:rsid w:val="001D3BB7"/>
    <w:rsid w:val="00213433"/>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74DD6"/>
    <w:rsid w:val="00CF2ACF"/>
    <w:rsid w:val="00D628A7"/>
    <w:rsid w:val="00EE5EA9"/>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7927C4"/>
    <w:rsid w:val="0C9B098C"/>
    <w:rsid w:val="0D673E11"/>
    <w:rsid w:val="0DD537E7"/>
    <w:rsid w:val="0DDA54E4"/>
    <w:rsid w:val="0E3A5F83"/>
    <w:rsid w:val="0F836721"/>
    <w:rsid w:val="0FA25D96"/>
    <w:rsid w:val="107B59E5"/>
    <w:rsid w:val="10EC0126"/>
    <w:rsid w:val="10F70B9A"/>
    <w:rsid w:val="111445C7"/>
    <w:rsid w:val="114278C6"/>
    <w:rsid w:val="1158083A"/>
    <w:rsid w:val="11643A4B"/>
    <w:rsid w:val="11BD0550"/>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669F6"/>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0F7DEC"/>
    <w:rsid w:val="465B470D"/>
    <w:rsid w:val="469D6AD4"/>
    <w:rsid w:val="471E6C84"/>
    <w:rsid w:val="4748792B"/>
    <w:rsid w:val="475D719D"/>
    <w:rsid w:val="47674801"/>
    <w:rsid w:val="478910DB"/>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9BF14D7"/>
    <w:rsid w:val="5A3B59D6"/>
    <w:rsid w:val="5AD134D8"/>
    <w:rsid w:val="5B9A01F8"/>
    <w:rsid w:val="5C263CE4"/>
    <w:rsid w:val="5C502383"/>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0A32E4"/>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2290</Words>
  <Characters>13054</Characters>
  <Lines>108</Lines>
  <Paragraphs>30</Paragraphs>
  <TotalTime>12</TotalTime>
  <ScaleCrop>false</ScaleCrop>
  <LinksUpToDate>false</LinksUpToDate>
  <CharactersWithSpaces>15314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2025-09-24T08:31:26Z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