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bookmarkStart w:id="6" w:name="_GoBack"/>
      <w:bookmarkEnd w:id="6"/>
      <w:r>
        <w:rPr>
          <w:rFonts w:hint="eastAsia" w:ascii="方正小标宋_GBK" w:hAnsi="方正小标宋_GBK" w:eastAsia="方正小标宋_GBK" w:cs="方正小标宋_GBK"/>
          <w:sz w:val="44"/>
          <w:szCs w:val="44"/>
          <w:shd w:val="clear" w:color="auto" w:fill="FFFFFF"/>
        </w:rPr>
        <w:t>重庆市垫江县商务委员会（本级）</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rPr>
      </w:pPr>
      <w:r>
        <w:rPr>
          <w:rFonts w:hint="eastAsia" w:ascii="方正小标宋_GBK" w:hAnsi="方正小标宋_GBK" w:eastAsia="方正小标宋_GBK" w:cs="方正小标宋_GBK"/>
          <w:sz w:val="44"/>
          <w:szCs w:val="44"/>
          <w:shd w:val="clear" w:color="auto" w:fill="FFFFFF"/>
        </w:rPr>
        <w:t>2020年度部门决算情况说明</w:t>
      </w:r>
    </w:p>
    <w:p>
      <w:pPr>
        <w:pStyle w:val="3"/>
        <w:snapToGrid w:val="0"/>
        <w:spacing w:before="0" w:beforeAutospacing="0"/>
        <w:rPr>
          <w:rFonts w:hint="eastAsia"/>
        </w:rPr>
      </w:pPr>
      <w:r>
        <w:rPr>
          <w:rFonts w:hint="eastAsia"/>
          <w:shd w:val="clear" w:color="auto" w:fill="FFFFFF"/>
        </w:rPr>
        <w:t xml:space="preserve"> </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shd w:val="clear" w:color="auto" w:fill="FFFFFF"/>
        </w:rPr>
        <w:t>一、部门基本情况</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（一）职能职责</w:t>
      </w:r>
    </w:p>
    <w:p>
      <w:pPr>
        <w:keepNext w:val="0"/>
        <w:keepLines w:val="0"/>
        <w:pageBreakBefore w:val="0"/>
        <w:kinsoku/>
        <w:wordWrap/>
        <w:overflowPunct/>
        <w:topLinePunct w:val="0"/>
        <w:autoSpaceDE/>
        <w:autoSpaceDN/>
        <w:bidi w:val="0"/>
        <w:adjustRightInd/>
        <w:spacing w:afterAutospacing="0" w:line="60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办公室：负责综合协调和处理机关日常政务。负责党的建设、意识形态、机构编制、干部人事、队伍建设等工作。负责党务政务信息公开工作。承担综合性会议的组织工作。负责起草综合性材料。牵头负责目标考核工作。牵头办理上级机关交办事项、人大议案、政协提案工作。负责机关和所属单位的财务、国有资产管理、内部审计等工作。负责专项资金管理工作。负责工青妇等群团工作。负责机关离退休人员管理，指导所属单位离退休人员工作。负责机关后勤保障、保密、档案管理工作。负责机关节能降耗、生态环境等工作。负责政务值班标准化建设工作。承担商务修志、年鉴等编纂工作。牵头商务调研工作。负责督查、督办工作。</w:t>
      </w:r>
    </w:p>
    <w:p>
      <w:pPr>
        <w:keepNext w:val="0"/>
        <w:keepLines w:val="0"/>
        <w:pageBreakBefore w:val="0"/>
        <w:kinsoku/>
        <w:wordWrap/>
        <w:overflowPunct/>
        <w:topLinePunct w:val="0"/>
        <w:autoSpaceDE/>
        <w:autoSpaceDN/>
        <w:bidi w:val="0"/>
        <w:adjustRightInd/>
        <w:spacing w:afterAutospacing="0" w:line="600" w:lineRule="exact"/>
        <w:ind w:firstLine="640" w:firstLineChars="200"/>
        <w:textAlignment w:val="auto"/>
        <w:rPr>
          <w:rFonts w:hint="eastAsia" w:ascii="方正仿宋_GBK" w:hAnsi="方正仿宋_GBK" w:eastAsia="方正仿宋_GBK" w:cs="方正仿宋_GBK"/>
          <w:b w:val="0"/>
          <w:bCs w:val="0"/>
          <w:color w:val="000000"/>
          <w:sz w:val="32"/>
          <w:szCs w:val="32"/>
        </w:rPr>
      </w:pPr>
      <w:bookmarkStart w:id="0" w:name="OLE_LINK1"/>
      <w:r>
        <w:rPr>
          <w:rFonts w:hint="eastAsia" w:ascii="方正仿宋_GBK" w:hAnsi="方正仿宋_GBK" w:eastAsia="方正仿宋_GBK" w:cs="方正仿宋_GBK"/>
          <w:b w:val="0"/>
          <w:bCs w:val="0"/>
          <w:color w:val="000000"/>
          <w:sz w:val="32"/>
          <w:szCs w:val="32"/>
        </w:rPr>
        <w:t>综合管理科（行政许可服务科）</w:t>
      </w:r>
      <w:bookmarkEnd w:id="0"/>
      <w:r>
        <w:rPr>
          <w:rFonts w:hint="eastAsia" w:ascii="方正仿宋_GBK" w:hAnsi="方正仿宋_GBK" w:eastAsia="方正仿宋_GBK" w:cs="方正仿宋_GBK"/>
          <w:b w:val="0"/>
          <w:bCs w:val="0"/>
          <w:color w:val="000000"/>
          <w:sz w:val="32"/>
          <w:szCs w:val="32"/>
        </w:rPr>
        <w:t>：负责再生资源回收、旧货流通、报废汽车回收、单用途商业预付卡等商贸特种行业及成品油、酒类等重要商品流通经营的管理工作。负责拟订和实施行业发展规划和政策措施。负责拟订和实施药品流通发展规划和政策措施。负责行政许可事项服务工作。负责商务系统法治工作。负责案件核审、行政复议、行政诉讼等工作。牵头商贸领域“放管服”改革工作。牵头系统信访稳定工作。牵头处理系统企业改革遗留问题。负责系统社会治安综合治理工作。负责系统生态文明建设工作。牵头指导和管理商贸行业协会。</w:t>
      </w:r>
    </w:p>
    <w:p>
      <w:pPr>
        <w:keepNext w:val="0"/>
        <w:keepLines w:val="0"/>
        <w:pageBreakBefore w:val="0"/>
        <w:kinsoku/>
        <w:wordWrap/>
        <w:overflowPunct/>
        <w:topLinePunct w:val="0"/>
        <w:autoSpaceDE/>
        <w:autoSpaceDN/>
        <w:bidi w:val="0"/>
        <w:adjustRightInd/>
        <w:spacing w:afterAutospacing="0" w:line="600" w:lineRule="exact"/>
        <w:ind w:firstLine="640" w:firstLineChars="200"/>
        <w:textAlignment w:val="auto"/>
        <w:rPr>
          <w:rFonts w:hint="eastAsia" w:ascii="方正仿宋_GBK" w:hAnsi="方正仿宋_GBK" w:eastAsia="方正仿宋_GBK" w:cs="方正仿宋_GBK"/>
          <w:b w:val="0"/>
          <w:bCs w:val="0"/>
          <w:color w:val="000000"/>
          <w:sz w:val="32"/>
          <w:szCs w:val="32"/>
        </w:rPr>
      </w:pPr>
      <w:bookmarkStart w:id="1" w:name="OLE_LINK2"/>
      <w:r>
        <w:rPr>
          <w:rFonts w:hint="eastAsia" w:ascii="方正仿宋_GBK" w:hAnsi="方正仿宋_GBK" w:eastAsia="方正仿宋_GBK" w:cs="方正仿宋_GBK"/>
          <w:b w:val="0"/>
          <w:bCs w:val="0"/>
          <w:color w:val="000000"/>
          <w:sz w:val="32"/>
          <w:szCs w:val="32"/>
        </w:rPr>
        <w:t>安全监管科</w:t>
      </w:r>
      <w:bookmarkEnd w:id="1"/>
      <w:r>
        <w:rPr>
          <w:rFonts w:hint="eastAsia" w:ascii="方正仿宋_GBK" w:hAnsi="方正仿宋_GBK" w:eastAsia="方正仿宋_GBK" w:cs="方正仿宋_GBK"/>
          <w:b w:val="0"/>
          <w:bCs w:val="0"/>
          <w:color w:val="000000"/>
          <w:sz w:val="32"/>
          <w:szCs w:val="32"/>
        </w:rPr>
        <w:t>：负责指导督促全县商贸服务企业贯彻执行安全生产法律法规工作。负责制订安全生产年度监督检查计划。负责限额以上重点商贸服务企业安全监督管理，指导其他商贸服务企业安全监督管理工作。会同有关部门指导督促境内投资主体加强境外投资合作项目安全生产工作。负责商务领域安全生产事故的调查处理。负责组织开展全县商贸行业安全宣传教育和培训。</w:t>
      </w:r>
    </w:p>
    <w:p>
      <w:pPr>
        <w:keepNext w:val="0"/>
        <w:keepLines w:val="0"/>
        <w:pageBreakBefore w:val="0"/>
        <w:kinsoku/>
        <w:wordWrap/>
        <w:overflowPunct/>
        <w:topLinePunct w:val="0"/>
        <w:autoSpaceDE/>
        <w:autoSpaceDN/>
        <w:bidi w:val="0"/>
        <w:adjustRightInd/>
        <w:spacing w:afterAutospacing="0" w:line="600" w:lineRule="exact"/>
        <w:ind w:firstLine="640" w:firstLineChars="200"/>
        <w:textAlignment w:val="auto"/>
        <w:rPr>
          <w:rFonts w:hint="eastAsia" w:ascii="方正仿宋_GBK" w:hAnsi="方正仿宋_GBK" w:eastAsia="方正仿宋_GBK" w:cs="方正仿宋_GBK"/>
          <w:b w:val="0"/>
          <w:bCs w:val="0"/>
          <w:color w:val="000000"/>
          <w:sz w:val="32"/>
          <w:szCs w:val="32"/>
        </w:rPr>
      </w:pPr>
      <w:bookmarkStart w:id="2" w:name="OLE_LINK3"/>
      <w:r>
        <w:rPr>
          <w:rFonts w:hint="eastAsia" w:ascii="方正仿宋_GBK" w:hAnsi="方正仿宋_GBK" w:eastAsia="方正仿宋_GBK" w:cs="方正仿宋_GBK"/>
          <w:b w:val="0"/>
          <w:bCs w:val="0"/>
          <w:color w:val="000000"/>
          <w:sz w:val="32"/>
          <w:szCs w:val="32"/>
        </w:rPr>
        <w:t>市场体系建设科</w:t>
      </w:r>
      <w:bookmarkEnd w:id="2"/>
      <w:r>
        <w:rPr>
          <w:rFonts w:hint="eastAsia" w:ascii="方正仿宋_GBK" w:hAnsi="方正仿宋_GBK" w:eastAsia="方正仿宋_GBK" w:cs="方正仿宋_GBK"/>
          <w:b w:val="0"/>
          <w:bCs w:val="0"/>
          <w:color w:val="000000"/>
          <w:sz w:val="32"/>
          <w:szCs w:val="32"/>
        </w:rPr>
        <w:t>：牵头拟订和实施商贸物流发展规划、政策措施。负责商贸物流改革开放、创新驱动发展、商业业态调整、流通主体转型升级、商贸物流经济合作等工作。负责商贸物流重点项目建设工作。负责商圈、商品市场、特色街区等商业设施和农村流通体系建设工作。牵头电子商务发展工作。负责拟订和实施电子商务发展规划、政策措施。负责商贸领域信息化建设、大数据开发应用和数字商务有关工作。负责全县物流管理工作，负责城乡物流配送体系建设、电商物流等工作。负责商务领域营商环境、民营经济发展和企业减负工作。负责商贸企业培育工作。负责商贸领域信用体系建设和优质服务工作。牵头商贸行业技能技术培训和鉴定工作。负责农商对接、农商互联工作。负责重要产品追溯体系建设工作。</w:t>
      </w:r>
    </w:p>
    <w:p>
      <w:pPr>
        <w:keepNext w:val="0"/>
        <w:keepLines w:val="0"/>
        <w:pageBreakBefore w:val="0"/>
        <w:kinsoku/>
        <w:wordWrap/>
        <w:overflowPunct/>
        <w:topLinePunct w:val="0"/>
        <w:autoSpaceDE/>
        <w:autoSpaceDN/>
        <w:bidi w:val="0"/>
        <w:adjustRightInd/>
        <w:spacing w:afterAutospacing="0" w:line="600" w:lineRule="exact"/>
        <w:ind w:firstLine="640" w:firstLineChars="200"/>
        <w:textAlignment w:val="auto"/>
        <w:rPr>
          <w:rFonts w:hint="eastAsia" w:ascii="方正仿宋_GBK" w:hAnsi="方正仿宋_GBK" w:eastAsia="方正仿宋_GBK" w:cs="方正仿宋_GBK"/>
          <w:b w:val="0"/>
          <w:bCs w:val="0"/>
          <w:color w:val="000000"/>
          <w:sz w:val="32"/>
          <w:szCs w:val="32"/>
        </w:rPr>
      </w:pPr>
      <w:bookmarkStart w:id="3" w:name="OLE_LINK4"/>
      <w:r>
        <w:rPr>
          <w:rFonts w:hint="eastAsia" w:ascii="方正仿宋_GBK" w:hAnsi="方正仿宋_GBK" w:eastAsia="方正仿宋_GBK" w:cs="方正仿宋_GBK"/>
          <w:b w:val="0"/>
          <w:bCs w:val="0"/>
          <w:color w:val="000000"/>
          <w:sz w:val="32"/>
          <w:szCs w:val="32"/>
        </w:rPr>
        <w:t>消费促进科</w:t>
      </w:r>
      <w:bookmarkEnd w:id="3"/>
      <w:r>
        <w:rPr>
          <w:rFonts w:hint="eastAsia" w:ascii="方正仿宋_GBK" w:hAnsi="方正仿宋_GBK" w:eastAsia="方正仿宋_GBK" w:cs="方正仿宋_GBK"/>
          <w:b w:val="0"/>
          <w:bCs w:val="0"/>
          <w:color w:val="000000"/>
          <w:sz w:val="32"/>
          <w:szCs w:val="32"/>
        </w:rPr>
        <w:t>：牵头拟订和实施商贸领域促进消费的政策措施。负责零售业、汽车流通业、生活服务业创新发展、转型升级、品牌培育、市场拓展、设施打造、文化建设、技能技术培训和行业管理等工作，拟订和实施行业发展规划、政策措施。负责现代商贸服务业发展工作。负责“老字号”发展与保护工作。负责全县会展行业管理。负责拟订和实施会展经济发展规划、政策措施。负责县内、本县外出、外地来垫举办的大型展会的统筹协调工作。负责组织举办全县重要商贸展会。负责指导、监督商贸领域各类促销活动。</w:t>
      </w:r>
    </w:p>
    <w:p>
      <w:pPr>
        <w:keepNext w:val="0"/>
        <w:keepLines w:val="0"/>
        <w:pageBreakBefore w:val="0"/>
        <w:kinsoku/>
        <w:wordWrap/>
        <w:overflowPunct/>
        <w:topLinePunct w:val="0"/>
        <w:autoSpaceDE/>
        <w:autoSpaceDN/>
        <w:bidi w:val="0"/>
        <w:adjustRightInd/>
        <w:spacing w:afterAutospacing="0" w:line="600" w:lineRule="exact"/>
        <w:ind w:firstLine="640" w:firstLineChars="200"/>
        <w:textAlignment w:val="auto"/>
        <w:rPr>
          <w:rFonts w:hint="eastAsia" w:ascii="方正仿宋_GBK" w:hAnsi="方正仿宋_GBK" w:eastAsia="方正仿宋_GBK" w:cs="方正仿宋_GBK"/>
          <w:b w:val="0"/>
          <w:bCs w:val="0"/>
          <w:color w:val="000000"/>
          <w:sz w:val="32"/>
          <w:szCs w:val="32"/>
        </w:rPr>
      </w:pPr>
      <w:bookmarkStart w:id="4" w:name="OLE_LINK5"/>
      <w:r>
        <w:rPr>
          <w:rFonts w:hint="eastAsia" w:ascii="方正仿宋_GBK" w:hAnsi="方正仿宋_GBK" w:eastAsia="方正仿宋_GBK" w:cs="方正仿宋_GBK"/>
          <w:b w:val="0"/>
          <w:bCs w:val="0"/>
          <w:color w:val="000000"/>
          <w:sz w:val="32"/>
          <w:szCs w:val="32"/>
        </w:rPr>
        <w:t>运行调节科</w:t>
      </w:r>
      <w:bookmarkEnd w:id="4"/>
      <w:r>
        <w:rPr>
          <w:rFonts w:hint="eastAsia" w:ascii="方正仿宋_GBK" w:hAnsi="方正仿宋_GBK" w:eastAsia="方正仿宋_GBK" w:cs="方正仿宋_GBK"/>
          <w:b w:val="0"/>
          <w:bCs w:val="0"/>
          <w:color w:val="000000"/>
          <w:sz w:val="32"/>
          <w:szCs w:val="32"/>
        </w:rPr>
        <w:t>：牵头拟订和实施重要生活消费品和重要商品应急保供预案。牵头商贸领域统计工作，负责综合统计监测和综合运行分析。负责商品供求状况、价格信息等调查分析、预测预警和信息引导。负责商贸领域国情国力调查工作。负责落实重要商品储备制度。负责突发性灾害和突发性事件重要商品保供应急工作。负责组织协调食用油、肉类、蔬菜等重要生活必需品的市场供应和市场调节。牵头负责商贸服务业重点企业培育。</w:t>
      </w:r>
    </w:p>
    <w:p>
      <w:pPr>
        <w:keepNext w:val="0"/>
        <w:keepLines w:val="0"/>
        <w:pageBreakBefore w:val="0"/>
        <w:kinsoku/>
        <w:wordWrap/>
        <w:overflowPunct/>
        <w:topLinePunct w:val="0"/>
        <w:autoSpaceDE/>
        <w:autoSpaceDN/>
        <w:bidi w:val="0"/>
        <w:adjustRightInd/>
        <w:spacing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bookmarkStart w:id="5" w:name="OLE_LINK6"/>
      <w:r>
        <w:rPr>
          <w:rFonts w:hint="eastAsia" w:ascii="方正仿宋_GBK" w:hAnsi="方正仿宋_GBK" w:eastAsia="方正仿宋_GBK" w:cs="方正仿宋_GBK"/>
          <w:b w:val="0"/>
          <w:bCs w:val="0"/>
          <w:color w:val="000000"/>
          <w:sz w:val="32"/>
          <w:szCs w:val="32"/>
        </w:rPr>
        <w:t>对外贸易经济科</w:t>
      </w:r>
      <w:bookmarkEnd w:id="5"/>
      <w:r>
        <w:rPr>
          <w:rFonts w:hint="eastAsia" w:ascii="方正仿宋_GBK" w:hAnsi="方正仿宋_GBK" w:eastAsia="方正仿宋_GBK" w:cs="方正仿宋_GBK"/>
          <w:b w:val="0"/>
          <w:bCs w:val="0"/>
          <w:color w:val="000000"/>
          <w:sz w:val="32"/>
          <w:szCs w:val="32"/>
        </w:rPr>
        <w:t>：负责贯彻执行对外贸易、外商投资和国际经济合作的法律法规、方针政策。负责拟订和实施对外贸易、外商投资和国际经济合作发展规划、政策措施。负责对外贸易主体培育、转型升级、国际市场开拓等工作。负责跨境电子商务工作。负责进出口公平贸易工作。负责外商投资备案协调工作。负责组织本县企业参与“一带一路”沿线国家和地区经济合作。负责本县与香港、澳门特别行政区及台湾地区的经贸合作。负责组织实施本县“走出去”战略。负责管理对外援助业务。负责商贸领域招商引资。</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（二）机构设置</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20</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lang w:eastAsia="zh-CN"/>
        </w:rPr>
        <w:t>年垫江县商务委员会</w:t>
      </w:r>
      <w:r>
        <w:rPr>
          <w:rFonts w:hint="eastAsia" w:ascii="方正仿宋_GBK" w:hAnsi="方正仿宋_GBK" w:eastAsia="方正仿宋_GBK" w:cs="方正仿宋_GBK"/>
          <w:b w:val="0"/>
          <w:bCs w:val="0"/>
          <w:sz w:val="32"/>
          <w:szCs w:val="32"/>
        </w:rPr>
        <w:t>内设机构7个：办公室、综合管理科（行政许可服务科）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安全监管科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市场体系建设科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消费促进科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运行调节科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对外贸易经济科</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20</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年12月商务</w:t>
      </w:r>
      <w:r>
        <w:rPr>
          <w:rFonts w:hint="eastAsia" w:ascii="方正仿宋_GBK" w:hAnsi="方正仿宋_GBK" w:eastAsia="方正仿宋_GBK" w:cs="方正仿宋_GBK"/>
          <w:b w:val="0"/>
          <w:bCs w:val="0"/>
          <w:sz w:val="32"/>
          <w:szCs w:val="32"/>
          <w:lang w:eastAsia="zh-CN"/>
        </w:rPr>
        <w:t>委</w:t>
      </w:r>
      <w:r>
        <w:rPr>
          <w:rFonts w:hint="eastAsia" w:ascii="方正仿宋_GBK" w:hAnsi="方正仿宋_GBK" w:eastAsia="方正仿宋_GBK" w:cs="方正仿宋_GBK"/>
          <w:b w:val="0"/>
          <w:bCs w:val="0"/>
          <w:sz w:val="32"/>
          <w:szCs w:val="32"/>
        </w:rPr>
        <w:t>行政编制1</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人，工勤编制1人，实有公务员</w:t>
      </w:r>
      <w:r>
        <w:rPr>
          <w:rFonts w:hint="eastAsia" w:ascii="方正仿宋_GBK" w:hAnsi="方正仿宋_GBK" w:eastAsia="方正仿宋_GBK" w:cs="方正仿宋_GBK"/>
          <w:b w:val="0"/>
          <w:bCs w:val="0"/>
          <w:sz w:val="32"/>
          <w:szCs w:val="32"/>
          <w:lang w:val="en-US" w:eastAsia="zh-CN"/>
        </w:rPr>
        <w:t>12</w:t>
      </w:r>
      <w:r>
        <w:rPr>
          <w:rFonts w:hint="eastAsia" w:ascii="方正仿宋_GBK" w:hAnsi="方正仿宋_GBK" w:eastAsia="方正仿宋_GBK" w:cs="方正仿宋_GBK"/>
          <w:b w:val="0"/>
          <w:bCs w:val="0"/>
          <w:sz w:val="32"/>
          <w:szCs w:val="32"/>
        </w:rPr>
        <w:t>人，工勤人员1人，聘用人员2人，</w:t>
      </w:r>
      <w:r>
        <w:rPr>
          <w:rFonts w:hint="eastAsia" w:ascii="方正仿宋_GBK" w:hAnsi="方正仿宋_GBK" w:eastAsia="方正仿宋_GBK" w:cs="方正仿宋_GBK"/>
          <w:b w:val="0"/>
          <w:bCs w:val="0"/>
          <w:sz w:val="32"/>
          <w:szCs w:val="32"/>
          <w:lang w:eastAsia="zh-CN"/>
        </w:rPr>
        <w:t>公益岗位</w:t>
      </w:r>
      <w:r>
        <w:rPr>
          <w:rFonts w:hint="eastAsia" w:ascii="方正仿宋_GBK" w:hAnsi="方正仿宋_GBK" w:eastAsia="方正仿宋_GBK" w:cs="方正仿宋_GBK"/>
          <w:b w:val="0"/>
          <w:bCs w:val="0"/>
          <w:sz w:val="32"/>
          <w:szCs w:val="32"/>
          <w:lang w:val="en-US" w:eastAsia="zh-CN"/>
        </w:rPr>
        <w:t>3人，</w:t>
      </w:r>
      <w:r>
        <w:rPr>
          <w:rFonts w:hint="eastAsia" w:ascii="方正仿宋_GBK" w:hAnsi="方正仿宋_GBK" w:eastAsia="方正仿宋_GBK" w:cs="方正仿宋_GBK"/>
          <w:b w:val="0"/>
          <w:bCs w:val="0"/>
          <w:sz w:val="32"/>
          <w:szCs w:val="32"/>
        </w:rPr>
        <w:t>机关退休（事业参保）人员11</w:t>
      </w:r>
      <w:r>
        <w:rPr>
          <w:rFonts w:hint="eastAsia" w:ascii="方正仿宋_GBK" w:hAnsi="方正仿宋_GBK" w:eastAsia="方正仿宋_GBK" w:cs="方正仿宋_GBK"/>
          <w:b w:val="0"/>
          <w:bCs w:val="0"/>
          <w:sz w:val="32"/>
          <w:szCs w:val="32"/>
          <w:lang w:val="en-US" w:eastAsia="zh-CN"/>
        </w:rPr>
        <w:t>0</w:t>
      </w:r>
      <w:r>
        <w:rPr>
          <w:rFonts w:hint="eastAsia" w:ascii="方正仿宋_GBK" w:hAnsi="方正仿宋_GBK" w:eastAsia="方正仿宋_GBK" w:cs="方正仿宋_GBK"/>
          <w:b w:val="0"/>
          <w:bCs w:val="0"/>
          <w:sz w:val="32"/>
          <w:szCs w:val="32"/>
        </w:rPr>
        <w:t>人。</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（三）单位构成</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从预算单位构成看，纳入本部门2020年度决算编制的二级预算单位</w:t>
      </w:r>
      <w:r>
        <w:rPr>
          <w:rFonts w:hint="eastAsia" w:ascii="方正仿宋_GBK" w:hAnsi="方正仿宋_GBK" w:eastAsia="方正仿宋_GBK" w:cs="方正仿宋_GBK"/>
          <w:b w:val="0"/>
          <w:bCs w:val="0"/>
          <w:sz w:val="32"/>
          <w:szCs w:val="32"/>
          <w:shd w:val="clear" w:color="auto" w:fill="FFFFFF"/>
          <w:lang w:eastAsia="zh-CN"/>
        </w:rPr>
        <w:t>为垫江县商务委（本级）</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黑体_GBK" w:hAnsi="方正黑体_GBK" w:eastAsia="方正黑体_GBK" w:cs="方正黑体_GBK"/>
          <w:b w:val="0"/>
          <w:bCs w:val="0"/>
          <w:sz w:val="32"/>
          <w:szCs w:val="32"/>
          <w:shd w:val="clear" w:color="auto" w:fill="FFFFFF"/>
        </w:rPr>
        <w:t>二、部门决算情况说明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（一）收入支出决算总体情况说明</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b w:val="0"/>
          <w:bCs w:val="0"/>
          <w:sz w:val="32"/>
          <w:szCs w:val="32"/>
          <w:shd w:val="clear" w:color="auto" w:fill="FFFFFF"/>
          <w:lang w:val="en-US" w:eastAsia="zh-CN"/>
        </w:rPr>
      </w:pPr>
      <w:r>
        <w:rPr>
          <w:rStyle w:val="6"/>
          <w:rFonts w:hint="eastAsia" w:ascii="方正仿宋_GBK" w:hAnsi="方正仿宋_GBK" w:eastAsia="方正仿宋_GBK" w:cs="方正仿宋_GBK"/>
          <w:b w:val="0"/>
          <w:bCs w:val="0"/>
          <w:sz w:val="32"/>
          <w:szCs w:val="32"/>
          <w:shd w:val="clear" w:color="auto" w:fill="FFFFFF"/>
        </w:rPr>
        <w:t>1.总体情况</w:t>
      </w:r>
      <w:r>
        <w:rPr>
          <w:rFonts w:hint="eastAsia" w:ascii="方正仿宋_GBK" w:hAnsi="方正仿宋_GBK" w:eastAsia="方正仿宋_GBK" w:cs="方正仿宋_GBK"/>
          <w:b w:val="0"/>
          <w:bCs w:val="0"/>
          <w:sz w:val="32"/>
          <w:szCs w:val="32"/>
          <w:shd w:val="clear" w:color="auto" w:fill="FFFFFF"/>
        </w:rPr>
        <w:t>。2020年度收入总计2,827.83万元，支出总计2,827.83万元。收支较上年决算数 减少480.36万元、 下降</w:t>
      </w:r>
      <w:r>
        <w:rPr>
          <w:rFonts w:hint="eastAsia" w:ascii="方正仿宋_GBK" w:hAnsi="方正仿宋_GBK" w:eastAsia="方正仿宋_GBK" w:cs="方正仿宋_GBK"/>
          <w:b w:val="0"/>
          <w:bCs w:val="0"/>
          <w:vanish/>
          <w:sz w:val="32"/>
          <w:szCs w:val="32"/>
          <w:shd w:val="clear" w:color="auto" w:fill="FFFFFF"/>
        </w:rPr>
        <w:t xml:space="preserve"> </w:t>
      </w:r>
      <w:r>
        <w:rPr>
          <w:rFonts w:hint="eastAsia" w:ascii="方正仿宋_GBK" w:hAnsi="方正仿宋_GBK" w:eastAsia="方正仿宋_GBK" w:cs="方正仿宋_GBK"/>
          <w:b w:val="0"/>
          <w:bCs w:val="0"/>
          <w:sz w:val="32"/>
          <w:szCs w:val="32"/>
          <w:shd w:val="clear" w:color="auto" w:fill="FFFFFF"/>
        </w:rPr>
        <w:t>14.5%，主要原因是</w:t>
      </w:r>
      <w:r>
        <w:rPr>
          <w:rFonts w:hint="eastAsia" w:ascii="方正仿宋_GBK" w:hAnsi="方正仿宋_GBK" w:eastAsia="方正仿宋_GBK" w:cs="方正仿宋_GBK"/>
          <w:b w:val="0"/>
          <w:bCs w:val="0"/>
          <w:sz w:val="32"/>
          <w:szCs w:val="32"/>
          <w:shd w:val="clear" w:color="auto" w:fill="FFFFFF"/>
          <w:lang w:val="en-US" w:eastAsia="zh-CN"/>
        </w:rPr>
        <w:t>2020年财政拨入1844.8</w:t>
      </w:r>
      <w:r>
        <w:rPr>
          <w:rFonts w:hint="eastAsia" w:ascii="方正仿宋_GBK" w:hAnsi="方正仿宋_GBK" w:eastAsia="方正仿宋_GBK" w:cs="方正仿宋_GBK"/>
          <w:b w:val="0"/>
          <w:bCs w:val="0"/>
          <w:sz w:val="32"/>
          <w:szCs w:val="32"/>
          <w:shd w:val="clear" w:color="auto" w:fill="FFFFFF"/>
        </w:rPr>
        <w:t>万元</w:t>
      </w:r>
      <w:r>
        <w:rPr>
          <w:rFonts w:hint="eastAsia" w:ascii="方正仿宋_GBK" w:hAnsi="方正仿宋_GBK" w:eastAsia="方正仿宋_GBK" w:cs="方正仿宋_GBK"/>
          <w:b w:val="0"/>
          <w:bCs w:val="0"/>
          <w:sz w:val="32"/>
          <w:szCs w:val="32"/>
          <w:shd w:val="clear" w:color="auto" w:fill="FFFFFF"/>
          <w:lang w:eastAsia="zh-CN"/>
        </w:rPr>
        <w:t>，</w:t>
      </w:r>
      <w:r>
        <w:rPr>
          <w:rFonts w:hint="eastAsia" w:ascii="方正仿宋_GBK" w:hAnsi="方正仿宋_GBK" w:eastAsia="方正仿宋_GBK" w:cs="方正仿宋_GBK"/>
          <w:b w:val="0"/>
          <w:bCs w:val="0"/>
          <w:sz w:val="32"/>
          <w:szCs w:val="32"/>
          <w:shd w:val="clear" w:color="auto" w:fill="FFFFFF"/>
          <w:lang w:val="en-US" w:eastAsia="zh-CN"/>
        </w:rPr>
        <w:t>2019年结转983.03万元，合计2827.83万元，2020年实际支出2589.87万元，结转致2021年支付237.96万元；2020年经费比2019年决算数减少480.36万元，主要是</w:t>
      </w:r>
      <w:r>
        <w:rPr>
          <w:rFonts w:hint="eastAsia" w:ascii="方正仿宋_GBK" w:hAnsi="方正仿宋_GBK" w:eastAsia="方正仿宋_GBK" w:cs="方正仿宋_GBK"/>
          <w:b w:val="0"/>
          <w:bCs w:val="0"/>
          <w:sz w:val="32"/>
          <w:szCs w:val="32"/>
          <w:shd w:val="clear" w:color="auto" w:fill="FFFFFF"/>
          <w:lang w:eastAsia="zh-CN"/>
        </w:rPr>
        <w:t>项目经费支出比</w:t>
      </w:r>
      <w:r>
        <w:rPr>
          <w:rFonts w:hint="eastAsia" w:ascii="方正仿宋_GBK" w:hAnsi="方正仿宋_GBK" w:eastAsia="方正仿宋_GBK" w:cs="方正仿宋_GBK"/>
          <w:b w:val="0"/>
          <w:bCs w:val="0"/>
          <w:sz w:val="32"/>
          <w:szCs w:val="32"/>
          <w:shd w:val="clear" w:color="auto" w:fill="FFFFFF"/>
          <w:lang w:val="en-US" w:eastAsia="zh-CN"/>
        </w:rPr>
        <w:t>2019年支出下降。</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2.收入情况。</w:t>
      </w:r>
      <w:r>
        <w:rPr>
          <w:rFonts w:hint="eastAsia" w:ascii="方正仿宋_GBK" w:hAnsi="方正仿宋_GBK" w:eastAsia="方正仿宋_GBK" w:cs="方正仿宋_GBK"/>
          <w:b w:val="0"/>
          <w:bCs w:val="0"/>
          <w:sz w:val="32"/>
          <w:szCs w:val="32"/>
          <w:shd w:val="clear" w:color="auto" w:fill="FFFFFF"/>
        </w:rPr>
        <w:t>2020年度收入合计1,844.80万元，较上年决算数减少591.35万元，下降24.3%，主要原因是</w:t>
      </w:r>
      <w:r>
        <w:rPr>
          <w:rFonts w:hint="eastAsia" w:ascii="方正仿宋_GBK" w:hAnsi="方正仿宋_GBK" w:eastAsia="方正仿宋_GBK" w:cs="方正仿宋_GBK"/>
          <w:b w:val="0"/>
          <w:bCs w:val="0"/>
          <w:sz w:val="32"/>
          <w:szCs w:val="32"/>
          <w:shd w:val="clear" w:color="auto" w:fill="FFFFFF"/>
          <w:lang w:eastAsia="zh-CN"/>
        </w:rPr>
        <w:t>项目经费拨入减少</w:t>
      </w:r>
      <w:r>
        <w:rPr>
          <w:rFonts w:hint="eastAsia" w:ascii="方正仿宋_GBK" w:hAnsi="方正仿宋_GBK" w:eastAsia="方正仿宋_GBK" w:cs="方正仿宋_GBK"/>
          <w:b w:val="0"/>
          <w:bCs w:val="0"/>
          <w:sz w:val="32"/>
          <w:szCs w:val="32"/>
          <w:shd w:val="clear" w:color="auto" w:fill="FFFFFF"/>
        </w:rPr>
        <w:t>。其中：财政拨款收入1,844.80万元，占100</w:t>
      </w:r>
      <w:r>
        <w:rPr>
          <w:rFonts w:hint="eastAsia" w:ascii="方正仿宋_GBK" w:hAnsi="方正仿宋_GBK" w:eastAsia="方正仿宋_GBK" w:cs="方正仿宋_GBK"/>
          <w:b w:val="0"/>
          <w:bCs w:val="0"/>
          <w:sz w:val="32"/>
          <w:szCs w:val="32"/>
          <w:shd w:val="clear" w:color="auto" w:fill="FFFFFF"/>
          <w:lang w:val="en-US" w:eastAsia="zh-CN"/>
        </w:rPr>
        <w:t>.0</w:t>
      </w:r>
      <w:r>
        <w:rPr>
          <w:rFonts w:hint="eastAsia" w:ascii="方正仿宋_GBK" w:hAnsi="方正仿宋_GBK" w:eastAsia="方正仿宋_GBK" w:cs="方正仿宋_GBK"/>
          <w:b w:val="0"/>
          <w:bCs w:val="0"/>
          <w:sz w:val="32"/>
          <w:szCs w:val="32"/>
          <w:shd w:val="clear" w:color="auto" w:fill="FFFFFF"/>
        </w:rPr>
        <w:t>%；年初结转和结余983.03万元。</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3.支出情况。</w:t>
      </w:r>
      <w:r>
        <w:rPr>
          <w:rFonts w:hint="eastAsia" w:ascii="方正仿宋_GBK" w:hAnsi="方正仿宋_GBK" w:eastAsia="方正仿宋_GBK" w:cs="方正仿宋_GBK"/>
          <w:b w:val="0"/>
          <w:bCs w:val="0"/>
          <w:sz w:val="32"/>
          <w:szCs w:val="32"/>
          <w:shd w:val="clear" w:color="auto" w:fill="FFFFFF"/>
        </w:rPr>
        <w:t>2020年度支出合计2,589.87万元，较上年决算数减少358.15万元，下降12.1%，主要原因是</w:t>
      </w:r>
      <w:r>
        <w:rPr>
          <w:rFonts w:hint="eastAsia" w:ascii="方正仿宋_GBK" w:hAnsi="方正仿宋_GBK" w:eastAsia="方正仿宋_GBK" w:cs="方正仿宋_GBK"/>
          <w:b w:val="0"/>
          <w:bCs w:val="0"/>
          <w:sz w:val="32"/>
          <w:szCs w:val="32"/>
          <w:shd w:val="clear" w:color="auto" w:fill="FFFFFF"/>
          <w:lang w:eastAsia="zh-CN"/>
        </w:rPr>
        <w:t>项目经费支出减少</w:t>
      </w:r>
      <w:r>
        <w:rPr>
          <w:rFonts w:hint="eastAsia" w:ascii="方正仿宋_GBK" w:hAnsi="方正仿宋_GBK" w:eastAsia="方正仿宋_GBK" w:cs="方正仿宋_GBK"/>
          <w:b w:val="0"/>
          <w:bCs w:val="0"/>
          <w:sz w:val="32"/>
          <w:szCs w:val="32"/>
          <w:shd w:val="clear" w:color="auto" w:fill="FFFFFF"/>
        </w:rPr>
        <w:t>。其中：基本支出 711.79万元，占27.5%；项目支出1,878.08万元，占72.5%。</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4.结转结余情况。</w:t>
      </w:r>
      <w:r>
        <w:rPr>
          <w:rFonts w:hint="eastAsia" w:ascii="方正仿宋_GBK" w:hAnsi="方正仿宋_GBK" w:eastAsia="方正仿宋_GBK" w:cs="方正仿宋_GBK"/>
          <w:b w:val="0"/>
          <w:bCs w:val="0"/>
          <w:sz w:val="32"/>
          <w:szCs w:val="32"/>
          <w:shd w:val="clear" w:color="auto" w:fill="FFFFFF"/>
        </w:rPr>
        <w:t>2020年度年末结转和结余237.96万元，较上年决算数减少122.21万元，下降33.9%，主要原因是</w:t>
      </w:r>
      <w:r>
        <w:rPr>
          <w:rFonts w:hint="eastAsia" w:ascii="方正仿宋_GBK" w:hAnsi="方正仿宋_GBK" w:eastAsia="方正仿宋_GBK" w:cs="方正仿宋_GBK"/>
          <w:b w:val="0"/>
          <w:bCs w:val="0"/>
          <w:sz w:val="32"/>
          <w:szCs w:val="32"/>
          <w:shd w:val="clear" w:color="auto" w:fill="FFFFFF"/>
          <w:lang w:val="en-US" w:eastAsia="zh-CN"/>
        </w:rPr>
        <w:t>2019年结转的</w:t>
      </w:r>
      <w:r>
        <w:rPr>
          <w:rFonts w:hint="eastAsia" w:ascii="方正仿宋_GBK" w:hAnsi="方正仿宋_GBK" w:eastAsia="方正仿宋_GBK" w:cs="方正仿宋_GBK"/>
          <w:b w:val="0"/>
          <w:bCs w:val="0"/>
          <w:sz w:val="32"/>
          <w:szCs w:val="32"/>
          <w:shd w:val="clear" w:color="auto" w:fill="FFFFFF"/>
          <w:lang w:eastAsia="zh-CN"/>
        </w:rPr>
        <w:t>项目资金在</w:t>
      </w:r>
      <w:r>
        <w:rPr>
          <w:rFonts w:hint="eastAsia" w:ascii="方正仿宋_GBK" w:hAnsi="方正仿宋_GBK" w:eastAsia="方正仿宋_GBK" w:cs="方正仿宋_GBK"/>
          <w:b w:val="0"/>
          <w:bCs w:val="0"/>
          <w:sz w:val="32"/>
          <w:szCs w:val="32"/>
          <w:shd w:val="clear" w:color="auto" w:fill="FFFFFF"/>
          <w:lang w:val="en-US" w:eastAsia="zh-CN"/>
        </w:rPr>
        <w:t>2020年支出，2020年结转和结余减少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2020年度财政拨款收、支总计2,827.83万元。与2019年相比，财政拨款收、支总计各减少480.36万元，下降14.5%。主要原因是</w:t>
      </w:r>
      <w:r>
        <w:rPr>
          <w:rFonts w:hint="eastAsia" w:ascii="方正仿宋_GBK" w:hAnsi="方正仿宋_GBK" w:eastAsia="方正仿宋_GBK" w:cs="方正仿宋_GBK"/>
          <w:b w:val="0"/>
          <w:bCs w:val="0"/>
          <w:sz w:val="32"/>
          <w:szCs w:val="32"/>
          <w:shd w:val="clear" w:color="auto" w:fill="FFFFFF"/>
          <w:lang w:eastAsia="zh-CN"/>
        </w:rPr>
        <w:t>项目经费拨入减少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（三）一般公共预算财政拨款支出决算情况说明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1.收入情况。</w:t>
      </w:r>
      <w:r>
        <w:rPr>
          <w:rFonts w:hint="eastAsia" w:ascii="方正仿宋_GBK" w:hAnsi="方正仿宋_GBK" w:eastAsia="方正仿宋_GBK" w:cs="方正仿宋_GBK"/>
          <w:b w:val="0"/>
          <w:bCs w:val="0"/>
          <w:sz w:val="32"/>
          <w:szCs w:val="32"/>
          <w:shd w:val="clear" w:color="auto" w:fill="FFFFFF"/>
        </w:rPr>
        <w:t>2020年度一般公共预算财政拨款收入1,789.07万元，较上年决算数减少154.53万元，下降8</w:t>
      </w:r>
      <w:r>
        <w:rPr>
          <w:rFonts w:hint="eastAsia" w:ascii="方正仿宋_GBK" w:hAnsi="方正仿宋_GBK" w:eastAsia="方正仿宋_GBK" w:cs="方正仿宋_GBK"/>
          <w:b w:val="0"/>
          <w:bCs w:val="0"/>
          <w:sz w:val="32"/>
          <w:szCs w:val="32"/>
          <w:shd w:val="clear" w:color="auto" w:fill="FFFFFF"/>
          <w:lang w:val="en-US" w:eastAsia="zh-CN"/>
        </w:rPr>
        <w:t>.0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项目资金年初预算财政拨款减少</w:t>
      </w:r>
      <w:r>
        <w:rPr>
          <w:rFonts w:hint="eastAsia" w:ascii="方正仿宋_GBK" w:hAnsi="方正仿宋_GBK" w:eastAsia="方正仿宋_GBK" w:cs="方正仿宋_GBK"/>
          <w:b w:val="0"/>
          <w:bCs w:val="0"/>
          <w:sz w:val="32"/>
          <w:szCs w:val="32"/>
          <w:shd w:val="clear" w:color="auto" w:fill="FFFFFF"/>
        </w:rPr>
        <w:t>。较年初预算数 增加185.26万元，增长11.6%。主要原因是</w:t>
      </w:r>
      <w:r>
        <w:rPr>
          <w:rFonts w:hint="eastAsia" w:ascii="方正仿宋_GBK" w:hAnsi="方正仿宋_GBK" w:eastAsia="方正仿宋_GBK" w:cs="方正仿宋_GBK"/>
          <w:b w:val="0"/>
          <w:bCs w:val="0"/>
          <w:sz w:val="32"/>
          <w:szCs w:val="32"/>
          <w:shd w:val="clear" w:color="auto" w:fill="FFFFFF"/>
          <w:lang w:eastAsia="zh-CN"/>
        </w:rPr>
        <w:t>部分项目资金没有纳入年初预算，在实施过程中增加当年预算</w:t>
      </w:r>
      <w:r>
        <w:rPr>
          <w:rFonts w:hint="eastAsia" w:ascii="方正仿宋_GBK" w:hAnsi="方正仿宋_GBK" w:eastAsia="方正仿宋_GBK" w:cs="方正仿宋_GBK"/>
          <w:b w:val="0"/>
          <w:bCs w:val="0"/>
          <w:sz w:val="32"/>
          <w:szCs w:val="32"/>
          <w:shd w:val="clear" w:color="auto" w:fill="FFFFFF"/>
        </w:rPr>
        <w:t>。此外，年初财政拨款结转和结余983.03万元。</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2.支出情况。</w:t>
      </w:r>
      <w:r>
        <w:rPr>
          <w:rFonts w:hint="eastAsia" w:ascii="方正仿宋_GBK" w:hAnsi="方正仿宋_GBK" w:eastAsia="方正仿宋_GBK" w:cs="方正仿宋_GBK"/>
          <w:b w:val="0"/>
          <w:bCs w:val="0"/>
          <w:sz w:val="32"/>
          <w:szCs w:val="32"/>
          <w:shd w:val="clear" w:color="auto" w:fill="FFFFFF"/>
        </w:rPr>
        <w:t>2020年度一般公共预算财政拨款支出2,534.14万元，较上年决算数增加78.67万元，增长3.2%。主要原因是</w:t>
      </w:r>
      <w:r>
        <w:rPr>
          <w:rFonts w:hint="eastAsia" w:ascii="方正仿宋_GBK" w:hAnsi="方正仿宋_GBK" w:eastAsia="方正仿宋_GBK" w:cs="方正仿宋_GBK"/>
          <w:b w:val="0"/>
          <w:bCs w:val="0"/>
          <w:sz w:val="32"/>
          <w:szCs w:val="32"/>
          <w:shd w:val="clear" w:color="auto" w:fill="FFFFFF"/>
          <w:lang w:eastAsia="zh-CN"/>
        </w:rPr>
        <w:t>项目资金当年支出比</w:t>
      </w:r>
      <w:r>
        <w:rPr>
          <w:rFonts w:hint="eastAsia" w:ascii="方正仿宋_GBK" w:hAnsi="方正仿宋_GBK" w:eastAsia="方正仿宋_GBK" w:cs="方正仿宋_GBK"/>
          <w:b w:val="0"/>
          <w:bCs w:val="0"/>
          <w:sz w:val="32"/>
          <w:szCs w:val="32"/>
          <w:shd w:val="clear" w:color="auto" w:fill="FFFFFF"/>
          <w:lang w:val="en-US" w:eastAsia="zh-CN"/>
        </w:rPr>
        <w:t>2019年增加</w:t>
      </w:r>
      <w:r>
        <w:rPr>
          <w:rFonts w:hint="eastAsia" w:ascii="方正仿宋_GBK" w:hAnsi="方正仿宋_GBK" w:eastAsia="方正仿宋_GBK" w:cs="方正仿宋_GBK"/>
          <w:b w:val="0"/>
          <w:bCs w:val="0"/>
          <w:sz w:val="32"/>
          <w:szCs w:val="32"/>
          <w:shd w:val="clear" w:color="auto" w:fill="FFFFFF"/>
        </w:rPr>
        <w:t>。较年初预算数增加930.33万元，增长58</w:t>
      </w:r>
      <w:r>
        <w:rPr>
          <w:rFonts w:hint="eastAsia" w:ascii="方正仿宋_GBK" w:hAnsi="方正仿宋_GBK" w:eastAsia="方正仿宋_GBK" w:cs="方正仿宋_GBK"/>
          <w:b w:val="0"/>
          <w:bCs w:val="0"/>
          <w:sz w:val="32"/>
          <w:szCs w:val="32"/>
          <w:shd w:val="clear" w:color="auto" w:fill="FFFFFF"/>
          <w:lang w:val="en-US" w:eastAsia="zh-CN"/>
        </w:rPr>
        <w:t>.0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部分项目资金没有纳入</w:t>
      </w:r>
      <w:r>
        <w:rPr>
          <w:rFonts w:hint="eastAsia" w:ascii="方正仿宋_GBK" w:hAnsi="方正仿宋_GBK" w:eastAsia="方正仿宋_GBK" w:cs="方正仿宋_GBK"/>
          <w:b w:val="0"/>
          <w:bCs w:val="0"/>
          <w:sz w:val="32"/>
          <w:szCs w:val="32"/>
          <w:shd w:val="clear" w:color="auto" w:fill="FFFFFF"/>
          <w:lang w:val="en-US" w:eastAsia="zh-CN"/>
        </w:rPr>
        <w:t>年初预算，是在2020年实施过程中增加财政拨入资金预算</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3.结转结余情况。</w:t>
      </w:r>
      <w:r>
        <w:rPr>
          <w:rFonts w:hint="eastAsia" w:ascii="方正仿宋_GBK" w:hAnsi="方正仿宋_GBK" w:eastAsia="方正仿宋_GBK" w:cs="方正仿宋_GBK"/>
          <w:b w:val="0"/>
          <w:bCs w:val="0"/>
          <w:sz w:val="32"/>
          <w:szCs w:val="32"/>
          <w:shd w:val="clear" w:color="auto" w:fill="FFFFFF"/>
        </w:rPr>
        <w:t>2020年度年末一般公共预算财政拨款结转和结余237.96万元，较上年决算数减少122.21万元，下降33.9%，主要原因是</w:t>
      </w:r>
      <w:r>
        <w:rPr>
          <w:rFonts w:hint="eastAsia" w:ascii="方正仿宋_GBK" w:hAnsi="方正仿宋_GBK" w:eastAsia="方正仿宋_GBK" w:cs="方正仿宋_GBK"/>
          <w:b w:val="0"/>
          <w:bCs w:val="0"/>
          <w:sz w:val="32"/>
          <w:szCs w:val="32"/>
          <w:shd w:val="clear" w:color="auto" w:fill="FFFFFF"/>
          <w:lang w:val="en-US" w:eastAsia="zh-CN"/>
        </w:rPr>
        <w:t>2019年结转的项目资金在2020年实施项目过程中资金支付较多，结转和结余比2019年减少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Style w:val="6"/>
          <w:rFonts w:hint="eastAsia" w:ascii="方正仿宋_GBK" w:hAnsi="方正仿宋_GBK" w:eastAsia="方正仿宋_GBK" w:cs="方正仿宋_GBK"/>
          <w:b w:val="0"/>
          <w:bCs w:val="0"/>
          <w:sz w:val="32"/>
          <w:szCs w:val="32"/>
          <w:shd w:val="clear" w:color="auto" w:fill="FFFFFF"/>
        </w:rPr>
        <w:t>4.比较情况</w:t>
      </w:r>
      <w:r>
        <w:rPr>
          <w:rFonts w:hint="eastAsia" w:ascii="方正仿宋_GBK" w:hAnsi="方正仿宋_GBK" w:eastAsia="方正仿宋_GBK" w:cs="方正仿宋_GBK"/>
          <w:b w:val="0"/>
          <w:bCs w:val="0"/>
          <w:sz w:val="32"/>
          <w:szCs w:val="32"/>
          <w:shd w:val="clear" w:color="auto" w:fill="FFFFFF"/>
        </w:rPr>
        <w:t>。本部门2020年度一般公共预算财政拨款支出主要用于以下几个方面：</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（1）一般公共服务支出1,060.19万元，占41.8%，较年初预算数增加769.92万元，增长265.2%，主要原因是</w:t>
      </w:r>
      <w:r>
        <w:rPr>
          <w:rFonts w:hint="eastAsia" w:ascii="方正仿宋_GBK" w:hAnsi="方正仿宋_GBK" w:eastAsia="方正仿宋_GBK" w:cs="方正仿宋_GBK"/>
          <w:b w:val="0"/>
          <w:bCs w:val="0"/>
          <w:sz w:val="32"/>
          <w:szCs w:val="32"/>
          <w:shd w:val="clear" w:color="auto" w:fill="FFFFFF"/>
          <w:lang w:eastAsia="zh-CN"/>
        </w:rPr>
        <w:t>多数项目资金没有纳入</w:t>
      </w:r>
      <w:r>
        <w:rPr>
          <w:rFonts w:hint="eastAsia" w:ascii="方正仿宋_GBK" w:hAnsi="方正仿宋_GBK" w:eastAsia="方正仿宋_GBK" w:cs="方正仿宋_GBK"/>
          <w:b w:val="0"/>
          <w:bCs w:val="0"/>
          <w:sz w:val="32"/>
          <w:szCs w:val="32"/>
          <w:shd w:val="clear" w:color="auto" w:fill="FFFFFF"/>
          <w:lang w:val="en-US" w:eastAsia="zh-CN"/>
        </w:rPr>
        <w:t>年初预算，是在2020年实施过程中增加当年预算。</w:t>
      </w:r>
    </w:p>
    <w:p>
      <w:pPr>
        <w:pStyle w:val="3"/>
        <w:keepNext w:val="0"/>
        <w:keepLines w:val="0"/>
        <w:widowControl/>
        <w:suppressLineNumbers w:val="0"/>
        <w:snapToGrid w:val="0"/>
        <w:spacing w:before="0" w:beforeAutospacing="0" w:after="0" w:afterAutospacing="1"/>
        <w:ind w:left="0" w:right="0" w:firstLine="640" w:firstLineChars="200"/>
        <w:jc w:val="left"/>
        <w:rPr>
          <w:rFonts w:hint="eastAsia" w:ascii="方正仿宋_GBK" w:hAnsi="方正仿宋_GBK" w:eastAsia="方正仿宋_GBK" w:cs="方正仿宋_GBK"/>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fill="FFFFFF"/>
          <w:lang w:val="en-US" w:eastAsia="zh-CN" w:bidi="ar"/>
        </w:rPr>
        <w:t>（2）教育支出1.06万元，占0.0%，较年初预算数增加0.00万元，增长0.0%，主要原因是职工教育培训用。</w:t>
      </w:r>
    </w:p>
    <w:p>
      <w:pPr>
        <w:pStyle w:val="3"/>
        <w:keepNext w:val="0"/>
        <w:keepLines w:val="0"/>
        <w:widowControl/>
        <w:suppressLineNumbers w:val="0"/>
        <w:snapToGrid w:val="0"/>
        <w:spacing w:before="0" w:beforeAutospacing="0" w:after="0" w:afterAutospacing="1"/>
        <w:ind w:left="0" w:right="0" w:firstLine="640" w:firstLineChars="200"/>
        <w:jc w:val="left"/>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3</w:t>
      </w:r>
      <w:r>
        <w:rPr>
          <w:rFonts w:hint="eastAsia" w:ascii="方正仿宋_GBK" w:hAnsi="方正仿宋_GBK" w:eastAsia="方正仿宋_GBK" w:cs="方正仿宋_GBK"/>
          <w:b w:val="0"/>
          <w:bCs w:val="0"/>
          <w:sz w:val="32"/>
          <w:szCs w:val="32"/>
          <w:shd w:val="clear" w:color="auto" w:fill="FFFFFF"/>
        </w:rPr>
        <w:t>）文化旅游体育与传媒支出444.70万元，占17.5%，较年初预算数增加444.70万元，增长</w:t>
      </w:r>
      <w:r>
        <w:rPr>
          <w:rFonts w:hint="eastAsia" w:ascii="方正仿宋_GBK" w:hAnsi="方正仿宋_GBK" w:eastAsia="方正仿宋_GBK" w:cs="方正仿宋_GBK"/>
          <w:b w:val="0"/>
          <w:bCs w:val="0"/>
          <w:sz w:val="32"/>
          <w:szCs w:val="32"/>
          <w:shd w:val="clear" w:color="auto" w:fill="FFFFFF"/>
          <w:lang w:val="en-US" w:eastAsia="zh-CN"/>
        </w:rPr>
        <w:t>100.0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该项目没有纳入年初预算，是在实施过程中增加的当年预算</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4</w:t>
      </w:r>
      <w:r>
        <w:rPr>
          <w:rFonts w:hint="eastAsia" w:ascii="方正仿宋_GBK" w:hAnsi="方正仿宋_GBK" w:eastAsia="方正仿宋_GBK" w:cs="方正仿宋_GBK"/>
          <w:b w:val="0"/>
          <w:bCs w:val="0"/>
          <w:sz w:val="32"/>
          <w:szCs w:val="32"/>
          <w:shd w:val="clear" w:color="auto" w:fill="FFFFFF"/>
        </w:rPr>
        <w:t>）社会保障与就业支出334.89万元，占13.2%，较年初预算数增加93.56万元，增长38.8%，主要原因是</w:t>
      </w:r>
      <w:r>
        <w:rPr>
          <w:rFonts w:hint="eastAsia" w:ascii="方正仿宋_GBK" w:hAnsi="方正仿宋_GBK" w:eastAsia="方正仿宋_GBK" w:cs="方正仿宋_GBK"/>
          <w:b w:val="0"/>
          <w:bCs w:val="0"/>
          <w:sz w:val="32"/>
          <w:szCs w:val="32"/>
          <w:shd w:val="clear" w:color="auto" w:fill="FFFFFF"/>
          <w:lang w:eastAsia="zh-CN"/>
        </w:rPr>
        <w:t>退休人员增加健康休养费和病故人员增加抚恤费</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5</w:t>
      </w:r>
      <w:r>
        <w:rPr>
          <w:rFonts w:hint="eastAsia" w:ascii="方正仿宋_GBK" w:hAnsi="方正仿宋_GBK" w:eastAsia="方正仿宋_GBK" w:cs="方正仿宋_GBK"/>
          <w:b w:val="0"/>
          <w:bCs w:val="0"/>
          <w:sz w:val="32"/>
          <w:szCs w:val="32"/>
          <w:shd w:val="clear" w:color="auto" w:fill="FFFFFF"/>
        </w:rPr>
        <w:t>）卫生健康支出27.33万元，占1.1%，较年初预算数增加0.0万元，增长</w:t>
      </w:r>
      <w:r>
        <w:rPr>
          <w:rFonts w:hint="eastAsia" w:ascii="方正仿宋_GBK" w:hAnsi="方正仿宋_GBK" w:eastAsia="方正仿宋_GBK" w:cs="方正仿宋_GBK"/>
          <w:b w:val="0"/>
          <w:bCs w:val="0"/>
          <w:sz w:val="32"/>
          <w:szCs w:val="32"/>
          <w:shd w:val="clear" w:color="auto" w:fill="FFFFFF"/>
          <w:lang w:val="en-US" w:eastAsia="zh-CN"/>
        </w:rPr>
        <w:t>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在职退休医保和医疗垫底门诊费用</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6</w:t>
      </w:r>
      <w:r>
        <w:rPr>
          <w:rFonts w:hint="eastAsia" w:ascii="方正仿宋_GBK" w:hAnsi="方正仿宋_GBK" w:eastAsia="方正仿宋_GBK" w:cs="方正仿宋_GBK"/>
          <w:b w:val="0"/>
          <w:bCs w:val="0"/>
          <w:sz w:val="32"/>
          <w:szCs w:val="32"/>
          <w:shd w:val="clear" w:color="auto" w:fill="FFFFFF"/>
        </w:rPr>
        <w:t>）农林水支出20.00万元，占0.8%，较年初预算数增加20.00万元，增长</w:t>
      </w:r>
      <w:r>
        <w:rPr>
          <w:rFonts w:hint="eastAsia" w:ascii="方正仿宋_GBK" w:hAnsi="方正仿宋_GBK" w:eastAsia="方正仿宋_GBK" w:cs="方正仿宋_GBK"/>
          <w:b w:val="0"/>
          <w:bCs w:val="0"/>
          <w:sz w:val="32"/>
          <w:szCs w:val="32"/>
          <w:shd w:val="clear" w:color="auto" w:fill="FFFFFF"/>
          <w:lang w:val="en-US" w:eastAsia="zh-CN"/>
        </w:rPr>
        <w:t>100.0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该项目没有纳入年初预算，是在实施过程中增加的当年预算</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7</w:t>
      </w:r>
      <w:r>
        <w:rPr>
          <w:rFonts w:hint="eastAsia" w:ascii="方正仿宋_GBK" w:hAnsi="方正仿宋_GBK" w:eastAsia="方正仿宋_GBK" w:cs="方正仿宋_GBK"/>
          <w:b w:val="0"/>
          <w:bCs w:val="0"/>
          <w:sz w:val="32"/>
          <w:szCs w:val="32"/>
          <w:shd w:val="clear" w:color="auto" w:fill="FFFFFF"/>
        </w:rPr>
        <w:t>）交通运输支出3.20万元，占0.1%，较年初预算数增加3.20万元，增长</w:t>
      </w:r>
      <w:r>
        <w:rPr>
          <w:rFonts w:hint="eastAsia" w:ascii="方正仿宋_GBK" w:hAnsi="方正仿宋_GBK" w:eastAsia="方正仿宋_GBK" w:cs="方正仿宋_GBK"/>
          <w:b w:val="0"/>
          <w:bCs w:val="0"/>
          <w:sz w:val="32"/>
          <w:szCs w:val="32"/>
          <w:shd w:val="clear" w:color="auto" w:fill="FFFFFF"/>
          <w:lang w:val="en-US" w:eastAsia="zh-CN"/>
        </w:rPr>
        <w:t>100.0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该项目没有纳入年初预算，是在实施过程中增加的当年预算</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8</w:t>
      </w:r>
      <w:r>
        <w:rPr>
          <w:rFonts w:hint="eastAsia" w:ascii="方正仿宋_GBK" w:hAnsi="方正仿宋_GBK" w:eastAsia="方正仿宋_GBK" w:cs="方正仿宋_GBK"/>
          <w:b w:val="0"/>
          <w:bCs w:val="0"/>
          <w:sz w:val="32"/>
          <w:szCs w:val="32"/>
          <w:shd w:val="clear" w:color="auto" w:fill="FFFFFF"/>
        </w:rPr>
        <w:t>）资源勘探信息等支出80.30万元，占3.2%，较年初预算数增加80.30万元，增长</w:t>
      </w:r>
      <w:r>
        <w:rPr>
          <w:rFonts w:hint="eastAsia" w:ascii="方正仿宋_GBK" w:hAnsi="方正仿宋_GBK" w:eastAsia="方正仿宋_GBK" w:cs="方正仿宋_GBK"/>
          <w:b w:val="0"/>
          <w:bCs w:val="0"/>
          <w:sz w:val="32"/>
          <w:szCs w:val="32"/>
          <w:shd w:val="clear" w:color="auto" w:fill="FFFFFF"/>
          <w:lang w:val="en-US" w:eastAsia="zh-CN"/>
        </w:rPr>
        <w:t>100.0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该项目没有纳入年初预算，是在实施过程中增加的当年预算</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9</w:t>
      </w:r>
      <w:r>
        <w:rPr>
          <w:rFonts w:hint="eastAsia" w:ascii="方正仿宋_GBK" w:hAnsi="方正仿宋_GBK" w:eastAsia="方正仿宋_GBK" w:cs="方正仿宋_GBK"/>
          <w:b w:val="0"/>
          <w:bCs w:val="0"/>
          <w:sz w:val="32"/>
          <w:szCs w:val="32"/>
          <w:shd w:val="clear" w:color="auto" w:fill="FFFFFF"/>
        </w:rPr>
        <w:t>）商业服务业等支出508.87万元，占20.1%，较年初预算数减少519.34万元，下降50.5%，主要原因是</w:t>
      </w:r>
      <w:r>
        <w:rPr>
          <w:rFonts w:hint="eastAsia" w:ascii="方正仿宋_GBK" w:hAnsi="方正仿宋_GBK" w:eastAsia="方正仿宋_GBK" w:cs="方正仿宋_GBK"/>
          <w:b w:val="0"/>
          <w:bCs w:val="0"/>
          <w:sz w:val="32"/>
          <w:szCs w:val="32"/>
          <w:shd w:val="clear" w:color="auto" w:fill="FFFFFF"/>
          <w:lang w:eastAsia="zh-CN"/>
        </w:rPr>
        <w:t>商业服务业等该项目资金纳入了年初预算，项目正在实施过程中，</w:t>
      </w:r>
      <w:r>
        <w:rPr>
          <w:rFonts w:hint="eastAsia" w:ascii="方正仿宋_GBK" w:hAnsi="方正仿宋_GBK" w:eastAsia="方正仿宋_GBK" w:cs="方正仿宋_GBK"/>
          <w:b w:val="0"/>
          <w:bCs w:val="0"/>
          <w:sz w:val="32"/>
          <w:szCs w:val="32"/>
          <w:shd w:val="clear" w:color="auto" w:fill="FFFFFF"/>
          <w:lang w:val="en-US" w:eastAsia="zh-CN"/>
        </w:rPr>
        <w:t>2020年</w:t>
      </w:r>
      <w:r>
        <w:rPr>
          <w:rFonts w:hint="eastAsia" w:ascii="方正仿宋_GBK" w:hAnsi="方正仿宋_GBK" w:eastAsia="方正仿宋_GBK" w:cs="方正仿宋_GBK"/>
          <w:b w:val="0"/>
          <w:bCs w:val="0"/>
          <w:sz w:val="32"/>
          <w:szCs w:val="32"/>
          <w:shd w:val="clear" w:color="auto" w:fill="FFFFFF"/>
          <w:lang w:eastAsia="zh-CN"/>
        </w:rPr>
        <w:t>经费还没有支付，</w:t>
      </w:r>
      <w:r>
        <w:rPr>
          <w:rFonts w:hint="eastAsia" w:ascii="方正仿宋_GBK" w:hAnsi="Calibri" w:eastAsia="方正仿宋_GBK" w:cs="Times New Roman"/>
          <w:sz w:val="32"/>
          <w:szCs w:val="32"/>
          <w:shd w:val="clear" w:fill="FFFFFF"/>
          <w:lang w:val="en-US" w:eastAsia="zh-CN" w:bidi="ar"/>
        </w:rPr>
        <w:t>未纳入决算支出</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10</w:t>
      </w:r>
      <w:r>
        <w:rPr>
          <w:rFonts w:hint="eastAsia" w:ascii="方正仿宋_GBK" w:hAnsi="方正仿宋_GBK" w:eastAsia="方正仿宋_GBK" w:cs="方正仿宋_GBK"/>
          <w:b w:val="0"/>
          <w:bCs w:val="0"/>
          <w:sz w:val="32"/>
          <w:szCs w:val="32"/>
          <w:shd w:val="clear" w:color="auto" w:fill="FFFFFF"/>
        </w:rPr>
        <w:t>）住房保障支出15.62万元，占0.6%，较年初预算数增加0.00万元，增长0</w:t>
      </w:r>
      <w:r>
        <w:rPr>
          <w:rFonts w:hint="eastAsia" w:ascii="方正仿宋_GBK" w:hAnsi="方正仿宋_GBK" w:eastAsia="方正仿宋_GBK" w:cs="方正仿宋_GBK"/>
          <w:b w:val="0"/>
          <w:bCs w:val="0"/>
          <w:sz w:val="32"/>
          <w:szCs w:val="32"/>
          <w:shd w:val="clear" w:color="auto" w:fill="FFFFFF"/>
          <w:lang w:val="en-US" w:eastAsia="zh-CN"/>
        </w:rPr>
        <w:t>.0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缴纳职工住房公积金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shd w:val="clear" w:color="auto" w:fill="FFFFFF"/>
          <w:lang w:val="en-US" w:eastAsia="zh-CN"/>
        </w:rPr>
        <w:t>11</w:t>
      </w:r>
      <w:r>
        <w:rPr>
          <w:rFonts w:hint="eastAsia" w:ascii="方正仿宋_GBK" w:hAnsi="方正仿宋_GBK" w:eastAsia="方正仿宋_GBK" w:cs="方正仿宋_GBK"/>
          <w:b w:val="0"/>
          <w:bCs w:val="0"/>
          <w:sz w:val="32"/>
          <w:szCs w:val="32"/>
          <w:shd w:val="clear" w:color="auto" w:fill="FFFFFF"/>
        </w:rPr>
        <w:t>）粮油物资储备支出38.00万元，占1.5%，较年初预算数增加38.00万元，增长</w:t>
      </w:r>
      <w:r>
        <w:rPr>
          <w:rFonts w:hint="eastAsia" w:ascii="方正仿宋_GBK" w:hAnsi="方正仿宋_GBK" w:eastAsia="方正仿宋_GBK" w:cs="方正仿宋_GBK"/>
          <w:b w:val="0"/>
          <w:bCs w:val="0"/>
          <w:sz w:val="32"/>
          <w:szCs w:val="32"/>
          <w:shd w:val="clear" w:color="auto" w:fill="FFFFFF"/>
          <w:lang w:val="en-US" w:eastAsia="zh-CN"/>
        </w:rPr>
        <w:t>100.0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2019年结转的项目资金2020年支付，没有纳入年初预算</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Style w:val="6"/>
          <w:rFonts w:hint="eastAsia" w:ascii="方正楷体_GBK" w:hAnsi="方正楷体_GBK" w:eastAsia="方正楷体_GBK" w:cs="方正楷体_GBK"/>
          <w:b w:val="0"/>
          <w:bCs w:val="0"/>
          <w:sz w:val="32"/>
          <w:szCs w:val="32"/>
          <w:shd w:val="clear" w:color="auto" w:fill="FFFFFF"/>
        </w:rPr>
      </w:pPr>
      <w:r>
        <w:rPr>
          <w:rStyle w:val="6"/>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2020年度一般公共财政拨款基本支出711.79万元。其中：人员经费639.67万元，较上年决算数增加7.80万 元，增长1.2%，主要原因是</w:t>
      </w:r>
      <w:r>
        <w:rPr>
          <w:rFonts w:hint="eastAsia" w:ascii="方正仿宋_GBK" w:hAnsi="方正仿宋_GBK" w:eastAsia="方正仿宋_GBK" w:cs="方正仿宋_GBK"/>
          <w:b w:val="0"/>
          <w:bCs w:val="0"/>
          <w:sz w:val="32"/>
          <w:szCs w:val="32"/>
          <w:shd w:val="clear" w:color="auto" w:fill="FFFFFF"/>
          <w:lang w:eastAsia="zh-CN"/>
        </w:rPr>
        <w:t>目标考核奖和健康疗养费增加</w:t>
      </w:r>
      <w:r>
        <w:rPr>
          <w:rFonts w:hint="eastAsia" w:ascii="方正仿宋_GBK" w:hAnsi="方正仿宋_GBK" w:eastAsia="方正仿宋_GBK" w:cs="方正仿宋_GBK"/>
          <w:b w:val="0"/>
          <w:bCs w:val="0"/>
          <w:sz w:val="32"/>
          <w:szCs w:val="32"/>
          <w:shd w:val="clear" w:color="auto" w:fill="FFFFFF"/>
        </w:rPr>
        <w:t>。人员经费用途主要包括基本工资、津贴补贴、奖金、绩效工资、社会保障缴费、其他工资福利、抚恤费、退休生活补助、医疗门诊等费用。公用经费72.12万元，较上年决算数增加10.44万元，增长16.9%，主要原因是</w:t>
      </w:r>
      <w:r>
        <w:rPr>
          <w:rFonts w:hint="eastAsia" w:ascii="方正仿宋_GBK" w:hAnsi="方正仿宋_GBK" w:eastAsia="方正仿宋_GBK" w:cs="方正仿宋_GBK"/>
          <w:b w:val="0"/>
          <w:bCs w:val="0"/>
          <w:sz w:val="32"/>
          <w:szCs w:val="32"/>
          <w:shd w:val="clear" w:color="auto" w:fill="FFFFFF"/>
          <w:lang w:eastAsia="zh-CN"/>
        </w:rPr>
        <w:t>福利费增加</w:t>
      </w:r>
      <w:r>
        <w:rPr>
          <w:rFonts w:hint="eastAsia" w:ascii="方正仿宋_GBK" w:hAnsi="方正仿宋_GBK" w:eastAsia="方正仿宋_GBK" w:cs="方正仿宋_GBK"/>
          <w:b w:val="0"/>
          <w:bCs w:val="0"/>
          <w:sz w:val="32"/>
          <w:szCs w:val="32"/>
          <w:shd w:val="clear" w:color="auto" w:fill="FFFFFF"/>
        </w:rPr>
        <w:t>。公用经费用途主要包括办公费、印刷费、水电费、邮电费、差旅费、公</w:t>
      </w:r>
      <w:r>
        <w:rPr>
          <w:rFonts w:hint="eastAsia" w:ascii="方正仿宋_GBK" w:hAnsi="方正仿宋_GBK" w:eastAsia="方正仿宋_GBK" w:cs="方正仿宋_GBK"/>
          <w:b w:val="0"/>
          <w:bCs w:val="0"/>
          <w:sz w:val="32"/>
          <w:szCs w:val="32"/>
        </w:rPr>
        <w:t>务接待费、公车运行费、</w:t>
      </w:r>
      <w:r>
        <w:rPr>
          <w:rFonts w:hint="eastAsia" w:ascii="方正仿宋_GBK" w:hAnsi="方正仿宋_GBK" w:eastAsia="方正仿宋_GBK" w:cs="方正仿宋_GBK"/>
          <w:b w:val="0"/>
          <w:bCs w:val="0"/>
          <w:sz w:val="32"/>
          <w:szCs w:val="32"/>
          <w:lang w:eastAsia="zh-CN"/>
        </w:rPr>
        <w:t>福利费、工会经费、</w:t>
      </w:r>
      <w:r>
        <w:rPr>
          <w:rFonts w:hint="eastAsia" w:ascii="方正仿宋_GBK" w:hAnsi="方正仿宋_GBK" w:eastAsia="方正仿宋_GBK" w:cs="方正仿宋_GBK"/>
          <w:b w:val="0"/>
          <w:bCs w:val="0"/>
          <w:sz w:val="32"/>
          <w:szCs w:val="32"/>
        </w:rPr>
        <w:t>其他交通费等</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2020年度政府性基金预算财政拨款年初结转结余0.00万元，年末结转结余0.00万元。本年收入55.73万元，较上年决算数减少436.82万元，下降88.7%，主要原因是</w:t>
      </w:r>
      <w:r>
        <w:rPr>
          <w:rFonts w:hint="eastAsia" w:ascii="方正仿宋_GBK" w:hAnsi="方正仿宋_GBK" w:eastAsia="方正仿宋_GBK" w:cs="方正仿宋_GBK"/>
          <w:b w:val="0"/>
          <w:bCs w:val="0"/>
          <w:sz w:val="32"/>
          <w:szCs w:val="32"/>
          <w:shd w:val="clear" w:color="auto" w:fill="FFFFFF"/>
          <w:lang w:eastAsia="zh-CN"/>
        </w:rPr>
        <w:t>基金项目减少，财政拨款减少</w:t>
      </w:r>
      <w:r>
        <w:rPr>
          <w:rFonts w:hint="eastAsia" w:ascii="方正仿宋_GBK" w:hAnsi="方正仿宋_GBK" w:eastAsia="方正仿宋_GBK" w:cs="方正仿宋_GBK"/>
          <w:b w:val="0"/>
          <w:bCs w:val="0"/>
          <w:sz w:val="32"/>
          <w:szCs w:val="32"/>
          <w:shd w:val="clear" w:color="auto" w:fill="FFFFFF"/>
        </w:rPr>
        <w:t>。本年支出55.73万元，较上年决算数减少436.82万元，下降88.7%，主要原因是</w:t>
      </w:r>
      <w:r>
        <w:rPr>
          <w:rFonts w:hint="eastAsia" w:ascii="方正仿宋_GBK" w:hAnsi="方正仿宋_GBK" w:eastAsia="方正仿宋_GBK" w:cs="方正仿宋_GBK"/>
          <w:b w:val="0"/>
          <w:bCs w:val="0"/>
          <w:sz w:val="32"/>
          <w:szCs w:val="32"/>
          <w:shd w:val="clear" w:color="auto" w:fill="FFFFFF"/>
          <w:lang w:eastAsia="zh-CN"/>
        </w:rPr>
        <w:t>基金项目减少，财政拨款减少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shd w:val="clear" w:color="auto" w:fill="FFFFFF"/>
          <w:lang w:eastAsia="zh-CN"/>
        </w:rPr>
        <w:t>本部门</w:t>
      </w:r>
      <w:r>
        <w:rPr>
          <w:rFonts w:hint="eastAsia" w:ascii="方正仿宋_GBK" w:hAnsi="方正仿宋_GBK" w:eastAsia="方正仿宋_GBK" w:cs="方正仿宋_GBK"/>
          <w:b w:val="0"/>
          <w:bCs w:val="0"/>
          <w:sz w:val="32"/>
          <w:szCs w:val="32"/>
          <w:shd w:val="clear" w:color="auto" w:fill="FFFFFF"/>
        </w:rPr>
        <w:t>2020年度</w:t>
      </w:r>
      <w:r>
        <w:rPr>
          <w:rFonts w:hint="eastAsia" w:ascii="方正仿宋_GBK" w:hAnsi="方正仿宋_GBK" w:eastAsia="方正仿宋_GBK" w:cs="方正仿宋_GBK"/>
          <w:b w:val="0"/>
          <w:bCs w:val="0"/>
          <w:sz w:val="32"/>
          <w:szCs w:val="32"/>
          <w:shd w:val="clear" w:color="auto" w:fill="FFFFFF"/>
          <w:lang w:eastAsia="zh-CN"/>
        </w:rPr>
        <w:t>无</w:t>
      </w:r>
      <w:r>
        <w:rPr>
          <w:rFonts w:hint="eastAsia" w:ascii="方正仿宋_GBK" w:hAnsi="方正仿宋_GBK" w:eastAsia="方正仿宋_GBK" w:cs="方正仿宋_GBK"/>
          <w:b w:val="0"/>
          <w:bCs w:val="0"/>
          <w:sz w:val="32"/>
          <w:szCs w:val="32"/>
          <w:shd w:val="clear" w:color="auto" w:fill="FFFFFF"/>
        </w:rPr>
        <w:t>国有资本经营预算财政拨款支出</w:t>
      </w:r>
      <w:r>
        <w:rPr>
          <w:rFonts w:hint="eastAsia" w:ascii="方正仿宋_GBK" w:hAnsi="方正仿宋_GBK" w:eastAsia="方正仿宋_GBK" w:cs="方正仿宋_GBK"/>
          <w:b w:val="0"/>
          <w:bCs w:val="0"/>
          <w:sz w:val="32"/>
          <w:szCs w:val="32"/>
          <w:shd w:val="clear" w:color="auto" w:fill="FFFFFF"/>
          <w:lang w:eastAsia="zh-CN"/>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shd w:val="clear" w:color="auto" w:fill="FFFFFF"/>
        </w:rPr>
        <w:t>三、“三公”经费情况说明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（一）“三公”经费支出总体情况说明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2020年度“三公”经费支出共计16.54万元，较年初预算数减少1.46万元，下降8.1%，主要原因是</w:t>
      </w:r>
      <w:r>
        <w:rPr>
          <w:rFonts w:hint="eastAsia" w:ascii="方正仿宋_GBK" w:hAnsi="方正仿宋_GBK" w:eastAsia="方正仿宋_GBK" w:cs="方正仿宋_GBK"/>
          <w:b w:val="0"/>
          <w:bCs w:val="0"/>
          <w:sz w:val="32"/>
          <w:szCs w:val="32"/>
          <w:shd w:val="clear" w:color="auto" w:fill="FFFFFF"/>
          <w:lang w:eastAsia="zh-CN"/>
        </w:rPr>
        <w:t>公务接待减少</w:t>
      </w:r>
      <w:r>
        <w:rPr>
          <w:rFonts w:hint="eastAsia" w:ascii="方正仿宋_GBK" w:hAnsi="方正仿宋_GBK" w:eastAsia="方正仿宋_GBK" w:cs="方正仿宋_GBK"/>
          <w:b w:val="0"/>
          <w:bCs w:val="0"/>
          <w:sz w:val="32"/>
          <w:szCs w:val="32"/>
          <w:shd w:val="clear" w:color="auto" w:fill="FFFFFF"/>
        </w:rPr>
        <w:t>。 较上年支出数减少2.03万元，下降10.9%，主要原因是</w:t>
      </w:r>
      <w:r>
        <w:rPr>
          <w:rFonts w:hint="eastAsia" w:ascii="方正仿宋_GBK" w:hAnsi="方正仿宋_GBK" w:eastAsia="方正仿宋_GBK" w:cs="方正仿宋_GBK"/>
          <w:b w:val="0"/>
          <w:bCs w:val="0"/>
          <w:sz w:val="32"/>
          <w:szCs w:val="32"/>
          <w:shd w:val="clear" w:color="auto" w:fill="FFFFFF"/>
          <w:lang w:eastAsia="zh-CN"/>
        </w:rPr>
        <w:t>公务接待减少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（二）“三公”经费分项支出情况</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2020年度本部门因公出国（境）费用0.00万元，主要是</w:t>
      </w:r>
      <w:r>
        <w:rPr>
          <w:rFonts w:hint="eastAsia" w:ascii="方正仿宋_GBK" w:hAnsi="方正仿宋_GBK" w:eastAsia="方正仿宋_GBK" w:cs="方正仿宋_GBK"/>
          <w:b w:val="0"/>
          <w:bCs w:val="0"/>
          <w:sz w:val="32"/>
          <w:szCs w:val="32"/>
          <w:shd w:val="clear" w:color="auto" w:fill="FFFFFF"/>
          <w:lang w:val="en-US" w:eastAsia="zh-CN"/>
        </w:rPr>
        <w:t>2020年</w:t>
      </w:r>
      <w:r>
        <w:rPr>
          <w:rFonts w:hint="eastAsia" w:ascii="方正仿宋_GBK" w:hAnsi="方正仿宋_GBK" w:eastAsia="方正仿宋_GBK" w:cs="方正仿宋_GBK"/>
          <w:b w:val="0"/>
          <w:bCs w:val="0"/>
          <w:sz w:val="32"/>
          <w:szCs w:val="32"/>
          <w:shd w:val="clear" w:color="auto" w:fill="FFFFFF"/>
          <w:lang w:eastAsia="zh-CN"/>
        </w:rPr>
        <w:t>没有人员出国进行公务活动</w:t>
      </w:r>
      <w:r>
        <w:rPr>
          <w:rFonts w:hint="eastAsia" w:ascii="方正仿宋_GBK" w:hAnsi="方正仿宋_GBK" w:eastAsia="方正仿宋_GBK" w:cs="方正仿宋_GBK"/>
          <w:b w:val="0"/>
          <w:bCs w:val="0"/>
          <w:sz w:val="32"/>
          <w:szCs w:val="32"/>
          <w:shd w:val="clear" w:color="auto" w:fill="FFFFFF"/>
        </w:rPr>
        <w:t>。费用支出较年初预算数增加0.00万元，增长</w:t>
      </w:r>
      <w:r>
        <w:rPr>
          <w:rFonts w:hint="eastAsia" w:ascii="方正仿宋_GBK" w:hAnsi="方正仿宋_GBK" w:eastAsia="方正仿宋_GBK" w:cs="方正仿宋_GBK"/>
          <w:b w:val="0"/>
          <w:bCs w:val="0"/>
          <w:sz w:val="32"/>
          <w:szCs w:val="32"/>
          <w:shd w:val="clear" w:color="auto" w:fill="FFFFFF"/>
          <w:lang w:val="en-US" w:eastAsia="zh-CN"/>
        </w:rPr>
        <w:t>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2020年</w:t>
      </w:r>
      <w:r>
        <w:rPr>
          <w:rFonts w:hint="eastAsia" w:ascii="方正仿宋_GBK" w:hAnsi="方正仿宋_GBK" w:eastAsia="方正仿宋_GBK" w:cs="方正仿宋_GBK"/>
          <w:b w:val="0"/>
          <w:bCs w:val="0"/>
          <w:sz w:val="32"/>
          <w:szCs w:val="32"/>
          <w:shd w:val="clear" w:color="auto" w:fill="FFFFFF"/>
          <w:lang w:eastAsia="zh-CN"/>
        </w:rPr>
        <w:t>没有人员出国进行公务活动</w:t>
      </w:r>
      <w:r>
        <w:rPr>
          <w:rFonts w:hint="eastAsia" w:ascii="方正仿宋_GBK" w:hAnsi="方正仿宋_GBK" w:eastAsia="方正仿宋_GBK" w:cs="方正仿宋_GBK"/>
          <w:b w:val="0"/>
          <w:bCs w:val="0"/>
          <w:sz w:val="32"/>
          <w:szCs w:val="32"/>
          <w:shd w:val="clear" w:color="auto" w:fill="FFFFFF"/>
        </w:rPr>
        <w:t>。较上年支出数增加0.00万元，增长</w:t>
      </w:r>
      <w:r>
        <w:rPr>
          <w:rFonts w:hint="eastAsia" w:ascii="方正仿宋_GBK" w:hAnsi="方正仿宋_GBK" w:eastAsia="方正仿宋_GBK" w:cs="方正仿宋_GBK"/>
          <w:b w:val="0"/>
          <w:bCs w:val="0"/>
          <w:sz w:val="32"/>
          <w:szCs w:val="32"/>
          <w:shd w:val="clear" w:color="auto" w:fill="FFFFFF"/>
          <w:lang w:val="en-US" w:eastAsia="zh-CN"/>
        </w:rPr>
        <w:t>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2020年</w:t>
      </w:r>
      <w:r>
        <w:rPr>
          <w:rFonts w:hint="eastAsia" w:ascii="方正仿宋_GBK" w:hAnsi="方正仿宋_GBK" w:eastAsia="方正仿宋_GBK" w:cs="方正仿宋_GBK"/>
          <w:b w:val="0"/>
          <w:bCs w:val="0"/>
          <w:sz w:val="32"/>
          <w:szCs w:val="32"/>
          <w:shd w:val="clear" w:color="auto" w:fill="FFFFFF"/>
          <w:lang w:eastAsia="zh-CN"/>
        </w:rPr>
        <w:t>没有人员出国进行公务活动，与上年基本持平</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公务车购置费0.00万元，主要用于</w:t>
      </w:r>
      <w:r>
        <w:rPr>
          <w:rFonts w:hint="eastAsia" w:ascii="方正仿宋_GBK" w:hAnsi="方正仿宋_GBK" w:eastAsia="方正仿宋_GBK" w:cs="方正仿宋_GBK"/>
          <w:b w:val="0"/>
          <w:bCs w:val="0"/>
          <w:sz w:val="32"/>
          <w:szCs w:val="32"/>
          <w:shd w:val="clear" w:color="auto" w:fill="FFFFFF"/>
          <w:lang w:eastAsia="zh-CN"/>
        </w:rPr>
        <w:t>公务活动</w:t>
      </w:r>
      <w:r>
        <w:rPr>
          <w:rFonts w:hint="eastAsia" w:ascii="方正仿宋_GBK" w:hAnsi="方正仿宋_GBK" w:eastAsia="方正仿宋_GBK" w:cs="方正仿宋_GBK"/>
          <w:b w:val="0"/>
          <w:bCs w:val="0"/>
          <w:sz w:val="32"/>
          <w:szCs w:val="32"/>
          <w:shd w:val="clear" w:color="auto" w:fill="FFFFFF"/>
        </w:rPr>
        <w:t>。费用支出较年初预算数增加0.00万元，增长</w:t>
      </w:r>
      <w:r>
        <w:rPr>
          <w:rFonts w:hint="eastAsia" w:ascii="方正仿宋_GBK" w:hAnsi="方正仿宋_GBK" w:eastAsia="方正仿宋_GBK" w:cs="方正仿宋_GBK"/>
          <w:b w:val="0"/>
          <w:bCs w:val="0"/>
          <w:sz w:val="32"/>
          <w:szCs w:val="32"/>
          <w:shd w:val="clear" w:color="auto" w:fill="FFFFFF"/>
          <w:lang w:val="en-US" w:eastAsia="zh-CN"/>
        </w:rPr>
        <w:t>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val="en-US" w:eastAsia="zh-CN"/>
        </w:rPr>
        <w:t>2020年没有购车</w:t>
      </w:r>
      <w:r>
        <w:rPr>
          <w:rFonts w:hint="eastAsia" w:ascii="方正仿宋_GBK" w:hAnsi="方正仿宋_GBK" w:eastAsia="方正仿宋_GBK" w:cs="方正仿宋_GBK"/>
          <w:b w:val="0"/>
          <w:bCs w:val="0"/>
          <w:sz w:val="32"/>
          <w:szCs w:val="32"/>
          <w:shd w:val="clear" w:color="auto" w:fill="FFFFFF"/>
        </w:rPr>
        <w:t>。较上年支出数增加0.00万元，增长</w:t>
      </w:r>
      <w:r>
        <w:rPr>
          <w:rFonts w:hint="eastAsia" w:ascii="方正仿宋_GBK" w:hAnsi="方正仿宋_GBK" w:eastAsia="方正仿宋_GBK" w:cs="方正仿宋_GBK"/>
          <w:b w:val="0"/>
          <w:bCs w:val="0"/>
          <w:sz w:val="32"/>
          <w:szCs w:val="32"/>
          <w:shd w:val="clear" w:color="auto" w:fill="FFFFFF"/>
          <w:lang w:val="en-US" w:eastAsia="zh-CN"/>
        </w:rPr>
        <w:t>0.0</w:t>
      </w:r>
      <w:r>
        <w:rPr>
          <w:rFonts w:hint="eastAsia" w:ascii="方正仿宋_GBK" w:hAnsi="方正仿宋_GBK" w:eastAsia="方正仿宋_GBK" w:cs="方正仿宋_GBK"/>
          <w:b w:val="0"/>
          <w:bCs w:val="0"/>
          <w:sz w:val="32"/>
          <w:szCs w:val="32"/>
          <w:shd w:val="clear" w:color="auto" w:fill="FFFFFF"/>
        </w:rPr>
        <w:t>%，主要原因是</w:t>
      </w:r>
      <w:r>
        <w:rPr>
          <w:rFonts w:hint="eastAsia" w:ascii="方正仿宋_GBK" w:hAnsi="方正仿宋_GBK" w:eastAsia="方正仿宋_GBK" w:cs="方正仿宋_GBK"/>
          <w:b w:val="0"/>
          <w:bCs w:val="0"/>
          <w:sz w:val="32"/>
          <w:szCs w:val="32"/>
          <w:shd w:val="clear" w:color="auto" w:fill="FFFFFF"/>
          <w:lang w:eastAsia="zh-CN"/>
        </w:rPr>
        <w:t>当年没有购车，与上年基本持平</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公务车运行维护费10.84万元，主要用于</w:t>
      </w:r>
      <w:r>
        <w:rPr>
          <w:rFonts w:hint="eastAsia" w:ascii="方正仿宋_GBK" w:hAnsi="方正仿宋_GBK" w:eastAsia="方正仿宋_GBK" w:cs="方正仿宋_GBK"/>
          <w:b w:val="0"/>
          <w:bCs w:val="0"/>
          <w:sz w:val="32"/>
          <w:szCs w:val="32"/>
        </w:rPr>
        <w:t>机要文件交换、市内因公出行、县内业务检查等工作所需车辆的燃料费、维修费、过路过桥费、保险费等</w:t>
      </w:r>
      <w:r>
        <w:rPr>
          <w:rFonts w:hint="eastAsia" w:ascii="方正仿宋_GBK" w:hAnsi="方正仿宋_GBK" w:eastAsia="方正仿宋_GBK" w:cs="方正仿宋_GBK"/>
          <w:b w:val="0"/>
          <w:bCs w:val="0"/>
          <w:sz w:val="32"/>
          <w:szCs w:val="32"/>
          <w:shd w:val="clear" w:color="auto" w:fill="FFFFFF"/>
        </w:rPr>
        <w:t>。费用支出较年初预算数增加1.84万元，增长20.4%，主要原因是</w:t>
      </w:r>
      <w:r>
        <w:rPr>
          <w:rFonts w:hint="eastAsia" w:ascii="方正仿宋_GBK" w:hAnsi="方正仿宋_GBK" w:eastAsia="方正仿宋_GBK" w:cs="方正仿宋_GBK"/>
          <w:b w:val="0"/>
          <w:bCs w:val="0"/>
          <w:sz w:val="32"/>
          <w:szCs w:val="32"/>
          <w:shd w:val="clear" w:color="auto" w:fill="FFFFFF"/>
          <w:lang w:eastAsia="zh-CN"/>
        </w:rPr>
        <w:t>公务增加，车辆大修导致费用增加</w:t>
      </w:r>
      <w:r>
        <w:rPr>
          <w:rFonts w:hint="eastAsia" w:ascii="方正仿宋_GBK" w:hAnsi="方正仿宋_GBK" w:eastAsia="方正仿宋_GBK" w:cs="方正仿宋_GBK"/>
          <w:b w:val="0"/>
          <w:bCs w:val="0"/>
          <w:sz w:val="32"/>
          <w:szCs w:val="32"/>
          <w:shd w:val="clear" w:color="auto" w:fill="FFFFFF"/>
        </w:rPr>
        <w:t>。较上年支出数增加1.22万元，增长12.7%，主要原因是</w:t>
      </w:r>
      <w:r>
        <w:rPr>
          <w:rFonts w:hint="eastAsia" w:ascii="方正仿宋_GBK" w:hAnsi="方正仿宋_GBK" w:eastAsia="方正仿宋_GBK" w:cs="方正仿宋_GBK"/>
          <w:b w:val="0"/>
          <w:bCs w:val="0"/>
          <w:sz w:val="32"/>
          <w:szCs w:val="32"/>
          <w:shd w:val="clear" w:color="auto" w:fill="FFFFFF"/>
          <w:lang w:eastAsia="zh-CN"/>
        </w:rPr>
        <w:t>公务增加，车辆大修导致费用增加</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公务接待费5.70万元，主要用于接待</w:t>
      </w:r>
      <w:r>
        <w:rPr>
          <w:rFonts w:hint="eastAsia" w:ascii="方正仿宋_GBK" w:hAnsi="方正仿宋_GBK" w:eastAsia="方正仿宋_GBK" w:cs="方正仿宋_GBK"/>
          <w:b w:val="0"/>
          <w:bCs w:val="0"/>
          <w:sz w:val="32"/>
          <w:szCs w:val="32"/>
        </w:rPr>
        <w:t>国内相关单位到我单位学习调研、招商引资工作，接受相关部门检查指导工作发生的接待费用</w:t>
      </w:r>
      <w:r>
        <w:rPr>
          <w:rFonts w:hint="eastAsia" w:ascii="方正仿宋_GBK" w:hAnsi="方正仿宋_GBK" w:eastAsia="方正仿宋_GBK" w:cs="方正仿宋_GBK"/>
          <w:b w:val="0"/>
          <w:bCs w:val="0"/>
          <w:sz w:val="32"/>
          <w:szCs w:val="32"/>
          <w:shd w:val="clear" w:color="auto" w:fill="FFFFFF"/>
        </w:rPr>
        <w:t>。费用支出较年初预算数减少3.30万元，下降36.7%，主要原因是</w:t>
      </w:r>
      <w:r>
        <w:rPr>
          <w:rFonts w:hint="eastAsia" w:ascii="方正仿宋_GBK" w:hAnsi="方正仿宋_GBK" w:eastAsia="方正仿宋_GBK" w:cs="方正仿宋_GBK"/>
          <w:b w:val="0"/>
          <w:bCs w:val="0"/>
          <w:sz w:val="32"/>
          <w:szCs w:val="32"/>
          <w:shd w:val="clear" w:color="auto" w:fill="FFFFFF"/>
          <w:lang w:eastAsia="zh-CN"/>
        </w:rPr>
        <w:t>公务活动接待相应减少</w:t>
      </w:r>
      <w:r>
        <w:rPr>
          <w:rFonts w:hint="eastAsia" w:ascii="方正仿宋_GBK" w:hAnsi="方正仿宋_GBK" w:eastAsia="方正仿宋_GBK" w:cs="方正仿宋_GBK"/>
          <w:b w:val="0"/>
          <w:bCs w:val="0"/>
          <w:sz w:val="32"/>
          <w:szCs w:val="32"/>
          <w:shd w:val="clear" w:color="auto" w:fill="FFFFFF"/>
        </w:rPr>
        <w:t>。较上年支出数减少3.25万元，下降36.3%，主要原因是</w:t>
      </w:r>
      <w:r>
        <w:rPr>
          <w:rFonts w:hint="eastAsia" w:ascii="方正仿宋_GBK" w:hAnsi="方正仿宋_GBK" w:eastAsia="方正仿宋_GBK" w:cs="方正仿宋_GBK"/>
          <w:b w:val="0"/>
          <w:bCs w:val="0"/>
          <w:sz w:val="32"/>
          <w:szCs w:val="32"/>
          <w:shd w:val="clear" w:color="auto" w:fill="FFFFFF"/>
          <w:lang w:eastAsia="zh-CN"/>
        </w:rPr>
        <w:t>公务活动接待相应减少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（三）“三公”经费实物量情况</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本部门因公出国（境）共计0个团组，0人；公务用车购置0辆，公务车保有量为1辆；国内公务接待95批次632人，其中：国内外事接待0批次，0人；国（境）外公务接待0批次，0人。2020年本部门人均接待费90.12元，车均购置费0.00万元，车均维护费10.84万元。</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shd w:val="clear" w:color="auto" w:fill="FFFFFF"/>
        </w:rPr>
        <w:t>四、其他需要说明的事项</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（一）机关运行经费情况说明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2020年度本部门机关运行经费支出72.12万元，机关运行经费主要用于开支</w:t>
      </w:r>
      <w:r>
        <w:rPr>
          <w:rFonts w:hint="eastAsia" w:ascii="方正仿宋_GBK" w:hAnsi="方正仿宋_GBK" w:eastAsia="方正仿宋_GBK" w:cs="方正仿宋_GBK"/>
          <w:b w:val="0"/>
          <w:bCs w:val="0"/>
          <w:sz w:val="32"/>
          <w:szCs w:val="32"/>
        </w:rPr>
        <w:t>办公费、印刷费、水电费、邮电费、差旅费、</w:t>
      </w:r>
      <w:r>
        <w:rPr>
          <w:rFonts w:hint="eastAsia" w:ascii="方正仿宋_GBK" w:hAnsi="方正仿宋_GBK" w:eastAsia="方正仿宋_GBK" w:cs="方正仿宋_GBK"/>
          <w:b w:val="0"/>
          <w:bCs w:val="0"/>
          <w:sz w:val="32"/>
          <w:szCs w:val="32"/>
          <w:lang w:eastAsia="zh-CN"/>
        </w:rPr>
        <w:t>会议费、培训费、福利费、工会经费、</w:t>
      </w:r>
      <w:r>
        <w:rPr>
          <w:rFonts w:hint="eastAsia" w:ascii="方正仿宋_GBK" w:hAnsi="方正仿宋_GBK" w:eastAsia="方正仿宋_GBK" w:cs="方正仿宋_GBK"/>
          <w:b w:val="0"/>
          <w:bCs w:val="0"/>
          <w:sz w:val="32"/>
          <w:szCs w:val="32"/>
        </w:rPr>
        <w:t>公务接待费、公车运行费、其他交通费</w:t>
      </w:r>
      <w:r>
        <w:rPr>
          <w:rFonts w:hint="eastAsia" w:ascii="方正仿宋_GBK" w:hAnsi="方正仿宋_GBK" w:eastAsia="方正仿宋_GBK" w:cs="方正仿宋_GBK"/>
          <w:b w:val="0"/>
          <w:bCs w:val="0"/>
          <w:sz w:val="32"/>
          <w:szCs w:val="32"/>
          <w:lang w:eastAsia="zh-CN"/>
        </w:rPr>
        <w:t>等</w:t>
      </w:r>
      <w:r>
        <w:rPr>
          <w:rFonts w:hint="eastAsia" w:ascii="方正仿宋_GBK" w:hAnsi="方正仿宋_GBK" w:eastAsia="方正仿宋_GBK" w:cs="方正仿宋_GBK"/>
          <w:b w:val="0"/>
          <w:bCs w:val="0"/>
          <w:sz w:val="32"/>
          <w:szCs w:val="32"/>
          <w:shd w:val="clear" w:color="auto" w:fill="FFFFFF"/>
        </w:rPr>
        <w:t>。机关运行经费较上年决算数增加10.44万元，增长16.9%，主要原因是</w:t>
      </w:r>
      <w:r>
        <w:rPr>
          <w:rFonts w:hint="eastAsia" w:ascii="方正仿宋_GBK" w:hAnsi="方正仿宋_GBK" w:eastAsia="方正仿宋_GBK" w:cs="方正仿宋_GBK"/>
          <w:b w:val="0"/>
          <w:bCs w:val="0"/>
          <w:sz w:val="32"/>
          <w:szCs w:val="32"/>
          <w:shd w:val="clear" w:color="auto" w:fill="FFFFFF"/>
          <w:lang w:eastAsia="zh-CN"/>
        </w:rPr>
        <w:t>福利费预算增加</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本年度会议费支出4.14万元，较上年决算数增加1.39万元，增长50.5%，主要原因是</w:t>
      </w:r>
      <w:r>
        <w:rPr>
          <w:rFonts w:hint="eastAsia" w:ascii="方正仿宋_GBK" w:hAnsi="方正仿宋_GBK" w:eastAsia="方正仿宋_GBK" w:cs="方正仿宋_GBK"/>
          <w:b w:val="0"/>
          <w:bCs w:val="0"/>
          <w:sz w:val="32"/>
          <w:szCs w:val="32"/>
          <w:shd w:val="clear" w:color="auto" w:fill="FFFFFF"/>
          <w:lang w:eastAsia="zh-CN"/>
        </w:rPr>
        <w:t>电子商务和石磨豆花会议活动增加。</w:t>
      </w:r>
      <w:r>
        <w:rPr>
          <w:rFonts w:hint="eastAsia" w:ascii="方正仿宋_GBK" w:hAnsi="方正仿宋_GBK" w:eastAsia="方正仿宋_GBK" w:cs="方正仿宋_GBK"/>
          <w:b w:val="0"/>
          <w:bCs w:val="0"/>
          <w:sz w:val="32"/>
          <w:szCs w:val="32"/>
          <w:shd w:val="clear" w:color="auto" w:fill="FFFFFF"/>
        </w:rPr>
        <w:t>本年度培训费支出 1.41万元，较上年决算数减少0.96万元，下降40.5%，主要原因是</w:t>
      </w:r>
      <w:r>
        <w:rPr>
          <w:rFonts w:hint="eastAsia" w:ascii="方正仿宋_GBK" w:hAnsi="方正仿宋_GBK" w:eastAsia="方正仿宋_GBK" w:cs="方正仿宋_GBK"/>
          <w:b w:val="0"/>
          <w:bCs w:val="0"/>
          <w:sz w:val="32"/>
          <w:szCs w:val="32"/>
          <w:shd w:val="clear" w:color="auto" w:fill="FFFFFF"/>
          <w:lang w:eastAsia="zh-CN"/>
        </w:rPr>
        <w:t>商务活动培训减少</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（二）国有资产占用情况说明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截至2020年12月31日，本部门共有车辆1辆，其中，副部（省）级及以上领导用车0辆、主要领导干部用车0辆、机要通信用车0辆、应急保障用车1辆、执法执勤用车0辆，特种专业技术用车0辆，离退休干部用车0辆，其他用车0辆，单价50万元（含）以上通用设备0台（套），单价100万元（含）以上专用设备0台（套）。</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（三）政府采购支出情况说明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shd w:val="clear" w:color="auto" w:fill="FFFFFF"/>
        </w:rPr>
        <w:t>2020年度本部门政府采购支出总额358.40万元，其中：政府采购货物支出182.54万元、政府采购工程支出0.00万元、政府采购服务支出175.86万元。授予中小企业合同金额358.40万元，占政府采购支出总额的100%，其中：授予小微企业合同金额 208.70万元，占政府采购支出总额的58.2%。主要用于采购</w:t>
      </w:r>
      <w:r>
        <w:rPr>
          <w:rFonts w:hint="eastAsia" w:ascii="方正仿宋_GBK" w:hAnsi="方正仿宋_GBK" w:eastAsia="方正仿宋_GBK" w:cs="方正仿宋_GBK"/>
          <w:b w:val="0"/>
          <w:bCs w:val="0"/>
          <w:sz w:val="32"/>
          <w:szCs w:val="32"/>
          <w:shd w:val="clear" w:color="auto" w:fill="FFFFFF"/>
          <w:lang w:eastAsia="zh-CN"/>
        </w:rPr>
        <w:t>中小企业云服务，石磨豆花活动，电子商务等服务</w:t>
      </w:r>
      <w:r>
        <w:rPr>
          <w:rFonts w:hint="eastAsia" w:ascii="方正仿宋_GBK" w:hAnsi="方正仿宋_GBK" w:eastAsia="方正仿宋_GBK" w:cs="方正仿宋_GBK"/>
          <w:b w:val="0"/>
          <w:bCs w:val="0"/>
          <w:sz w:val="32"/>
          <w:szCs w:val="32"/>
          <w:shd w:val="clear" w:color="auto" w:fill="FFFFFF"/>
        </w:rPr>
        <w:t>。</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黑体_GBK" w:hAnsi="方正黑体_GBK" w:eastAsia="方正黑体_GBK" w:cs="方正黑体_GBK"/>
          <w:b w:val="0"/>
          <w:bCs w:val="0"/>
          <w:sz w:val="32"/>
          <w:szCs w:val="32"/>
          <w:shd w:val="clear" w:color="auto" w:fill="FFFFFF"/>
        </w:rPr>
        <w:t>五、预算绩效管理情况说明</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（一）预算绩效管理工作开展情况</w:t>
      </w:r>
    </w:p>
    <w:p>
      <w:pPr>
        <w:keepNext w:val="0"/>
        <w:keepLines w:val="0"/>
        <w:pageBreakBefore w:val="0"/>
        <w:kinsoku/>
        <w:wordWrap/>
        <w:overflowPunct/>
        <w:topLinePunct w:val="0"/>
        <w:autoSpaceDE/>
        <w:autoSpaceDN/>
        <w:bidi w:val="0"/>
        <w:adjustRightInd/>
        <w:spacing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2020年我委</w:t>
      </w:r>
      <w:r>
        <w:rPr>
          <w:rFonts w:hint="eastAsia" w:ascii="方正仿宋_GBK" w:hAnsi="方正仿宋_GBK" w:eastAsia="方正仿宋_GBK" w:cs="方正仿宋_GBK"/>
          <w:b w:val="0"/>
          <w:bCs w:val="0"/>
          <w:sz w:val="32"/>
          <w:szCs w:val="32"/>
        </w:rPr>
        <w:t>按照</w:t>
      </w:r>
      <w:r>
        <w:rPr>
          <w:rFonts w:hint="eastAsia" w:ascii="方正仿宋_GBK" w:hAnsi="方正仿宋_GBK" w:eastAsia="方正仿宋_GBK" w:cs="方正仿宋_GBK"/>
          <w:b w:val="0"/>
          <w:bCs w:val="0"/>
          <w:sz w:val="32"/>
          <w:szCs w:val="32"/>
          <w:lang w:eastAsia="zh-CN"/>
        </w:rPr>
        <w:t>项目</w:t>
      </w:r>
      <w:r>
        <w:rPr>
          <w:rFonts w:hint="eastAsia" w:ascii="方正仿宋_GBK" w:hAnsi="方正仿宋_GBK" w:eastAsia="方正仿宋_GBK" w:cs="方正仿宋_GBK"/>
          <w:b w:val="0"/>
          <w:bCs w:val="0"/>
          <w:sz w:val="32"/>
          <w:szCs w:val="32"/>
        </w:rPr>
        <w:t>资金</w:t>
      </w:r>
      <w:r>
        <w:rPr>
          <w:rFonts w:hint="eastAsia" w:ascii="方正仿宋_GBK" w:hAnsi="方正仿宋_GBK" w:eastAsia="方正仿宋_GBK" w:cs="方正仿宋_GBK"/>
          <w:b w:val="0"/>
          <w:bCs w:val="0"/>
          <w:sz w:val="32"/>
          <w:szCs w:val="32"/>
          <w:lang w:eastAsia="zh-CN"/>
        </w:rPr>
        <w:t>绩效</w:t>
      </w:r>
      <w:r>
        <w:rPr>
          <w:rFonts w:hint="eastAsia" w:ascii="方正仿宋_GBK" w:hAnsi="方正仿宋_GBK" w:eastAsia="方正仿宋_GBK" w:cs="方正仿宋_GBK"/>
          <w:b w:val="0"/>
          <w:bCs w:val="0"/>
          <w:sz w:val="32"/>
          <w:szCs w:val="32"/>
        </w:rPr>
        <w:t>管理办法，严格管理</w:t>
      </w:r>
      <w:r>
        <w:rPr>
          <w:rFonts w:hint="eastAsia" w:ascii="方正仿宋_GBK" w:hAnsi="方正仿宋_GBK" w:eastAsia="方正仿宋_GBK" w:cs="方正仿宋_GBK"/>
          <w:b w:val="0"/>
          <w:bCs w:val="0"/>
          <w:sz w:val="32"/>
          <w:szCs w:val="32"/>
          <w:lang w:eastAsia="zh-CN"/>
        </w:rPr>
        <w:t>，规范执行</w:t>
      </w:r>
      <w:r>
        <w:rPr>
          <w:rFonts w:hint="eastAsia" w:ascii="方正仿宋_GBK" w:hAnsi="方正仿宋_GBK" w:eastAsia="方正仿宋_GBK" w:cs="方正仿宋_GBK"/>
          <w:b w:val="0"/>
          <w:bCs w:val="0"/>
          <w:sz w:val="32"/>
          <w:szCs w:val="32"/>
        </w:rPr>
        <w:t>，规范审批程序，做到了专款专用，</w:t>
      </w:r>
      <w:r>
        <w:rPr>
          <w:rFonts w:hint="eastAsia" w:ascii="方正仿宋_GBK" w:hAnsi="方正仿宋_GBK" w:eastAsia="方正仿宋_GBK" w:cs="方正仿宋_GBK"/>
          <w:b w:val="0"/>
          <w:bCs w:val="0"/>
          <w:sz w:val="32"/>
          <w:szCs w:val="32"/>
          <w:lang w:eastAsia="zh-CN"/>
        </w:rPr>
        <w:t>对</w:t>
      </w:r>
      <w:r>
        <w:rPr>
          <w:rFonts w:hint="eastAsia" w:ascii="方正仿宋_GBK" w:hAnsi="方正仿宋_GBK" w:eastAsia="方正仿宋_GBK" w:cs="方正仿宋_GBK"/>
          <w:b w:val="0"/>
          <w:bCs w:val="0"/>
          <w:sz w:val="32"/>
          <w:szCs w:val="32"/>
        </w:rPr>
        <w:t>资金使用</w:t>
      </w:r>
      <w:r>
        <w:rPr>
          <w:rFonts w:hint="eastAsia" w:ascii="方正仿宋_GBK" w:hAnsi="方正仿宋_GBK" w:eastAsia="方正仿宋_GBK" w:cs="方正仿宋_GBK"/>
          <w:b w:val="0"/>
          <w:bCs w:val="0"/>
          <w:sz w:val="32"/>
          <w:szCs w:val="32"/>
          <w:lang w:eastAsia="zh-CN"/>
        </w:rPr>
        <w:t>进行了绩效自评，没有开展整体绩效评价</w:t>
      </w:r>
      <w:r>
        <w:rPr>
          <w:rFonts w:hint="eastAsia" w:ascii="方正仿宋_GBK" w:hAnsi="方正仿宋_GBK" w:eastAsia="方正仿宋_GBK" w:cs="方正仿宋_GBK"/>
          <w:b w:val="0"/>
          <w:bCs w:val="0"/>
          <w:sz w:val="32"/>
          <w:szCs w:val="32"/>
        </w:rPr>
        <w:t>。20</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lang w:eastAsia="zh-CN"/>
        </w:rPr>
        <w:t>以自评表开展绩效自评项目五个，涉及</w:t>
      </w:r>
      <w:r>
        <w:rPr>
          <w:rFonts w:hint="eastAsia" w:ascii="方正仿宋_GBK" w:hAnsi="方正仿宋_GBK" w:eastAsia="方正仿宋_GBK" w:cs="方正仿宋_GBK"/>
          <w:b w:val="0"/>
          <w:bCs w:val="0"/>
          <w:sz w:val="32"/>
          <w:szCs w:val="32"/>
        </w:rPr>
        <w:t>市县项</w:t>
      </w:r>
      <w:r>
        <w:rPr>
          <w:rFonts w:hint="eastAsia" w:ascii="方正仿宋_GBK" w:hAnsi="方正仿宋_GBK" w:eastAsia="方正仿宋_GBK" w:cs="方正仿宋_GBK"/>
          <w:b w:val="0"/>
          <w:bCs w:val="0"/>
          <w:sz w:val="32"/>
          <w:szCs w:val="32"/>
          <w:lang w:eastAsia="zh-CN"/>
        </w:rPr>
        <w:t>目</w:t>
      </w:r>
      <w:r>
        <w:rPr>
          <w:rFonts w:hint="eastAsia" w:ascii="方正仿宋_GBK" w:hAnsi="方正仿宋_GBK" w:eastAsia="方正仿宋_GBK" w:cs="方正仿宋_GBK"/>
          <w:b w:val="0"/>
          <w:bCs w:val="0"/>
          <w:sz w:val="32"/>
          <w:szCs w:val="32"/>
        </w:rPr>
        <w:t>资金使用</w:t>
      </w:r>
      <w:r>
        <w:rPr>
          <w:rFonts w:hint="eastAsia" w:ascii="方正仿宋_GBK" w:hAnsi="方正仿宋_GBK" w:eastAsia="方正仿宋_GBK" w:cs="方正仿宋_GBK"/>
          <w:b w:val="0"/>
          <w:bCs w:val="0"/>
          <w:sz w:val="32"/>
          <w:szCs w:val="32"/>
          <w:lang w:val="en-US" w:eastAsia="zh-CN"/>
        </w:rPr>
        <w:t>2116.03</w:t>
      </w:r>
      <w:r>
        <w:rPr>
          <w:rFonts w:hint="eastAsia" w:ascii="方正仿宋_GBK" w:hAnsi="方正仿宋_GBK" w:eastAsia="方正仿宋_GBK" w:cs="方正仿宋_GBK"/>
          <w:b w:val="0"/>
          <w:bCs w:val="0"/>
          <w:sz w:val="32"/>
          <w:szCs w:val="32"/>
        </w:rPr>
        <w:t>万元</w:t>
      </w:r>
      <w:r>
        <w:rPr>
          <w:rFonts w:hint="eastAsia" w:ascii="方正仿宋_GBK" w:hAnsi="方正仿宋_GBK" w:eastAsia="方正仿宋_GBK" w:cs="方正仿宋_GBK"/>
          <w:b w:val="0"/>
          <w:bCs w:val="0"/>
          <w:sz w:val="32"/>
          <w:szCs w:val="32"/>
          <w:lang w:eastAsia="zh-CN"/>
        </w:rPr>
        <w:t>，实际支出</w:t>
      </w:r>
      <w:r>
        <w:rPr>
          <w:rFonts w:hint="eastAsia" w:ascii="方正仿宋_GBK" w:hAnsi="方正仿宋_GBK" w:eastAsia="方正仿宋_GBK" w:cs="方正仿宋_GBK"/>
          <w:b w:val="0"/>
          <w:bCs w:val="0"/>
          <w:sz w:val="32"/>
          <w:szCs w:val="32"/>
          <w:lang w:val="en-US" w:eastAsia="zh-CN"/>
        </w:rPr>
        <w:t>1878.08万元，</w:t>
      </w:r>
      <w:r>
        <w:rPr>
          <w:rFonts w:hint="eastAsia" w:ascii="方正仿宋_GBK" w:hAnsi="方正仿宋_GBK" w:eastAsia="方正仿宋_GBK" w:cs="方正仿宋_GBK"/>
          <w:b w:val="0"/>
          <w:bCs w:val="0"/>
          <w:sz w:val="32"/>
          <w:szCs w:val="32"/>
          <w:lang w:eastAsia="zh-CN"/>
        </w:rPr>
        <w:t>预算执行率</w:t>
      </w:r>
      <w:r>
        <w:rPr>
          <w:rFonts w:hint="eastAsia" w:ascii="方正仿宋_GBK" w:hAnsi="方正仿宋_GBK" w:eastAsia="方正仿宋_GBK" w:cs="方正仿宋_GBK"/>
          <w:b w:val="0"/>
          <w:bCs w:val="0"/>
          <w:sz w:val="32"/>
          <w:szCs w:val="32"/>
          <w:lang w:val="en-US" w:eastAsia="zh-CN"/>
        </w:rPr>
        <w:t>88.8%，结转致2021年项目支出237.96万元。2020年没有委托第三方开展绩效评价。</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Style w:val="6"/>
          <w:rFonts w:hint="eastAsia" w:ascii="方正楷体_GBK" w:hAnsi="方正楷体_GBK" w:eastAsia="方正楷体_GBK" w:cs="方正楷体_GBK"/>
          <w:b w:val="0"/>
          <w:bCs w:val="0"/>
          <w:sz w:val="32"/>
          <w:szCs w:val="32"/>
          <w:shd w:val="clear" w:color="auto" w:fill="FFFFFF"/>
        </w:rPr>
        <w:t>（二）绩效自评结果</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Style w:val="6"/>
          <w:rFonts w:hint="eastAsia" w:ascii="方正仿宋_GBK" w:hAnsi="方正仿宋_GBK" w:eastAsia="方正仿宋_GBK" w:cs="方正仿宋_GBK"/>
          <w:b w:val="0"/>
          <w:bCs w:val="0"/>
          <w:sz w:val="32"/>
          <w:szCs w:val="32"/>
          <w:shd w:val="clear" w:color="auto" w:fill="FFFFFF"/>
        </w:rPr>
      </w:pPr>
      <w:r>
        <w:rPr>
          <w:rStyle w:val="6"/>
          <w:rFonts w:hint="eastAsia" w:ascii="方正仿宋_GBK" w:hAnsi="方正仿宋_GBK" w:eastAsia="方正仿宋_GBK" w:cs="方正仿宋_GBK"/>
          <w:b w:val="0"/>
          <w:bCs w:val="0"/>
          <w:sz w:val="32"/>
          <w:szCs w:val="32"/>
          <w:shd w:val="clear" w:color="auto" w:fill="FFFFFF"/>
        </w:rPr>
        <w:t>1.绩效自评表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3200" w:firstLineChars="1000"/>
        <w:textAlignment w:val="auto"/>
        <w:rPr>
          <w:rStyle w:val="6"/>
          <w:rFonts w:hint="eastAsia" w:ascii="方正仿宋_GBK" w:hAnsi="方正仿宋_GBK" w:eastAsia="方正仿宋_GBK" w:cs="方正仿宋_GBK"/>
          <w:b w:val="0"/>
          <w:bCs w:val="0"/>
          <w:sz w:val="32"/>
          <w:szCs w:val="32"/>
          <w:shd w:val="clear" w:color="auto" w:fill="FFFFFF"/>
        </w:rPr>
      </w:pPr>
      <w:r>
        <w:rPr>
          <w:rStyle w:val="6"/>
          <w:rFonts w:hint="eastAsia" w:ascii="方正仿宋_GBK" w:hAnsi="方正仿宋_GBK" w:eastAsia="方正仿宋_GBK" w:cs="方正仿宋_GBK"/>
          <w:b w:val="0"/>
          <w:bCs w:val="0"/>
          <w:sz w:val="32"/>
          <w:szCs w:val="32"/>
          <w:shd w:val="clear" w:color="auto" w:fill="FFFFFF"/>
        </w:rPr>
        <w:t>2020年项目资金绩效目标自评表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textAlignment w:val="auto"/>
        <w:rPr>
          <w:rStyle w:val="6"/>
          <w:rFonts w:hint="eastAsia" w:ascii="方正仿宋_GBK" w:hAnsi="方正仿宋_GBK" w:eastAsia="方正仿宋_GBK" w:cs="方正仿宋_GBK"/>
          <w:b w:val="0"/>
          <w:bCs w:val="0"/>
          <w:sz w:val="32"/>
          <w:szCs w:val="32"/>
          <w:shd w:val="clear" w:color="auto" w:fill="FFFFFF"/>
        </w:rPr>
      </w:pPr>
      <w:r>
        <w:rPr>
          <w:rStyle w:val="6"/>
          <w:rFonts w:hint="eastAsia" w:ascii="方正仿宋_GBK" w:hAnsi="方正仿宋_GBK" w:eastAsia="方正仿宋_GBK" w:cs="方正仿宋_GBK"/>
          <w:b w:val="0"/>
          <w:bCs w:val="0"/>
          <w:sz w:val="32"/>
          <w:szCs w:val="32"/>
          <w:shd w:val="clear" w:color="auto" w:fill="FFFFFF"/>
        </w:rPr>
        <w:t>填报单位： 垫江县商务委员会</w:t>
      </w:r>
    </w:p>
    <w:tbl>
      <w:tblPr>
        <w:tblStyle w:val="4"/>
        <w:tblW w:w="9720" w:type="dxa"/>
        <w:tblInd w:w="0" w:type="dxa"/>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疫情房租减免、企业贴息补助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自评总分（分)</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shd w:val="clear" w:color="auto" w:fill="auto"/>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业务主管部门</w:t>
            </w:r>
          </w:p>
        </w:tc>
        <w:tc>
          <w:tcPr>
            <w:tcW w:w="43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垫江县商务委员会</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及电话</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12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全年预算数年初(年初预算加上追加、追减数)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执行率得分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（10分)</w:t>
            </w:r>
          </w:p>
        </w:tc>
      </w:tr>
      <w:tr>
        <w:tblPrEx>
          <w:shd w:val="clear" w:color="auto" w:fill="auto"/>
          <w:tblCellMar>
            <w:top w:w="0" w:type="dxa"/>
            <w:left w:w="0" w:type="dxa"/>
            <w:bottom w:w="0" w:type="dxa"/>
            <w:right w:w="0" w:type="dxa"/>
          </w:tblCellMar>
        </w:tblPrEx>
        <w:trPr>
          <w:trHeight w:val="4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91.22</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91.22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4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全年实际完成情况</w:t>
            </w:r>
          </w:p>
        </w:tc>
      </w:tr>
      <w:tr>
        <w:tblPrEx>
          <w:shd w:val="clear" w:color="auto" w:fill="auto"/>
          <w:tblCellMar>
            <w:top w:w="0" w:type="dxa"/>
            <w:left w:w="0" w:type="dxa"/>
            <w:bottom w:w="0" w:type="dxa"/>
            <w:right w:w="0" w:type="dxa"/>
          </w:tblCellMar>
        </w:tblPrEx>
        <w:trPr>
          <w:trHeight w:val="6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0"/>
                <w:szCs w:val="20"/>
                <w:u w:val="none"/>
              </w:rPr>
            </w:pP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应对疫情服务企业、促进企业复工复产。</w:t>
            </w:r>
          </w:p>
        </w:tc>
        <w:tc>
          <w:tcPr>
            <w:tcW w:w="54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完成对企业疫情房租减免、促进企业复工复产、完成对小微企业贷款贴息补助，惠及企业和个体32个。</w:t>
            </w:r>
          </w:p>
        </w:tc>
      </w:tr>
      <w:tr>
        <w:tblPrEx>
          <w:shd w:val="clear" w:color="auto" w:fill="auto"/>
          <w:tblCellMar>
            <w:top w:w="0" w:type="dxa"/>
            <w:left w:w="0" w:type="dxa"/>
            <w:bottom w:w="0" w:type="dxa"/>
            <w:right w:w="0"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得分系数%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shd w:val="clear" w:color="auto" w:fill="auto"/>
          <w:tblCellMar>
            <w:top w:w="0" w:type="dxa"/>
            <w:left w:w="0" w:type="dxa"/>
            <w:bottom w:w="0" w:type="dxa"/>
            <w:right w:w="0"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产出（50分）    －数量指标1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疫情补助</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 </w:t>
            </w: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－数量指标2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企业个数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 </w:t>
            </w:r>
          </w:p>
        </w:tc>
      </w:tr>
      <w:tr>
        <w:tblPrEx>
          <w:shd w:val="clear" w:color="auto" w:fill="auto"/>
          <w:tblCellMar>
            <w:top w:w="0" w:type="dxa"/>
            <w:left w:w="0" w:type="dxa"/>
            <w:bottom w:w="0" w:type="dxa"/>
            <w:right w:w="0"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效益指标（30分）            -经济效益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促进小微企业发展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增长5%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 </w:t>
            </w: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-社会效益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复工复产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复产100%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-生态效益</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-可持续影响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r>
      <w:tr>
        <w:tblPrEx>
          <w:shd w:val="clear" w:color="auto" w:fill="auto"/>
          <w:tblCellMar>
            <w:top w:w="0" w:type="dxa"/>
            <w:left w:w="0" w:type="dxa"/>
            <w:bottom w:w="0" w:type="dxa"/>
            <w:right w:w="0" w:type="dxa"/>
          </w:tblCellMar>
        </w:tblPrEx>
        <w:trPr>
          <w:trHeight w:val="560"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绩效目标未全部完成原因分析及整改措施</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一、未全部完成原因分析:</w:t>
            </w:r>
          </w:p>
        </w:tc>
      </w:tr>
      <w:tr>
        <w:tblPrEx>
          <w:tblCellMar>
            <w:top w:w="0" w:type="dxa"/>
            <w:left w:w="0" w:type="dxa"/>
            <w:bottom w:w="0" w:type="dxa"/>
            <w:right w:w="0" w:type="dxa"/>
          </w:tblCellMar>
        </w:tblPrEx>
        <w:trPr>
          <w:trHeight w:val="285"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18"/>
                <w:szCs w:val="18"/>
                <w:u w:val="none"/>
              </w:rPr>
            </w:pPr>
          </w:p>
        </w:tc>
        <w:tc>
          <w:tcPr>
            <w:tcW w:w="648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二、整改措施：</w:t>
            </w:r>
          </w:p>
        </w:tc>
      </w:tr>
      <w:tr>
        <w:tblPrEx>
          <w:tblCellMar>
            <w:top w:w="0" w:type="dxa"/>
            <w:left w:w="0" w:type="dxa"/>
            <w:bottom w:w="0" w:type="dxa"/>
            <w:right w:w="0" w:type="dxa"/>
          </w:tblCellMar>
        </w:tblPrEx>
        <w:trPr>
          <w:trHeight w:val="380" w:hRule="atLeast"/>
        </w:trPr>
        <w:tc>
          <w:tcPr>
            <w:tcW w:w="972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填表人：左祥明  联系方式：74517931  主要领导签字：田洪武    财政局业务科室审核意见：</w:t>
            </w:r>
          </w:p>
        </w:tc>
      </w:tr>
    </w:tbl>
    <w:p>
      <w:pPr>
        <w:pStyle w:val="3"/>
        <w:snapToGrid w:val="0"/>
        <w:spacing w:before="0" w:beforeAutospacing="0"/>
        <w:rPr>
          <w:rStyle w:val="6"/>
          <w:rFonts w:hint="eastAsia"/>
          <w:sz w:val="27"/>
          <w:szCs w:val="27"/>
          <w:shd w:val="clear" w:color="auto" w:fill="FFFFFF"/>
        </w:rPr>
      </w:pP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2.绩效自评报告或案例</w:t>
      </w:r>
    </w:p>
    <w:p>
      <w:pPr>
        <w:keepNext w:val="0"/>
        <w:keepLines w:val="0"/>
        <w:pageBreakBefore w:val="0"/>
        <w:kinsoku/>
        <w:wordWrap/>
        <w:overflowPunct/>
        <w:topLinePunct w:val="0"/>
        <w:autoSpaceDE/>
        <w:autoSpaceDN/>
        <w:bidi w:val="0"/>
        <w:adjustRightInd/>
        <w:spacing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val="en-US" w:eastAsia="zh-CN"/>
        </w:rPr>
        <w:t>2020年没有委托第三方开展绩效评价，</w:t>
      </w:r>
      <w:r>
        <w:rPr>
          <w:rFonts w:hint="eastAsia" w:ascii="方正仿宋_GBK" w:hAnsi="方正仿宋_GBK" w:eastAsia="方正仿宋_GBK" w:cs="方正仿宋_GBK"/>
          <w:b w:val="0"/>
          <w:bCs w:val="0"/>
          <w:sz w:val="32"/>
          <w:szCs w:val="32"/>
        </w:rPr>
        <w:t>通过</w:t>
      </w:r>
      <w:r>
        <w:rPr>
          <w:rFonts w:hint="eastAsia" w:ascii="方正仿宋_GBK" w:hAnsi="方正仿宋_GBK" w:eastAsia="方正仿宋_GBK" w:cs="方正仿宋_GBK"/>
          <w:b w:val="0"/>
          <w:bCs w:val="0"/>
          <w:sz w:val="32"/>
          <w:szCs w:val="32"/>
          <w:lang w:eastAsia="zh-CN"/>
        </w:rPr>
        <w:t>自查</w:t>
      </w:r>
      <w:r>
        <w:rPr>
          <w:rFonts w:hint="eastAsia" w:ascii="方正仿宋_GBK" w:hAnsi="方正仿宋_GBK" w:eastAsia="方正仿宋_GBK" w:cs="方正仿宋_GBK"/>
          <w:b w:val="0"/>
          <w:bCs w:val="0"/>
          <w:sz w:val="32"/>
          <w:szCs w:val="32"/>
        </w:rPr>
        <w:t>，严格执行专项资金管理使用办法，</w:t>
      </w:r>
      <w:r>
        <w:rPr>
          <w:rFonts w:hint="eastAsia" w:ascii="方正仿宋_GBK" w:hAnsi="方正仿宋_GBK" w:eastAsia="方正仿宋_GBK" w:cs="方正仿宋_GBK"/>
          <w:b w:val="0"/>
          <w:bCs w:val="0"/>
          <w:sz w:val="32"/>
          <w:szCs w:val="32"/>
          <w:lang w:eastAsia="zh-CN"/>
        </w:rPr>
        <w:t>没有发现</w:t>
      </w:r>
      <w:r>
        <w:rPr>
          <w:rFonts w:hint="eastAsia" w:ascii="方正仿宋_GBK" w:hAnsi="方正仿宋_GBK" w:eastAsia="方正仿宋_GBK" w:cs="方正仿宋_GBK"/>
          <w:b w:val="0"/>
          <w:bCs w:val="0"/>
          <w:sz w:val="32"/>
          <w:szCs w:val="32"/>
        </w:rPr>
        <w:t>资金截留、挪用等违规违纪行为发生，</w:t>
      </w:r>
      <w:r>
        <w:rPr>
          <w:rFonts w:hint="eastAsia" w:ascii="方正仿宋_GBK" w:hAnsi="方正仿宋_GBK" w:eastAsia="方正仿宋_GBK" w:cs="方正仿宋_GBK"/>
          <w:b w:val="0"/>
          <w:bCs w:val="0"/>
          <w:sz w:val="32"/>
          <w:szCs w:val="32"/>
          <w:lang w:eastAsia="zh-CN"/>
        </w:rPr>
        <w:t>没有发生</w:t>
      </w:r>
      <w:r>
        <w:rPr>
          <w:rFonts w:hint="eastAsia" w:ascii="方正仿宋_GBK" w:hAnsi="方正仿宋_GBK" w:eastAsia="方正仿宋_GBK" w:cs="方正仿宋_GBK"/>
          <w:b w:val="0"/>
          <w:bCs w:val="0"/>
          <w:sz w:val="32"/>
          <w:szCs w:val="32"/>
        </w:rPr>
        <w:t>群众举报、新闻媒体曝光等违规违纪情况。</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Style w:val="6"/>
          <w:rFonts w:hint="eastAsia" w:ascii="方正仿宋_GBK" w:hAnsi="方正仿宋_GBK" w:eastAsia="方正仿宋_GBK" w:cs="方正仿宋_GBK"/>
          <w:b w:val="0"/>
          <w:bCs w:val="0"/>
          <w:sz w:val="32"/>
          <w:szCs w:val="32"/>
          <w:shd w:val="clear" w:color="auto" w:fill="FFFFFF"/>
        </w:rPr>
      </w:pPr>
      <w:r>
        <w:rPr>
          <w:rStyle w:val="6"/>
          <w:rFonts w:hint="eastAsia" w:ascii="方正楷体_GBK" w:hAnsi="方正楷体_GBK" w:eastAsia="方正楷体_GBK" w:cs="方正楷体_GBK"/>
          <w:b w:val="0"/>
          <w:bCs w:val="0"/>
          <w:sz w:val="32"/>
          <w:szCs w:val="32"/>
          <w:shd w:val="clear" w:color="auto" w:fill="FFFFFF"/>
        </w:rPr>
        <w:t>（三）重点绩效评价结果</w:t>
      </w:r>
    </w:p>
    <w:p>
      <w:pPr>
        <w:pStyle w:val="3"/>
        <w:keepNext w:val="0"/>
        <w:keepLines w:val="0"/>
        <w:pageBreakBefore w:val="0"/>
        <w:kinsoku/>
        <w:wordWrap/>
        <w:overflowPunct/>
        <w:topLinePunct w:val="0"/>
        <w:autoSpaceDE/>
        <w:autoSpaceDN/>
        <w:bidi w:val="0"/>
        <w:adjustRightIn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20</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年商贸发展项</w:t>
      </w:r>
      <w:r>
        <w:rPr>
          <w:rFonts w:hint="eastAsia" w:ascii="方正仿宋_GBK" w:hAnsi="方正仿宋_GBK" w:eastAsia="方正仿宋_GBK" w:cs="方正仿宋_GBK"/>
          <w:b w:val="0"/>
          <w:bCs w:val="0"/>
          <w:sz w:val="32"/>
          <w:szCs w:val="32"/>
          <w:lang w:eastAsia="zh-CN"/>
        </w:rPr>
        <w:t>目资金</w:t>
      </w:r>
      <w:r>
        <w:rPr>
          <w:rFonts w:hint="eastAsia" w:ascii="方正仿宋_GBK" w:hAnsi="方正仿宋_GBK" w:eastAsia="方正仿宋_GBK" w:cs="方正仿宋_GBK"/>
          <w:b w:val="0"/>
          <w:bCs w:val="0"/>
          <w:sz w:val="32"/>
          <w:szCs w:val="32"/>
        </w:rPr>
        <w:t>执行情况良好，做到了专款专用，规范使用，基本实现了绩效目标要求，资金使用和项目实施上没有违规违纪问题，项目完成较好，并且通过项目建设有效拉动了全县商务经济发展，产生了良好的社会效益和经济效益。</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shd w:val="clear" w:color="auto" w:fill="FFFFFF"/>
        </w:rPr>
        <w:t>六、专业名词解释</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（一）财政拨款收入</w:t>
      </w:r>
      <w:r>
        <w:rPr>
          <w:rFonts w:hint="eastAsia" w:ascii="方正仿宋_GBK" w:hAnsi="方正仿宋_GBK" w:eastAsia="方正仿宋_GBK" w:cs="方正仿宋_GBK"/>
          <w:b w:val="0"/>
          <w:bCs w:val="0"/>
          <w:sz w:val="32"/>
          <w:szCs w:val="32"/>
          <w:shd w:val="clear" w:color="auto" w:fill="FFFFFF"/>
        </w:rPr>
        <w:t>：指本年度从本级财政部门取得的财政拨款，包括一般公共预算财政拨款和政府性基金预算财政拨款。</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二</w:t>
      </w:r>
      <w:r>
        <w:rPr>
          <w:rStyle w:val="6"/>
          <w:rFonts w:hint="eastAsia" w:ascii="方正仿宋_GBK" w:hAnsi="方正仿宋_GBK" w:eastAsia="方正仿宋_GBK" w:cs="方正仿宋_GBK"/>
          <w:b w:val="0"/>
          <w:bCs w:val="0"/>
          <w:sz w:val="32"/>
          <w:szCs w:val="32"/>
          <w:shd w:val="clear" w:color="auto" w:fill="FFFFFF"/>
        </w:rPr>
        <w:t>）年初结转和结余</w:t>
      </w:r>
      <w:r>
        <w:rPr>
          <w:rFonts w:hint="eastAsia" w:ascii="方正仿宋_GBK" w:hAnsi="方正仿宋_GBK" w:eastAsia="方正仿宋_GBK" w:cs="方正仿宋_GBK"/>
          <w:b w:val="0"/>
          <w:bCs w:val="0"/>
          <w:sz w:val="32"/>
          <w:szCs w:val="32"/>
          <w:shd w:val="clear" w:color="auto" w:fill="FFFFFF"/>
        </w:rPr>
        <w:t>：指单位上年结转本年使用的基本支出结转、项目支出结转和结余、经营结余。</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三</w:t>
      </w:r>
      <w:r>
        <w:rPr>
          <w:rStyle w:val="6"/>
          <w:rFonts w:hint="eastAsia" w:ascii="方正仿宋_GBK" w:hAnsi="方正仿宋_GBK" w:eastAsia="方正仿宋_GBK" w:cs="方正仿宋_GBK"/>
          <w:b w:val="0"/>
          <w:bCs w:val="0"/>
          <w:sz w:val="32"/>
          <w:szCs w:val="32"/>
          <w:shd w:val="clear" w:color="auto" w:fill="FFFFFF"/>
        </w:rPr>
        <w:t>）年末结转和结余</w:t>
      </w:r>
      <w:r>
        <w:rPr>
          <w:rFonts w:hint="eastAsia" w:ascii="方正仿宋_GBK" w:hAnsi="方正仿宋_GBK" w:eastAsia="方正仿宋_GBK" w:cs="方正仿宋_GBK"/>
          <w:b w:val="0"/>
          <w:bCs w:val="0"/>
          <w:sz w:val="32"/>
          <w:szCs w:val="32"/>
          <w:shd w:val="clear" w:color="auto" w:fill="FFFFFF"/>
        </w:rPr>
        <w:t>：指单位结转下年的基本支出结转、项目支出结转和结余、经营结余。</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四</w:t>
      </w:r>
      <w:r>
        <w:rPr>
          <w:rStyle w:val="6"/>
          <w:rFonts w:hint="eastAsia" w:ascii="方正仿宋_GBK" w:hAnsi="方正仿宋_GBK" w:eastAsia="方正仿宋_GBK" w:cs="方正仿宋_GBK"/>
          <w:b w:val="0"/>
          <w:bCs w:val="0"/>
          <w:sz w:val="32"/>
          <w:szCs w:val="32"/>
          <w:shd w:val="clear" w:color="auto" w:fill="FFFFFF"/>
        </w:rPr>
        <w:t>）基本支出</w:t>
      </w:r>
      <w:r>
        <w:rPr>
          <w:rFonts w:hint="eastAsia" w:ascii="方正仿宋_GBK" w:hAnsi="方正仿宋_GBK"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五</w:t>
      </w:r>
      <w:r>
        <w:rPr>
          <w:rStyle w:val="6"/>
          <w:rFonts w:hint="eastAsia" w:ascii="方正仿宋_GBK" w:hAnsi="方正仿宋_GBK" w:eastAsia="方正仿宋_GBK" w:cs="方正仿宋_GBK"/>
          <w:b w:val="0"/>
          <w:bCs w:val="0"/>
          <w:sz w:val="32"/>
          <w:szCs w:val="32"/>
          <w:shd w:val="clear" w:color="auto" w:fill="FFFFFF"/>
        </w:rPr>
        <w:t>）项目支出</w:t>
      </w:r>
      <w:r>
        <w:rPr>
          <w:rFonts w:hint="eastAsia" w:ascii="方正仿宋_GBK" w:hAnsi="方正仿宋_GBK" w:eastAsia="方正仿宋_GBK" w:cs="方正仿宋_GBK"/>
          <w:b w:val="0"/>
          <w:bCs w:val="0"/>
          <w:sz w:val="32"/>
          <w:szCs w:val="32"/>
          <w:shd w:val="clear" w:color="auto" w:fill="FFFFFF"/>
        </w:rPr>
        <w:t>：指在基本支出之外为完成特定行政任务和事业发展目标所发生的支出。</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六</w:t>
      </w:r>
      <w:r>
        <w:rPr>
          <w:rStyle w:val="6"/>
          <w:rFonts w:hint="eastAsia" w:ascii="方正仿宋_GBK" w:hAnsi="方正仿宋_GBK" w:eastAsia="方正仿宋_GBK" w:cs="方正仿宋_GBK"/>
          <w:b w:val="0"/>
          <w:bCs w:val="0"/>
          <w:sz w:val="32"/>
          <w:szCs w:val="32"/>
          <w:shd w:val="clear" w:color="auto" w:fill="FFFFFF"/>
        </w:rPr>
        <w:t>）“三公”经费</w:t>
      </w:r>
      <w:r>
        <w:rPr>
          <w:rFonts w:hint="eastAsia" w:ascii="方正仿宋_GBK" w:hAnsi="方正仿宋_GBK"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七</w:t>
      </w:r>
      <w:r>
        <w:rPr>
          <w:rStyle w:val="6"/>
          <w:rFonts w:hint="eastAsia" w:ascii="方正仿宋_GBK" w:hAnsi="方正仿宋_GBK" w:eastAsia="方正仿宋_GBK" w:cs="方正仿宋_GBK"/>
          <w:b w:val="0"/>
          <w:bCs w:val="0"/>
          <w:sz w:val="32"/>
          <w:szCs w:val="32"/>
          <w:shd w:val="clear" w:color="auto" w:fill="FFFFFF"/>
        </w:rPr>
        <w:t>）机关运行经费</w:t>
      </w:r>
      <w:r>
        <w:rPr>
          <w:rFonts w:hint="eastAsia" w:ascii="方正仿宋_GBK" w:hAnsi="方正仿宋_GBK"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八</w:t>
      </w:r>
      <w:r>
        <w:rPr>
          <w:rStyle w:val="6"/>
          <w:rFonts w:hint="eastAsia" w:ascii="方正仿宋_GBK" w:hAnsi="方正仿宋_GBK" w:eastAsia="方正仿宋_GBK" w:cs="方正仿宋_GBK"/>
          <w:b w:val="0"/>
          <w:bCs w:val="0"/>
          <w:sz w:val="32"/>
          <w:szCs w:val="32"/>
          <w:shd w:val="clear" w:color="auto" w:fill="FFFFFF"/>
        </w:rPr>
        <w:t>）工资福利支出（支出经济分类科目类级）</w:t>
      </w:r>
      <w:r>
        <w:rPr>
          <w:rFonts w:hint="eastAsia" w:ascii="方正仿宋_GBK" w:hAnsi="方正仿宋_GBK"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九</w:t>
      </w:r>
      <w:r>
        <w:rPr>
          <w:rStyle w:val="6"/>
          <w:rFonts w:hint="eastAsia" w:ascii="方正仿宋_GBK" w:hAnsi="方正仿宋_GBK" w:eastAsia="方正仿宋_GBK" w:cs="方正仿宋_GBK"/>
          <w:b w:val="0"/>
          <w:bCs w:val="0"/>
          <w:sz w:val="32"/>
          <w:szCs w:val="32"/>
          <w:shd w:val="clear" w:color="auto" w:fill="FFFFFF"/>
        </w:rPr>
        <w:t>）商品和服务支出（支出经济分类科目类级）</w:t>
      </w:r>
      <w:r>
        <w:rPr>
          <w:rFonts w:hint="eastAsia" w:ascii="方正仿宋_GBK" w:hAnsi="方正仿宋_GBK" w:eastAsia="方正仿宋_GBK" w:cs="方正仿宋_GBK"/>
          <w:b w:val="0"/>
          <w:bCs w:val="0"/>
          <w:sz w:val="32"/>
          <w:szCs w:val="32"/>
          <w:shd w:val="clear" w:color="auto" w:fill="FFFFFF"/>
        </w:rPr>
        <w:t>：反映单位购买商品和服务的支出（不包括用于购置固定资产的支出、战略性和应急储备支出）。</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仿宋_GBK" w:hAnsi="方正仿宋_GBK" w:eastAsia="方正仿宋_GBK" w:cs="方正仿宋_GBK"/>
          <w:b w:val="0"/>
          <w:bCs w:val="0"/>
          <w:sz w:val="32"/>
          <w:szCs w:val="32"/>
        </w:rPr>
      </w:pPr>
      <w:r>
        <w:rPr>
          <w:rStyle w:val="6"/>
          <w:rFonts w:hint="eastAsia" w:ascii="方正仿宋_GBK" w:hAnsi="方正仿宋_GBK" w:eastAsia="方正仿宋_GBK" w:cs="方正仿宋_GBK"/>
          <w:b w:val="0"/>
          <w:bCs w:val="0"/>
          <w:sz w:val="32"/>
          <w:szCs w:val="32"/>
          <w:shd w:val="clear" w:color="auto" w:fill="FFFFFF"/>
        </w:rPr>
        <w:t>（</w:t>
      </w:r>
      <w:r>
        <w:rPr>
          <w:rStyle w:val="6"/>
          <w:rFonts w:hint="eastAsia" w:ascii="方正仿宋_GBK" w:hAnsi="方正仿宋_GBK" w:eastAsia="方正仿宋_GBK" w:cs="方正仿宋_GBK"/>
          <w:b w:val="0"/>
          <w:bCs w:val="0"/>
          <w:sz w:val="32"/>
          <w:szCs w:val="32"/>
          <w:shd w:val="clear" w:color="auto" w:fill="FFFFFF"/>
          <w:lang w:eastAsia="zh-CN"/>
        </w:rPr>
        <w:t>十</w:t>
      </w:r>
      <w:r>
        <w:rPr>
          <w:rStyle w:val="6"/>
          <w:rFonts w:hint="eastAsia" w:ascii="方正仿宋_GBK" w:hAnsi="方正仿宋_GBK" w:eastAsia="方正仿宋_GBK" w:cs="方正仿宋_GBK"/>
          <w:b w:val="0"/>
          <w:bCs w:val="0"/>
          <w:sz w:val="32"/>
          <w:szCs w:val="32"/>
          <w:shd w:val="clear" w:color="auto" w:fill="FFFFFF"/>
        </w:rPr>
        <w:t>）对个人和家庭的补助（支出经济分类科目类级）</w:t>
      </w:r>
      <w:r>
        <w:rPr>
          <w:rFonts w:hint="eastAsia" w:ascii="方正仿宋_GBK" w:hAnsi="方正仿宋_GBK" w:eastAsia="方正仿宋_GBK" w:cs="方正仿宋_GBK"/>
          <w:b w:val="0"/>
          <w:bCs w:val="0"/>
          <w:sz w:val="32"/>
          <w:szCs w:val="32"/>
          <w:shd w:val="clear" w:color="auto" w:fill="FFFFFF"/>
        </w:rPr>
        <w:t>：反映用于对个人和家庭的补助支出。</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eastAsia" w:ascii="方正黑体_GBK" w:hAnsi="方正黑体_GBK" w:eastAsia="方正黑体_GBK" w:cs="方正黑体_GBK"/>
          <w:b w:val="0"/>
          <w:bCs w:val="0"/>
          <w:sz w:val="32"/>
          <w:szCs w:val="32"/>
        </w:rPr>
      </w:pPr>
      <w:r>
        <w:rPr>
          <w:rStyle w:val="6"/>
          <w:rFonts w:hint="eastAsia" w:ascii="方正黑体_GBK" w:hAnsi="方正黑体_GBK" w:eastAsia="方正黑体_GBK" w:cs="方正黑体_GBK"/>
          <w:b w:val="0"/>
          <w:bCs w:val="0"/>
          <w:sz w:val="32"/>
          <w:szCs w:val="32"/>
          <w:shd w:val="clear" w:color="auto" w:fill="FFFFFF"/>
        </w:rPr>
        <w:t>七、决算公开联系方式及信息反馈渠道</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firstLine="640" w:firstLineChars="200"/>
        <w:jc w:val="left"/>
        <w:textAlignment w:val="auto"/>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本单位决算公开信息反馈和联系方式：联系</w:t>
      </w:r>
      <w:r>
        <w:rPr>
          <w:rFonts w:hint="eastAsia" w:ascii="方正仿宋_GBK" w:hAnsi="方正仿宋_GBK" w:eastAsia="方正仿宋_GBK" w:cs="方正仿宋_GBK"/>
          <w:b w:val="0"/>
          <w:bCs w:val="0"/>
          <w:sz w:val="32"/>
          <w:szCs w:val="32"/>
          <w:shd w:val="clear" w:color="auto" w:fill="FFFFFF"/>
          <w:lang w:eastAsia="zh-CN"/>
        </w:rPr>
        <w:t>电话</w:t>
      </w:r>
      <w:r>
        <w:rPr>
          <w:rFonts w:hint="eastAsia" w:ascii="方正仿宋_GBK" w:hAnsi="方正仿宋_GBK" w:eastAsia="方正仿宋_GBK" w:cs="方正仿宋_GBK"/>
          <w:b w:val="0"/>
          <w:bCs w:val="0"/>
          <w:sz w:val="32"/>
          <w:szCs w:val="32"/>
          <w:shd w:val="clear" w:color="auto" w:fill="FFFFFF"/>
          <w:lang w:val="en-US" w:eastAsia="zh-CN"/>
        </w:rPr>
        <w:t>023-74517931</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附表：1、收入支出决算总表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2、收入决算表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3、支出决算表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4、财政拨款收入支出决算总表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5、一般公共预算财政拨款收入支出决算表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6、一般公共预算财政拨款基本支出决算表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7、政府性基金预算财政拨款收入支出决算表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8、机构运行信息表</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1600" w:firstLineChars="5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9、国有资本经营预算财政拨款支出决算表</w:t>
      </w: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表一</w:t>
      </w:r>
    </w:p>
    <w:p>
      <w:pPr>
        <w:pStyle w:val="3"/>
        <w:snapToGrid w:val="0"/>
        <w:spacing w:before="0" w:beforeAutospacing="0"/>
        <w:ind w:firstLine="5760" w:firstLineChars="1800"/>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收入支出决算总表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2304" w:type="dxa"/>
        <w:tblInd w:w="0" w:type="dxa"/>
        <w:shd w:val="clear" w:color="auto" w:fill="auto"/>
        <w:tblLayout w:type="fixed"/>
        <w:tblCellMar>
          <w:top w:w="0" w:type="dxa"/>
          <w:left w:w="0" w:type="dxa"/>
          <w:bottom w:w="0" w:type="dxa"/>
          <w:right w:w="0" w:type="dxa"/>
        </w:tblCellMar>
      </w:tblPr>
      <w:tblGrid>
        <w:gridCol w:w="4764"/>
        <w:gridCol w:w="1645"/>
        <w:gridCol w:w="3855"/>
        <w:gridCol w:w="2040"/>
      </w:tblGrid>
      <w:tr>
        <w:tblPrEx>
          <w:shd w:val="clear" w:color="auto" w:fill="auto"/>
          <w:tblCellMar>
            <w:top w:w="0" w:type="dxa"/>
            <w:left w:w="0" w:type="dxa"/>
            <w:bottom w:w="0" w:type="dxa"/>
            <w:right w:w="0" w:type="dxa"/>
          </w:tblCellMar>
        </w:tblPrEx>
        <w:trPr>
          <w:trHeight w:val="300" w:hRule="atLeast"/>
        </w:trPr>
        <w:tc>
          <w:tcPr>
            <w:tcW w:w="6409"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收       入</w:t>
            </w:r>
          </w:p>
        </w:tc>
        <w:tc>
          <w:tcPr>
            <w:tcW w:w="58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300" w:hRule="atLeast"/>
        </w:trPr>
        <w:tc>
          <w:tcPr>
            <w:tcW w:w="4764"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w:t>
            </w:r>
          </w:p>
        </w:tc>
        <w:tc>
          <w:tcPr>
            <w:tcW w:w="16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决算数</w:t>
            </w:r>
          </w:p>
        </w:tc>
        <w:tc>
          <w:tcPr>
            <w:tcW w:w="385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功能分类科目</w:t>
            </w:r>
          </w:p>
        </w:tc>
        <w:tc>
          <w:tcPr>
            <w:tcW w:w="204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一、一般公共预算财政拨款收入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1,789.07</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一、一般公共服务支出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1,060.19</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二、政府性基金预算财政拨款收入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二、外交支出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三、国有资本经营预算财政拨款收入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三、国防支出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四、上级补助收入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四、公共安全支出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五、事业收入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五、教育支出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r>
      <w:tr>
        <w:tblPrEx>
          <w:shd w:val="clear" w:color="auto" w:fill="auto"/>
          <w:tblCellMar>
            <w:top w:w="0" w:type="dxa"/>
            <w:left w:w="0" w:type="dxa"/>
            <w:bottom w:w="0" w:type="dxa"/>
            <w:right w:w="0" w:type="dxa"/>
          </w:tblCellMar>
        </w:tblPrEx>
        <w:trPr>
          <w:trHeight w:val="342"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六、经营收入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六、科学技术支出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七、附属单位上缴收入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七、文化旅游体育与传媒支出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八、其他收入</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八、社会保障和就业支出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334.89</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九、卫生健康支出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十、节能环保支出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十一、城乡社区支出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十二、农林水支出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十三、交通运输支出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十四、资源勘探信息等支出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十五、商业服务业等支出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508.87</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十六、金融支出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十七、援助其他地区支出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十八、自然资源海洋气象等支出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十九、住房保障支出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二十、粮油物资储备支出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r>
      <w:tr>
        <w:tblPrEx>
          <w:shd w:val="clear" w:color="auto" w:fill="auto"/>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二十一、国有资本经营预算支出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二十二、灾害防治及应急管理支出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二十三、其他支出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二十四、债务还本支出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二十五、债务付息支出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二十六、抗疫特别国债安排的支出</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本年收入合计</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1,844.80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本年支出合计</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2,589.87</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使用非财政拨款结余</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结余分配</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年初结转和结余</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983.03</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年末结转和结余</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237.96</w:t>
            </w:r>
          </w:p>
        </w:tc>
      </w:tr>
      <w:tr>
        <w:tblPrEx>
          <w:tblCellMar>
            <w:top w:w="0" w:type="dxa"/>
            <w:left w:w="0" w:type="dxa"/>
            <w:bottom w:w="0" w:type="dxa"/>
            <w:right w:w="0" w:type="dxa"/>
          </w:tblCellMar>
        </w:tblPrEx>
        <w:trPr>
          <w:trHeight w:val="300" w:hRule="atLeast"/>
        </w:trPr>
        <w:tc>
          <w:tcPr>
            <w:tcW w:w="476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总计</w:t>
            </w:r>
          </w:p>
        </w:tc>
        <w:tc>
          <w:tcPr>
            <w:tcW w:w="1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2,827.83</w:t>
            </w:r>
          </w:p>
        </w:tc>
        <w:tc>
          <w:tcPr>
            <w:tcW w:w="38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总计</w:t>
            </w:r>
          </w:p>
        </w:tc>
        <w:tc>
          <w:tcPr>
            <w:tcW w:w="20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2,827.83</w:t>
            </w:r>
          </w:p>
        </w:tc>
      </w:tr>
      <w:tr>
        <w:tblPrEx>
          <w:tblCellMar>
            <w:top w:w="0" w:type="dxa"/>
            <w:left w:w="0" w:type="dxa"/>
            <w:bottom w:w="0" w:type="dxa"/>
            <w:right w:w="0" w:type="dxa"/>
          </w:tblCellMar>
        </w:tblPrEx>
        <w:trPr>
          <w:trHeight w:val="300" w:hRule="atLeast"/>
        </w:trPr>
        <w:tc>
          <w:tcPr>
            <w:tcW w:w="12304"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备注：本表反映部门本年度的总收支和年末结转结余等情况。 </w:t>
            </w:r>
          </w:p>
        </w:tc>
      </w:tr>
    </w:tbl>
    <w:p>
      <w:pPr>
        <w:rPr>
          <w:b w:val="0"/>
          <w:bCs w:val="0"/>
        </w:rPr>
      </w:pP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textAlignment w:val="auto"/>
        <w:rPr>
          <w:rFonts w:hint="eastAsia" w:ascii="Times New Roman" w:hAnsi="Times New Roman" w:eastAsia="方正仿宋_GBK" w:cs="Times New Roman"/>
          <w:b w:val="0"/>
          <w:bCs w:val="0"/>
          <w:sz w:val="32"/>
          <w:szCs w:val="32"/>
          <w:shd w:val="clear" w:color="auto" w:fill="FFFFFF"/>
          <w:lang w:val="en-US" w:eastAsia="zh-CN"/>
        </w:rPr>
      </w:pPr>
      <w:r>
        <w:rPr>
          <w:rFonts w:hint="eastAsia" w:ascii="Times New Roman" w:hAnsi="Times New Roman" w:eastAsia="方正仿宋_GBK" w:cs="Times New Roman"/>
          <w:b w:val="0"/>
          <w:bCs w:val="0"/>
          <w:sz w:val="32"/>
          <w:szCs w:val="32"/>
          <w:shd w:val="clear" w:color="auto" w:fill="FFFFFF"/>
        </w:rPr>
        <w:t>表</w:t>
      </w:r>
      <w:r>
        <w:rPr>
          <w:rFonts w:hint="eastAsia" w:ascii="Times New Roman" w:hAnsi="Times New Roman" w:eastAsia="方正仿宋_GBK" w:cs="Times New Roman"/>
          <w:b w:val="0"/>
          <w:bCs w:val="0"/>
          <w:sz w:val="32"/>
          <w:szCs w:val="32"/>
          <w:shd w:val="clear" w:color="auto" w:fill="FFFFFF"/>
          <w:lang w:eastAsia="zh-CN"/>
        </w:rPr>
        <w:t>二</w:t>
      </w:r>
    </w:p>
    <w:p>
      <w:pPr>
        <w:pStyle w:val="3"/>
        <w:keepNext w:val="0"/>
        <w:keepLines w:val="0"/>
        <w:pageBreakBefore w:val="0"/>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rPr>
        <w:t>收入决算表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Times New Roman" w:hAnsi="Times New Roman" w:eastAsia="方正仿宋_GBK" w:cs="Times New Roman"/>
          <w:b w:val="0"/>
          <w:bCs w:val="0"/>
          <w:sz w:val="32"/>
          <w:szCs w:val="32"/>
          <w:shd w:val="clear" w:color="auto" w:fill="FFFFFF"/>
        </w:rPr>
        <w:t>公开部门：</w:t>
      </w:r>
      <w:r>
        <w:rPr>
          <w:rFonts w:hint="eastAsia" w:ascii="方正仿宋_GBK" w:hAnsi="方正仿宋_GBK" w:eastAsia="方正仿宋_GBK" w:cs="方正仿宋_GBK"/>
          <w:b w:val="0"/>
          <w:bCs w:val="0"/>
          <w:sz w:val="32"/>
          <w:szCs w:val="32"/>
          <w:shd w:val="clear" w:color="auto" w:fill="FFFFFF"/>
        </w:rPr>
        <w:t>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2960" w:type="dxa"/>
        <w:tblInd w:w="0" w:type="dxa"/>
        <w:shd w:val="clear" w:color="auto" w:fill="auto"/>
        <w:tblLayout w:type="fixed"/>
        <w:tblCellMar>
          <w:top w:w="0" w:type="dxa"/>
          <w:left w:w="0" w:type="dxa"/>
          <w:bottom w:w="0" w:type="dxa"/>
          <w:right w:w="0" w:type="dxa"/>
        </w:tblCellMar>
      </w:tblPr>
      <w:tblGrid>
        <w:gridCol w:w="1077"/>
        <w:gridCol w:w="3495"/>
        <w:gridCol w:w="1140"/>
        <w:gridCol w:w="1035"/>
        <w:gridCol w:w="930"/>
        <w:gridCol w:w="1065"/>
        <w:gridCol w:w="1189"/>
        <w:gridCol w:w="1035"/>
        <w:gridCol w:w="960"/>
        <w:gridCol w:w="1034"/>
      </w:tblGrid>
      <w:tr>
        <w:tblPrEx>
          <w:shd w:val="clear" w:color="auto" w:fill="auto"/>
          <w:tblCellMar>
            <w:top w:w="0" w:type="dxa"/>
            <w:left w:w="0" w:type="dxa"/>
            <w:bottom w:w="0" w:type="dxa"/>
            <w:right w:w="0" w:type="dxa"/>
          </w:tblCellMar>
        </w:tblPrEx>
        <w:trPr>
          <w:trHeight w:val="300" w:hRule="atLeast"/>
        </w:trPr>
        <w:tc>
          <w:tcPr>
            <w:tcW w:w="4572"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400" w:firstLineChars="700"/>
              <w:jc w:val="both"/>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114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本年收入合计</w:t>
            </w:r>
          </w:p>
        </w:tc>
        <w:tc>
          <w:tcPr>
            <w:tcW w:w="1035"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财政拨款收入</w:t>
            </w:r>
          </w:p>
        </w:tc>
        <w:tc>
          <w:tcPr>
            <w:tcW w:w="93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上级补助收入</w:t>
            </w:r>
          </w:p>
        </w:tc>
        <w:tc>
          <w:tcPr>
            <w:tcW w:w="2254"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事业收入</w:t>
            </w:r>
          </w:p>
        </w:tc>
        <w:tc>
          <w:tcPr>
            <w:tcW w:w="1035"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经营收入</w:t>
            </w:r>
          </w:p>
        </w:tc>
        <w:tc>
          <w:tcPr>
            <w:tcW w:w="96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附属单位上缴收入</w:t>
            </w:r>
          </w:p>
        </w:tc>
        <w:tc>
          <w:tcPr>
            <w:tcW w:w="1034"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其他收入</w:t>
            </w:r>
          </w:p>
        </w:tc>
      </w:tr>
      <w:tr>
        <w:tblPrEx>
          <w:shd w:val="clear" w:color="auto" w:fill="auto"/>
          <w:tblCellMar>
            <w:top w:w="0" w:type="dxa"/>
            <w:left w:w="0" w:type="dxa"/>
            <w:bottom w:w="0" w:type="dxa"/>
            <w:right w:w="0" w:type="dxa"/>
          </w:tblCellMar>
        </w:tblPrEx>
        <w:trPr>
          <w:trHeight w:val="300" w:hRule="atLeast"/>
        </w:trPr>
        <w:tc>
          <w:tcPr>
            <w:tcW w:w="107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功能分类科目编码</w:t>
            </w:r>
          </w:p>
        </w:tc>
        <w:tc>
          <w:tcPr>
            <w:tcW w:w="3495" w:type="dxa"/>
            <w:vMerge w:val="restar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项目（按“项”级功能分类科目）</w:t>
            </w:r>
          </w:p>
        </w:tc>
        <w:tc>
          <w:tcPr>
            <w:tcW w:w="114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93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254" w:type="dxa"/>
            <w:gridSpan w:val="2"/>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9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4"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0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495" w:type="dxa"/>
            <w:vMerge w:val="continue"/>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14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93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65"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小计</w:t>
            </w:r>
          </w:p>
        </w:tc>
        <w:tc>
          <w:tcPr>
            <w:tcW w:w="1189"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其中：教育收费</w:t>
            </w:r>
          </w:p>
        </w:tc>
        <w:tc>
          <w:tcPr>
            <w:tcW w:w="10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9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4"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0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495" w:type="dxa"/>
            <w:vMerge w:val="continue"/>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14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93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6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189"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9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4"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572"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114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1,844.80</w:t>
            </w:r>
          </w:p>
        </w:tc>
        <w:tc>
          <w:tcPr>
            <w:tcW w:w="10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1,844.80</w:t>
            </w:r>
          </w:p>
        </w:tc>
        <w:tc>
          <w:tcPr>
            <w:tcW w:w="9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一般公共服务支出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655.42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655.42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商贸事务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655.13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655.13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336.25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336.25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2011302</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一般行政管理事务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14.40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14.40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2011308</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招商引资</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其他商贸事务支出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275.48</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275.48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20136</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其他共产党事务支出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2013699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其他共产党事务支出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教育支出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进修及培训</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2050803</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培训支出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文化旅游体育与传媒支出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文化和旅游</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2070113</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旅游宣传</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275.55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275.55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行政事业单位养老支出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240.23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240.23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2080505</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机关事业单位基本养老保险缴费支出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2080506</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机关事业单位职业年金缴费支出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10.41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10.41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其他行政事业单位养老支出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209.00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209.00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抚恤</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35.32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35.32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死亡抚恤</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2080803</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在乡复员、退伍军人生活补助</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行政事业单位医疗</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行政单位医疗</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农林水支出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21305</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扶贫</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2130599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其他扶贫支出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交通运输支出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公路水路运输</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2140199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其他公路水路运输支出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资源勘探工业信息等支出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支持中小企业发展和管理支出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2150806</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减免房租补贴</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1.97</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1.97</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其他支持中小企业发展和管理支出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78.34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78.34</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商业服务业等支出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458.10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458.10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21602</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商业流通事务</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278.70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278.70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2160299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其他商业流通事务支出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278.70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278.70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21606</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涉外发展服务支出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179.40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179.40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2160699</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其他涉外发展服务支出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179.40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179.40</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抗疫特别国债安排的支出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抗疫相关支出</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2340201</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减免房租补贴</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54.35</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54.35</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2340204</w:t>
            </w:r>
          </w:p>
        </w:tc>
        <w:tc>
          <w:tcPr>
            <w:tcW w:w="34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援企稳岗补贴</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1.38</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1.38</w:t>
            </w:r>
          </w:p>
        </w:tc>
        <w:tc>
          <w:tcPr>
            <w:tcW w:w="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960" w:type="dxa"/>
            <w:gridSpan w:val="10"/>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备注：本表反映部门本年度取得的各项收入情况。</w:t>
            </w:r>
          </w:p>
        </w:tc>
      </w:tr>
    </w:tbl>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表</w:t>
      </w:r>
      <w:r>
        <w:rPr>
          <w:rFonts w:hint="eastAsia" w:ascii="方正仿宋_GBK" w:hAnsi="方正仿宋_GBK" w:eastAsia="方正仿宋_GBK" w:cs="方正仿宋_GBK"/>
          <w:b w:val="0"/>
          <w:bCs w:val="0"/>
          <w:sz w:val="32"/>
          <w:szCs w:val="32"/>
          <w:shd w:val="clear" w:color="auto" w:fill="FFFFFF"/>
          <w:lang w:eastAsia="zh-CN"/>
        </w:rPr>
        <w:t>三</w:t>
      </w:r>
    </w:p>
    <w:p>
      <w:pPr>
        <w:pStyle w:val="3"/>
        <w:snapToGrid w:val="0"/>
        <w:spacing w:before="0" w:beforeAutospacing="0"/>
        <w:ind w:firstLine="5760" w:firstLineChars="1800"/>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lang w:eastAsia="zh-CN"/>
        </w:rPr>
        <w:t>支出</w:t>
      </w:r>
      <w:r>
        <w:rPr>
          <w:rFonts w:hint="eastAsia" w:ascii="方正仿宋_GBK" w:hAnsi="方正仿宋_GBK" w:eastAsia="方正仿宋_GBK" w:cs="方正仿宋_GBK"/>
          <w:b w:val="0"/>
          <w:bCs w:val="0"/>
          <w:sz w:val="32"/>
          <w:szCs w:val="32"/>
          <w:shd w:val="clear" w:color="auto" w:fill="FFFFFF"/>
        </w:rPr>
        <w:t>决算表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3065" w:type="dxa"/>
        <w:tblInd w:w="0" w:type="dxa"/>
        <w:shd w:val="clear" w:color="auto" w:fill="auto"/>
        <w:tblLayout w:type="fixed"/>
        <w:tblCellMar>
          <w:top w:w="0" w:type="dxa"/>
          <w:left w:w="0" w:type="dxa"/>
          <w:bottom w:w="0" w:type="dxa"/>
          <w:right w:w="0" w:type="dxa"/>
        </w:tblCellMar>
      </w:tblPr>
      <w:tblGrid>
        <w:gridCol w:w="1077"/>
        <w:gridCol w:w="3540"/>
        <w:gridCol w:w="1455"/>
        <w:gridCol w:w="1485"/>
        <w:gridCol w:w="1440"/>
        <w:gridCol w:w="1444"/>
        <w:gridCol w:w="1260"/>
        <w:gridCol w:w="1364"/>
      </w:tblGrid>
      <w:tr>
        <w:tblPrEx>
          <w:shd w:val="clear" w:color="auto" w:fill="auto"/>
          <w:tblCellMar>
            <w:top w:w="0" w:type="dxa"/>
            <w:left w:w="0" w:type="dxa"/>
            <w:bottom w:w="0" w:type="dxa"/>
            <w:right w:w="0" w:type="dxa"/>
          </w:tblCellMar>
        </w:tblPrEx>
        <w:trPr>
          <w:trHeight w:val="300" w:hRule="atLeast"/>
        </w:trPr>
        <w:tc>
          <w:tcPr>
            <w:tcW w:w="4617" w:type="dxa"/>
            <w:gridSpan w:val="2"/>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firstLine="1400" w:firstLineChars="700"/>
              <w:jc w:val="both"/>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1455"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本年支出合计</w:t>
            </w:r>
          </w:p>
        </w:tc>
        <w:tc>
          <w:tcPr>
            <w:tcW w:w="1485"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基本支出</w:t>
            </w:r>
          </w:p>
        </w:tc>
        <w:tc>
          <w:tcPr>
            <w:tcW w:w="144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项目支出</w:t>
            </w:r>
          </w:p>
        </w:tc>
        <w:tc>
          <w:tcPr>
            <w:tcW w:w="1444"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上缴上级支出</w:t>
            </w:r>
          </w:p>
        </w:tc>
        <w:tc>
          <w:tcPr>
            <w:tcW w:w="126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经营支出</w:t>
            </w:r>
          </w:p>
        </w:tc>
        <w:tc>
          <w:tcPr>
            <w:tcW w:w="1364"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0" w:hRule="atLeast"/>
        </w:trPr>
        <w:tc>
          <w:tcPr>
            <w:tcW w:w="107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功能分类科目编码</w:t>
            </w:r>
          </w:p>
        </w:tc>
        <w:tc>
          <w:tcPr>
            <w:tcW w:w="3540" w:type="dxa"/>
            <w:vMerge w:val="restart"/>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项目（按“项”级功能分类科目）</w:t>
            </w:r>
          </w:p>
        </w:tc>
        <w:tc>
          <w:tcPr>
            <w:tcW w:w="145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8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4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4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2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364"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0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540" w:type="dxa"/>
            <w:vMerge w:val="continue"/>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5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8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4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4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2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364"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07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540" w:type="dxa"/>
            <w:vMerge w:val="continue"/>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5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8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4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4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2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364"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617"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145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2,589.87</w:t>
            </w:r>
          </w:p>
        </w:tc>
        <w:tc>
          <w:tcPr>
            <w:tcW w:w="148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711.79</w:t>
            </w:r>
          </w:p>
        </w:tc>
        <w:tc>
          <w:tcPr>
            <w:tcW w:w="144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1,878.08</w:t>
            </w:r>
          </w:p>
        </w:tc>
        <w:tc>
          <w:tcPr>
            <w:tcW w:w="144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一般公共服务支出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1,060.19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710.44</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商贸事务</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1,059.90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710.15</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2011302</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一般行政管理事务</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366.51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366.51</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2011308</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招商引资</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其他商贸事务支出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314.64</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314.64</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20136</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其他共产党事务支出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2013699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其他共产党事务支出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教育支出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进修及培训</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2050803</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培训支出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文化旅游体育与传媒支出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文化和旅游</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2070113</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旅游宣传</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334.89</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318.04</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行政事业单位养老支出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299.57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299.57</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2080505</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机关事业单位基本养老保险缴费支出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2080506</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机关事业单位职业年金缴费支出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35.25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35.25</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其他行政事业单位养老支出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243.50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243.50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抚恤</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35.32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死亡抚恤</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2080803</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在乡复员、退伍军人生活补助</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行政事业单位医疗</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行政单位医疗</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农林水支出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21305</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扶贫</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2130599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其他扶贫支出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交通运输支出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公路水路运输</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2140199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其他公路水路运输支出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资源勘探工业信息等支出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支持中小企业发展和管理支出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2150806</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减免房租补贴</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1.97</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其他支持中小企业发展和管理支出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78.34</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78.34</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商业服务业等支出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508.87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508.87</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21602</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商业流通事务</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2160299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其他商业流通事务支出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21606</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涉外发展服务支出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2160699</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其他涉外发展服务支出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222</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粮油物资储备支出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22204</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粮油储备</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2220403</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储备粮（油）库建设</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抗疫特别国债安排的支出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抗疫相关支出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2340201</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减免房租补贴</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54.35</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54.35</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2340204</w:t>
            </w:r>
          </w:p>
        </w:tc>
        <w:tc>
          <w:tcPr>
            <w:tcW w:w="35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援企稳岗补贴</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1.38</w:t>
            </w:r>
          </w:p>
        </w:tc>
        <w:tc>
          <w:tcPr>
            <w:tcW w:w="14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1.38</w:t>
            </w:r>
          </w:p>
        </w:tc>
        <w:tc>
          <w:tcPr>
            <w:tcW w:w="14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3065"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备注：本表反映部门本年度各项支出情况。</w:t>
            </w:r>
          </w:p>
        </w:tc>
      </w:tr>
    </w:tbl>
    <w:p>
      <w:pPr>
        <w:pStyle w:val="2"/>
        <w:ind w:left="0" w:leftChars="0" w:firstLine="0" w:firstLineChars="0"/>
        <w:rPr>
          <w:b w:val="0"/>
          <w:bCs w:val="0"/>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表</w:t>
      </w:r>
      <w:r>
        <w:rPr>
          <w:rFonts w:hint="eastAsia" w:ascii="方正仿宋_GBK" w:hAnsi="方正仿宋_GBK" w:eastAsia="方正仿宋_GBK" w:cs="方正仿宋_GBK"/>
          <w:b w:val="0"/>
          <w:bCs w:val="0"/>
          <w:sz w:val="32"/>
          <w:szCs w:val="32"/>
          <w:shd w:val="clear" w:color="auto" w:fill="FFFFFF"/>
          <w:lang w:eastAsia="zh-CN"/>
        </w:rPr>
        <w:t>四</w:t>
      </w:r>
    </w:p>
    <w:p>
      <w:pPr>
        <w:pStyle w:val="3"/>
        <w:snapToGrid w:val="0"/>
        <w:spacing w:before="0" w:beforeAutospacing="0"/>
        <w:jc w:val="center"/>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财政拨款收入支出决算总表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3125" w:type="dxa"/>
        <w:tblInd w:w="0" w:type="dxa"/>
        <w:shd w:val="clear" w:color="auto" w:fill="auto"/>
        <w:tblLayout w:type="fixed"/>
        <w:tblCellMar>
          <w:top w:w="0" w:type="dxa"/>
          <w:left w:w="0" w:type="dxa"/>
          <w:bottom w:w="0" w:type="dxa"/>
          <w:right w:w="0" w:type="dxa"/>
        </w:tblCellMar>
      </w:tblPr>
      <w:tblGrid>
        <w:gridCol w:w="2895"/>
        <w:gridCol w:w="1545"/>
        <w:gridCol w:w="3135"/>
        <w:gridCol w:w="830"/>
        <w:gridCol w:w="1395"/>
        <w:gridCol w:w="1419"/>
        <w:gridCol w:w="1906"/>
      </w:tblGrid>
      <w:tr>
        <w:tblPrEx>
          <w:shd w:val="clear" w:color="auto" w:fill="auto"/>
          <w:tblCellMar>
            <w:top w:w="0" w:type="dxa"/>
            <w:left w:w="0" w:type="dxa"/>
            <w:bottom w:w="0" w:type="dxa"/>
            <w:right w:w="0" w:type="dxa"/>
          </w:tblCellMar>
        </w:tblPrEx>
        <w:trPr>
          <w:trHeight w:val="300" w:hRule="atLeast"/>
        </w:trPr>
        <w:tc>
          <w:tcPr>
            <w:tcW w:w="4440" w:type="dxa"/>
            <w:gridSpan w:val="2"/>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收     入</w:t>
            </w:r>
          </w:p>
        </w:tc>
        <w:tc>
          <w:tcPr>
            <w:tcW w:w="8685" w:type="dxa"/>
            <w:gridSpan w:val="5"/>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支     出</w:t>
            </w:r>
          </w:p>
        </w:tc>
      </w:tr>
      <w:tr>
        <w:tblPrEx>
          <w:shd w:val="clear" w:color="auto" w:fill="auto"/>
          <w:tblCellMar>
            <w:top w:w="0" w:type="dxa"/>
            <w:left w:w="0" w:type="dxa"/>
            <w:bottom w:w="0" w:type="dxa"/>
            <w:right w:w="0" w:type="dxa"/>
          </w:tblCellMar>
        </w:tblPrEx>
        <w:trPr>
          <w:trHeight w:val="285" w:hRule="atLeast"/>
        </w:trPr>
        <w:tc>
          <w:tcPr>
            <w:tcW w:w="2895" w:type="dxa"/>
            <w:vMerge w:val="restart"/>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15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决算数</w:t>
            </w:r>
          </w:p>
        </w:tc>
        <w:tc>
          <w:tcPr>
            <w:tcW w:w="313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功能分类科目</w:t>
            </w:r>
          </w:p>
        </w:tc>
        <w:tc>
          <w:tcPr>
            <w:tcW w:w="5550" w:type="dxa"/>
            <w:gridSpan w:val="4"/>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600" w:hRule="atLeast"/>
        </w:trPr>
        <w:tc>
          <w:tcPr>
            <w:tcW w:w="2895" w:type="dxa"/>
            <w:vMerge w:val="continue"/>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545"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135" w:type="dxa"/>
            <w:vMerge w:val="continue"/>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8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小计</w:t>
            </w:r>
          </w:p>
        </w:tc>
        <w:tc>
          <w:tcPr>
            <w:tcW w:w="139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一般公共预算财政拨款</w:t>
            </w:r>
          </w:p>
        </w:tc>
        <w:tc>
          <w:tcPr>
            <w:tcW w:w="14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政府性基金预算财政拨款</w:t>
            </w:r>
          </w:p>
        </w:tc>
        <w:tc>
          <w:tcPr>
            <w:tcW w:w="190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00" w:hRule="atLeast"/>
        </w:trPr>
        <w:tc>
          <w:tcPr>
            <w:tcW w:w="289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一、一般公共预算财政拨款</w:t>
            </w:r>
          </w:p>
        </w:tc>
        <w:tc>
          <w:tcPr>
            <w:tcW w:w="154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1,789.07</w:t>
            </w:r>
          </w:p>
        </w:tc>
        <w:tc>
          <w:tcPr>
            <w:tcW w:w="31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一、一般公共服务支出</w:t>
            </w:r>
          </w:p>
        </w:tc>
        <w:tc>
          <w:tcPr>
            <w:tcW w:w="8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1,060.19</w:t>
            </w:r>
          </w:p>
        </w:tc>
        <w:tc>
          <w:tcPr>
            <w:tcW w:w="139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1,060.19</w:t>
            </w:r>
          </w:p>
        </w:tc>
        <w:tc>
          <w:tcPr>
            <w:tcW w:w="141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二、政府性基金预算财政拨款</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二、外交支出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三、国有资本经营预算财政拨款</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三、国防支出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四、公共安全支出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五、教育支出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六、科学技术支出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七、文化旅游体育与传媒支出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八、社会保障和就业支出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334.89</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334.89</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九、卫生健康支出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十、节能环保支出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十一、城乡社区支出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十二、农林水支出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十三、交通运输支出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十四、资源勘探工业信息等支出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十五、商业服务业等支出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508.87</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508.87</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十六、金融支出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十七、援助其他地区支出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十八、自然资源海洋气象等支出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十九、住房保障支出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二十、粮油物资储备支出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二十一、国有资本经营预算支出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二十二、灾害防治及应急管理支出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二十三、其他支出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二十四、债务还本支出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本年收入合计</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1,844.80</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二十五、债务付息支出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年初财政拨款结转和结余</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983.03</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二十六、抗疫特别国债安排的支出</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一、一般公共预算财政拨款</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983.03</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本年支出合计</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2,589.87</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2,534.14</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二、政府性基金预算财政拨款</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年末财政拨款结转和结余</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237.96</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237.96</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三、国有资本经营预算财政拨款</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28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总计</w:t>
            </w:r>
          </w:p>
        </w:tc>
        <w:tc>
          <w:tcPr>
            <w:tcW w:w="15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2,827.83</w:t>
            </w:r>
          </w:p>
        </w:tc>
        <w:tc>
          <w:tcPr>
            <w:tcW w:w="31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总计</w:t>
            </w:r>
          </w:p>
        </w:tc>
        <w:tc>
          <w:tcPr>
            <w:tcW w:w="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2,827.83</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2,772.10</w:t>
            </w:r>
          </w:p>
        </w:tc>
        <w:tc>
          <w:tcPr>
            <w:tcW w:w="14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9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21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备注：本表反映部门本年度一般公共预算财政拨款和政府性基金预算财政拨款的总收支和年末结转结余情况。</w:t>
            </w:r>
          </w:p>
        </w:tc>
        <w:tc>
          <w:tcPr>
            <w:tcW w:w="1906"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r>
    </w:tbl>
    <w:p>
      <w:pPr>
        <w:rPr>
          <w:b w:val="0"/>
          <w:bCs w:val="0"/>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表</w:t>
      </w:r>
      <w:r>
        <w:rPr>
          <w:rFonts w:hint="eastAsia" w:ascii="方正仿宋_GBK" w:hAnsi="方正仿宋_GBK" w:eastAsia="方正仿宋_GBK" w:cs="方正仿宋_GBK"/>
          <w:b w:val="0"/>
          <w:bCs w:val="0"/>
          <w:sz w:val="32"/>
          <w:szCs w:val="32"/>
          <w:shd w:val="clear" w:color="auto" w:fill="FFFFFF"/>
          <w:lang w:eastAsia="zh-CN"/>
        </w:rPr>
        <w:t>五</w:t>
      </w:r>
    </w:p>
    <w:p>
      <w:pPr>
        <w:pStyle w:val="3"/>
        <w:snapToGrid w:val="0"/>
        <w:spacing w:before="0" w:beforeAutospacing="0"/>
        <w:jc w:val="center"/>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一般公共预算财政拨款收入支出决算表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2825" w:type="dxa"/>
        <w:tblInd w:w="0" w:type="dxa"/>
        <w:shd w:val="clear" w:color="auto" w:fill="auto"/>
        <w:tblLayout w:type="fixed"/>
        <w:tblCellMar>
          <w:top w:w="0" w:type="dxa"/>
          <w:left w:w="0" w:type="dxa"/>
          <w:bottom w:w="0" w:type="dxa"/>
          <w:right w:w="0" w:type="dxa"/>
        </w:tblCellMar>
      </w:tblPr>
      <w:tblGrid>
        <w:gridCol w:w="1072"/>
        <w:gridCol w:w="3430"/>
        <w:gridCol w:w="1368"/>
        <w:gridCol w:w="1076"/>
        <w:gridCol w:w="1460"/>
        <w:gridCol w:w="1501"/>
        <w:gridCol w:w="1298"/>
        <w:gridCol w:w="1620"/>
      </w:tblGrid>
      <w:tr>
        <w:tblPrEx>
          <w:shd w:val="clear" w:color="auto" w:fill="auto"/>
          <w:tblCellMar>
            <w:top w:w="0" w:type="dxa"/>
            <w:left w:w="0" w:type="dxa"/>
            <w:bottom w:w="0" w:type="dxa"/>
            <w:right w:w="0" w:type="dxa"/>
          </w:tblCellMar>
        </w:tblPrEx>
        <w:trPr>
          <w:trHeight w:val="300" w:hRule="atLeast"/>
        </w:trPr>
        <w:tc>
          <w:tcPr>
            <w:tcW w:w="4502"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400" w:firstLineChars="700"/>
              <w:jc w:val="both"/>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1368"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年初结转结余</w:t>
            </w:r>
          </w:p>
        </w:tc>
        <w:tc>
          <w:tcPr>
            <w:tcW w:w="1076"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本年收入</w:t>
            </w:r>
          </w:p>
        </w:tc>
        <w:tc>
          <w:tcPr>
            <w:tcW w:w="4259"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本年支出</w:t>
            </w:r>
          </w:p>
        </w:tc>
        <w:tc>
          <w:tcPr>
            <w:tcW w:w="1620"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年末结转和结余</w:t>
            </w:r>
          </w:p>
        </w:tc>
      </w:tr>
      <w:tr>
        <w:tblPrEx>
          <w:shd w:val="clear" w:color="auto" w:fill="auto"/>
          <w:tblCellMar>
            <w:top w:w="0" w:type="dxa"/>
            <w:left w:w="0" w:type="dxa"/>
            <w:bottom w:w="0" w:type="dxa"/>
            <w:right w:w="0" w:type="dxa"/>
          </w:tblCellMar>
        </w:tblPrEx>
        <w:trPr>
          <w:trHeight w:val="300" w:hRule="atLeast"/>
        </w:trPr>
        <w:tc>
          <w:tcPr>
            <w:tcW w:w="1072"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功能分类科目编码</w:t>
            </w:r>
          </w:p>
        </w:tc>
        <w:tc>
          <w:tcPr>
            <w:tcW w:w="343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项目（按“项”级功能分类科目）</w:t>
            </w:r>
          </w:p>
        </w:tc>
        <w:tc>
          <w:tcPr>
            <w:tcW w:w="1368"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76"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6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1501"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基本支出</w:t>
            </w:r>
          </w:p>
        </w:tc>
        <w:tc>
          <w:tcPr>
            <w:tcW w:w="1298"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项目支出</w:t>
            </w:r>
          </w:p>
        </w:tc>
        <w:tc>
          <w:tcPr>
            <w:tcW w:w="162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615" w:hRule="atLeast"/>
        </w:trPr>
        <w:tc>
          <w:tcPr>
            <w:tcW w:w="107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43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368"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76"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501"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298"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62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1072"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43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368"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76"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46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501"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298"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620"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502"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1368"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983.03</w:t>
            </w:r>
          </w:p>
        </w:tc>
        <w:tc>
          <w:tcPr>
            <w:tcW w:w="107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1,789.07</w:t>
            </w:r>
          </w:p>
        </w:tc>
        <w:tc>
          <w:tcPr>
            <w:tcW w:w="146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2,534.14</w:t>
            </w:r>
          </w:p>
        </w:tc>
        <w:tc>
          <w:tcPr>
            <w:tcW w:w="150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711.79</w:t>
            </w:r>
          </w:p>
        </w:tc>
        <w:tc>
          <w:tcPr>
            <w:tcW w:w="1298"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1,822.35</w:t>
            </w:r>
          </w:p>
        </w:tc>
        <w:tc>
          <w:tcPr>
            <w:tcW w:w="162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237.96</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一般公共服务支出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404.77</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655.42</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1,060.19</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710.44</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商贸事务</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404.77</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655.13</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1,059.90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710.15</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行政运行</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13.50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336.25</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349.75</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一般行政管理事务</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352.11</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14.40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366.51</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366.51</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招商引资</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29.00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2011399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其他商贸事务支出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39.16</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275.48</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314.64</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314.64</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20136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其他共产党事务支出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2013699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其他共产党事务支出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0.29</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教育支出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进修及培训</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2050803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培训支出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文化旅游体育与传媒支出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192.20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文化和旅游</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192.20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2070113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旅游宣传</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192.20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252.50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444.70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社会保障和就业支出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59.34</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275.55</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334.89</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318.04</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行政事业单位养老支出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59.34</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240.23</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299.57</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299.57</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机关事业单位基本养老保险缴费支出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机关事业单位职业年金缴费支出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24.84</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10.41</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35.25</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35.25</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其他行政事业单位养老支出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34.50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209.00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243.50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243.50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抚恤</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35.32</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35.32</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死亡抚恤</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18.47</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2080803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在乡复员、退伍军人生活补助</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16.85</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卫生健康支出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行政事业单位医疗</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2101101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行政单位医疗</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农林水支出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21305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扶贫</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2130599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其他扶贫支出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交通运输支出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公路水路运输</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2140199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其他公路水路运输支出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资源勘探工业信息等支出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支持中小企业发展和管理支出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80.31</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减免房租补贴</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1.97</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1.97</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1.97</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2150899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其他支持中小企业发展和管理支出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78.34</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78.34</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78.34</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商业服务业等支出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238.72</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458.10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508.87</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508.87</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187.96</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商业流通事务</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184.62</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278.70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97.96</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2160299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其他商业流通事务支出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184.62</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278.70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365.37</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97.96</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21606</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涉外发展服务支出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54.10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179.40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2160699</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其他涉外发展服务支出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54.10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179.40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143.50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90.00</w:t>
            </w:r>
          </w:p>
        </w:tc>
      </w:tr>
      <w:tr>
        <w:tblPrEx>
          <w:shd w:val="clear" w:color="auto" w:fill="auto"/>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住房保障支出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住房改革支出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2210201</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222</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粮油物资储备支出</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88.00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22204</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粮油储备</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88.00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300" w:hRule="atLeast"/>
        </w:trPr>
        <w:tc>
          <w:tcPr>
            <w:tcW w:w="107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2220403</w:t>
            </w:r>
          </w:p>
        </w:tc>
        <w:tc>
          <w:tcPr>
            <w:tcW w:w="3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储备粮（油）库建设</w:t>
            </w:r>
          </w:p>
        </w:tc>
        <w:tc>
          <w:tcPr>
            <w:tcW w:w="13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88.00</w:t>
            </w:r>
          </w:p>
        </w:tc>
        <w:tc>
          <w:tcPr>
            <w:tcW w:w="10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5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38.00</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50.00</w:t>
            </w:r>
          </w:p>
        </w:tc>
      </w:tr>
      <w:tr>
        <w:tblPrEx>
          <w:tblCellMar>
            <w:top w:w="0" w:type="dxa"/>
            <w:left w:w="0" w:type="dxa"/>
            <w:bottom w:w="0" w:type="dxa"/>
            <w:right w:w="0" w:type="dxa"/>
          </w:tblCellMar>
        </w:tblPrEx>
        <w:trPr>
          <w:trHeight w:val="300" w:hRule="atLeast"/>
        </w:trPr>
        <w:tc>
          <w:tcPr>
            <w:tcW w:w="1120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备注：本表反映部门本年度一般公共预算财政拨款收支余情况。</w:t>
            </w:r>
          </w:p>
        </w:tc>
        <w:tc>
          <w:tcPr>
            <w:tcW w:w="1620" w:type="dxa"/>
            <w:tcBorders>
              <w:top w:val="nil"/>
              <w:left w:val="nil"/>
              <w:bottom w:val="nil"/>
              <w:right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r>
    </w:tbl>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表</w:t>
      </w:r>
      <w:r>
        <w:rPr>
          <w:rFonts w:hint="eastAsia" w:ascii="方正仿宋_GBK" w:hAnsi="方正仿宋_GBK" w:eastAsia="方正仿宋_GBK" w:cs="方正仿宋_GBK"/>
          <w:b w:val="0"/>
          <w:bCs w:val="0"/>
          <w:sz w:val="32"/>
          <w:szCs w:val="32"/>
          <w:shd w:val="clear" w:color="auto" w:fill="FFFFFF"/>
          <w:lang w:eastAsia="zh-CN"/>
        </w:rPr>
        <w:t>六</w:t>
      </w:r>
    </w:p>
    <w:p>
      <w:pPr>
        <w:pStyle w:val="3"/>
        <w:snapToGrid w:val="0"/>
        <w:spacing w:before="0" w:beforeAutospacing="0"/>
        <w:jc w:val="center"/>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一般公共预算财政拨款基本支出决算表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3470" w:type="dxa"/>
        <w:tblInd w:w="0" w:type="dxa"/>
        <w:shd w:val="clear" w:color="auto" w:fill="auto"/>
        <w:tblLayout w:type="fixed"/>
        <w:tblCellMar>
          <w:top w:w="0" w:type="dxa"/>
          <w:left w:w="0" w:type="dxa"/>
          <w:bottom w:w="0" w:type="dxa"/>
          <w:right w:w="0" w:type="dxa"/>
        </w:tblCellMar>
      </w:tblPr>
      <w:tblGrid>
        <w:gridCol w:w="722"/>
        <w:gridCol w:w="2830"/>
        <w:gridCol w:w="841"/>
        <w:gridCol w:w="736"/>
        <w:gridCol w:w="2184"/>
        <w:gridCol w:w="868"/>
        <w:gridCol w:w="723"/>
        <w:gridCol w:w="3830"/>
        <w:gridCol w:w="736"/>
      </w:tblGrid>
      <w:tr>
        <w:tblPrEx>
          <w:shd w:val="clear" w:color="auto" w:fill="auto"/>
          <w:tblCellMar>
            <w:top w:w="0" w:type="dxa"/>
            <w:left w:w="0" w:type="dxa"/>
            <w:bottom w:w="0" w:type="dxa"/>
            <w:right w:w="0" w:type="dxa"/>
          </w:tblCellMar>
        </w:tblPrEx>
        <w:trPr>
          <w:trHeight w:val="300" w:hRule="atLeast"/>
        </w:trPr>
        <w:tc>
          <w:tcPr>
            <w:tcW w:w="4393" w:type="dxa"/>
            <w:gridSpan w:val="3"/>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人员经费</w:t>
            </w:r>
          </w:p>
        </w:tc>
        <w:tc>
          <w:tcPr>
            <w:tcW w:w="9077" w:type="dxa"/>
            <w:gridSpan w:val="6"/>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公用经费</w:t>
            </w:r>
          </w:p>
        </w:tc>
      </w:tr>
      <w:tr>
        <w:tblPrEx>
          <w:shd w:val="clear" w:color="auto" w:fill="auto"/>
          <w:tblCellMar>
            <w:top w:w="0" w:type="dxa"/>
            <w:left w:w="0" w:type="dxa"/>
            <w:bottom w:w="0" w:type="dxa"/>
            <w:right w:w="0" w:type="dxa"/>
          </w:tblCellMar>
        </w:tblPrEx>
        <w:trPr>
          <w:trHeight w:val="300" w:hRule="atLeast"/>
        </w:trPr>
        <w:tc>
          <w:tcPr>
            <w:tcW w:w="722" w:type="dxa"/>
            <w:vMerge w:val="restart"/>
            <w:tcBorders>
              <w:top w:val="single" w:color="auto" w:sz="4" w:space="0"/>
              <w:left w:val="single" w:color="000000" w:sz="12"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经济分类科目编码</w:t>
            </w:r>
          </w:p>
        </w:tc>
        <w:tc>
          <w:tcPr>
            <w:tcW w:w="283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经济分类科目（按“款”级功能分类科目）</w:t>
            </w:r>
          </w:p>
        </w:tc>
        <w:tc>
          <w:tcPr>
            <w:tcW w:w="841"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w:t>
            </w:r>
          </w:p>
        </w:tc>
        <w:tc>
          <w:tcPr>
            <w:tcW w:w="736"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经济分类科目编码</w:t>
            </w:r>
          </w:p>
        </w:tc>
        <w:tc>
          <w:tcPr>
            <w:tcW w:w="2184"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经济分类科目（按“款”级功能分类科目）</w:t>
            </w:r>
          </w:p>
        </w:tc>
        <w:tc>
          <w:tcPr>
            <w:tcW w:w="868"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w:t>
            </w:r>
          </w:p>
        </w:tc>
        <w:tc>
          <w:tcPr>
            <w:tcW w:w="723"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经济分类科目编码</w:t>
            </w:r>
          </w:p>
        </w:tc>
        <w:tc>
          <w:tcPr>
            <w:tcW w:w="383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经济分类科目（按“款”级功能分类科目）</w:t>
            </w:r>
          </w:p>
        </w:tc>
        <w:tc>
          <w:tcPr>
            <w:tcW w:w="736"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金额</w:t>
            </w:r>
          </w:p>
        </w:tc>
      </w:tr>
      <w:tr>
        <w:tblPrEx>
          <w:shd w:val="clear" w:color="auto" w:fill="auto"/>
          <w:tblCellMar>
            <w:top w:w="0" w:type="dxa"/>
            <w:left w:w="0" w:type="dxa"/>
            <w:bottom w:w="0" w:type="dxa"/>
            <w:right w:w="0" w:type="dxa"/>
          </w:tblCellMar>
        </w:tblPrEx>
        <w:trPr>
          <w:trHeight w:val="600" w:hRule="atLeast"/>
        </w:trPr>
        <w:tc>
          <w:tcPr>
            <w:tcW w:w="722" w:type="dxa"/>
            <w:vMerge w:val="continue"/>
            <w:tcBorders>
              <w:top w:val="single" w:color="auto" w:sz="4" w:space="0"/>
              <w:left w:val="single" w:color="000000" w:sz="12"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83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841"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736"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18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868"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723"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830"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736"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722"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w:t>
            </w:r>
          </w:p>
        </w:tc>
        <w:tc>
          <w:tcPr>
            <w:tcW w:w="28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工资福利支出</w:t>
            </w:r>
          </w:p>
        </w:tc>
        <w:tc>
          <w:tcPr>
            <w:tcW w:w="841"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312.26</w:t>
            </w:r>
          </w:p>
        </w:tc>
        <w:tc>
          <w:tcPr>
            <w:tcW w:w="73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w:t>
            </w:r>
          </w:p>
        </w:tc>
        <w:tc>
          <w:tcPr>
            <w:tcW w:w="218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商品和服务支出</w:t>
            </w:r>
          </w:p>
        </w:tc>
        <w:tc>
          <w:tcPr>
            <w:tcW w:w="868"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72.12</w:t>
            </w:r>
          </w:p>
        </w:tc>
        <w:tc>
          <w:tcPr>
            <w:tcW w:w="72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w:t>
            </w:r>
          </w:p>
        </w:tc>
        <w:tc>
          <w:tcPr>
            <w:tcW w:w="38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资本性支出</w:t>
            </w:r>
          </w:p>
        </w:tc>
        <w:tc>
          <w:tcPr>
            <w:tcW w:w="736"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30101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基本工资</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64.52</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30201</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办公费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1.79</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31001</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房屋建筑物购建</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30102</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津贴补贴</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45.42</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30202</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印刷费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0.28</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31002</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办公设备购置</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30103</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奖金</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43.75</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30203</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咨询费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31003</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专用设备购置</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30106</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伙食补助费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30204</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手续费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31005</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基础设施建设</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30107</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绩效工资</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30205</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水费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0.34</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31006</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大型修缮</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30108</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机关事业单位基本养老保险费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20.82</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30206</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电费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3.51</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31007</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信息网络及软件购置更新</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30109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职业年金缴费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35.25</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30207</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邮电费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4.34</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31008</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物资储备</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30110</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职工基本医疗保险缴费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27.33</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30208</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取暖费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31009</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土地补偿</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30111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公务员医疗补助缴费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30209</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物业管理费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31010</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安置补助</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30112</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其他社会保障缴费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2.83</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30211</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差旅费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1.22</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31011</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地上附着物和青苗补偿</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30113</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住房公积金</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15.62</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30212</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因公出国（境）费用</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31012</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拆迁补偿</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30114</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医疗费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30213</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维修（护）费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1.37</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31013</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公务用车购置</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30199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其他工资福利支出</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54.34</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30214</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租赁费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31019</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其他交通工具购置</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对个人和家庭的补助</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327.41</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30215</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会议费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1.03</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31021</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文物和陈列品购置</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离休费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30216</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培训费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1.06</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31022</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无形资产购置</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30302</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退休费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30217</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公务接待费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4.18</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31099</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其他资本性支出</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3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30303</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退职（役）费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30218</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专用材料费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对企业补助</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30304</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抚恤金</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36.95</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30224</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被装购置费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31201</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资本金注入</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30305</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生活补助</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248.80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30225</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专用燃料费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31203</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政府投资基金股权投资</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30306</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救济费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30226</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劳务费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31204</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费用补贴</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30307</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医疗费补助</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7.28</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30227</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委托业务费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31205</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利息补贴</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30308</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助学金</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30228</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工会经费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16.66</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31299</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其他对企业补助</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30309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奖励金</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3.95</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30229</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福利费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14.39</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399</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其他支出</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30310</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个人农业生产补贴</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30231</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公务用车运行维护费</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10.84</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39906</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赠与</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30311</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代缴社会保险费</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30239</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其他交通费用</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10.33</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39907</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国家赔偿费用支出</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30399</w:t>
            </w: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其他个人和家庭的补助支出</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30.43</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30240</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税金及附加费用</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39908</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对民间非营利组织和群众性自治组织补贴</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30299</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其他商品和服务支出</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0.79</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39999</w:t>
            </w: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其他支出</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307</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债务利息及费用支出</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30701</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国内债务付息</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30702</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国外债务付息</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30703</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国内债务发行费用</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7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2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30704</w:t>
            </w:r>
          </w:p>
        </w:tc>
        <w:tc>
          <w:tcPr>
            <w:tcW w:w="21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国外债务发行费用</w:t>
            </w: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7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3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355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人员经费合计</w:t>
            </w:r>
          </w:p>
        </w:tc>
        <w:tc>
          <w:tcPr>
            <w:tcW w:w="8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639.67</w:t>
            </w:r>
          </w:p>
        </w:tc>
        <w:tc>
          <w:tcPr>
            <w:tcW w:w="8341"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公用经费合计</w:t>
            </w:r>
          </w:p>
        </w:tc>
        <w:tc>
          <w:tcPr>
            <w:tcW w:w="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72.12</w:t>
            </w:r>
          </w:p>
        </w:tc>
      </w:tr>
      <w:tr>
        <w:tblPrEx>
          <w:tblCellMar>
            <w:top w:w="0" w:type="dxa"/>
            <w:left w:w="0" w:type="dxa"/>
            <w:bottom w:w="0" w:type="dxa"/>
            <w:right w:w="0" w:type="dxa"/>
          </w:tblCellMar>
        </w:tblPrEx>
        <w:trPr>
          <w:trHeight w:val="300" w:hRule="atLeast"/>
        </w:trPr>
        <w:tc>
          <w:tcPr>
            <w:tcW w:w="13470" w:type="dxa"/>
            <w:gridSpan w:val="9"/>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注：本表反映部门本年度一般公共预算财政拨款基本支出明细情况。</w:t>
            </w:r>
          </w:p>
        </w:tc>
      </w:tr>
    </w:tbl>
    <w:p>
      <w:pPr>
        <w:rPr>
          <w:b w:val="0"/>
          <w:bCs w:val="0"/>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表</w:t>
      </w:r>
      <w:r>
        <w:rPr>
          <w:rFonts w:hint="eastAsia" w:ascii="方正仿宋_GBK" w:hAnsi="方正仿宋_GBK" w:eastAsia="方正仿宋_GBK" w:cs="方正仿宋_GBK"/>
          <w:b w:val="0"/>
          <w:bCs w:val="0"/>
          <w:sz w:val="32"/>
          <w:szCs w:val="32"/>
          <w:shd w:val="clear" w:color="auto" w:fill="FFFFFF"/>
          <w:lang w:eastAsia="zh-CN"/>
        </w:rPr>
        <w:t>七</w:t>
      </w:r>
    </w:p>
    <w:p>
      <w:pPr>
        <w:pStyle w:val="3"/>
        <w:snapToGrid w:val="0"/>
        <w:spacing w:before="0" w:beforeAutospacing="0"/>
        <w:jc w:val="center"/>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政府性基金预算财政拨款收入支出决算表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2484" w:type="dxa"/>
        <w:tblInd w:w="0" w:type="dxa"/>
        <w:shd w:val="clear" w:color="auto" w:fill="auto"/>
        <w:tblLayout w:type="fixed"/>
        <w:tblCellMar>
          <w:top w:w="0" w:type="dxa"/>
          <w:left w:w="0" w:type="dxa"/>
          <w:bottom w:w="0" w:type="dxa"/>
          <w:right w:w="0" w:type="dxa"/>
        </w:tblCellMar>
      </w:tblPr>
      <w:tblGrid>
        <w:gridCol w:w="987"/>
        <w:gridCol w:w="3523"/>
        <w:gridCol w:w="1692"/>
        <w:gridCol w:w="1034"/>
        <w:gridCol w:w="1004"/>
        <w:gridCol w:w="1153"/>
        <w:gridCol w:w="1004"/>
        <w:gridCol w:w="2087"/>
      </w:tblGrid>
      <w:tr>
        <w:tblPrEx>
          <w:shd w:val="clear" w:color="auto" w:fill="auto"/>
          <w:tblCellMar>
            <w:top w:w="0" w:type="dxa"/>
            <w:left w:w="0" w:type="dxa"/>
            <w:bottom w:w="0" w:type="dxa"/>
            <w:right w:w="0" w:type="dxa"/>
          </w:tblCellMar>
        </w:tblPrEx>
        <w:trPr>
          <w:trHeight w:val="300" w:hRule="atLeast"/>
        </w:trPr>
        <w:tc>
          <w:tcPr>
            <w:tcW w:w="451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400" w:firstLineChars="700"/>
              <w:jc w:val="both"/>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1692"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年初结转和结余</w:t>
            </w:r>
          </w:p>
        </w:tc>
        <w:tc>
          <w:tcPr>
            <w:tcW w:w="1034"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本年收入</w:t>
            </w:r>
          </w:p>
        </w:tc>
        <w:tc>
          <w:tcPr>
            <w:tcW w:w="3161"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本年支出</w:t>
            </w:r>
          </w:p>
        </w:tc>
        <w:tc>
          <w:tcPr>
            <w:tcW w:w="2087"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年末结转和结余</w:t>
            </w:r>
          </w:p>
        </w:tc>
      </w:tr>
      <w:tr>
        <w:tblPrEx>
          <w:shd w:val="clear" w:color="auto" w:fill="auto"/>
          <w:tblCellMar>
            <w:top w:w="0" w:type="dxa"/>
            <w:left w:w="0" w:type="dxa"/>
            <w:bottom w:w="0" w:type="dxa"/>
            <w:right w:w="0" w:type="dxa"/>
          </w:tblCellMar>
        </w:tblPrEx>
        <w:trPr>
          <w:trHeight w:val="300" w:hRule="atLeast"/>
        </w:trPr>
        <w:tc>
          <w:tcPr>
            <w:tcW w:w="987"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功能分类科目编码</w:t>
            </w:r>
          </w:p>
        </w:tc>
        <w:tc>
          <w:tcPr>
            <w:tcW w:w="3523"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项目（按“项”级功能分类科目）</w:t>
            </w:r>
          </w:p>
        </w:tc>
        <w:tc>
          <w:tcPr>
            <w:tcW w:w="1692"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04"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1153"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基本支出</w:t>
            </w:r>
          </w:p>
        </w:tc>
        <w:tc>
          <w:tcPr>
            <w:tcW w:w="1004"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项目支出</w:t>
            </w:r>
          </w:p>
        </w:tc>
        <w:tc>
          <w:tcPr>
            <w:tcW w:w="2087"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9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523"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692"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0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153"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0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087"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600" w:hRule="atLeast"/>
        </w:trPr>
        <w:tc>
          <w:tcPr>
            <w:tcW w:w="98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523"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692"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3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0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153"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1004"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087"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shd w:val="clear" w:color="auto" w:fill="auto"/>
          <w:tblCellMar>
            <w:top w:w="0" w:type="dxa"/>
            <w:left w:w="0" w:type="dxa"/>
            <w:bottom w:w="0" w:type="dxa"/>
            <w:right w:w="0" w:type="dxa"/>
          </w:tblCellMar>
        </w:tblPrEx>
        <w:trPr>
          <w:trHeight w:val="300" w:hRule="atLeast"/>
        </w:trPr>
        <w:tc>
          <w:tcPr>
            <w:tcW w:w="451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169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00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153"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04"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2087"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9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w:t>
            </w:r>
          </w:p>
        </w:tc>
        <w:tc>
          <w:tcPr>
            <w:tcW w:w="3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抗疫特别国债安排的支出</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2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w:t>
            </w:r>
          </w:p>
        </w:tc>
        <w:tc>
          <w:tcPr>
            <w:tcW w:w="3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抗疫相关支出</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1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55.73</w:t>
            </w:r>
          </w:p>
        </w:tc>
        <w:tc>
          <w:tcPr>
            <w:tcW w:w="2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2340201</w:t>
            </w:r>
          </w:p>
        </w:tc>
        <w:tc>
          <w:tcPr>
            <w:tcW w:w="3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减免房租补贴</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54.35</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54.35</w:t>
            </w:r>
          </w:p>
        </w:tc>
        <w:tc>
          <w:tcPr>
            <w:tcW w:w="1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54.35</w:t>
            </w:r>
          </w:p>
        </w:tc>
        <w:tc>
          <w:tcPr>
            <w:tcW w:w="2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2340204</w:t>
            </w:r>
          </w:p>
        </w:tc>
        <w:tc>
          <w:tcPr>
            <w:tcW w:w="35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援企稳岗补贴</w:t>
            </w:r>
          </w:p>
        </w:tc>
        <w:tc>
          <w:tcPr>
            <w:tcW w:w="16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1.38</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1.38</w:t>
            </w:r>
          </w:p>
        </w:tc>
        <w:tc>
          <w:tcPr>
            <w:tcW w:w="11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0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1.38</w:t>
            </w:r>
          </w:p>
        </w:tc>
        <w:tc>
          <w:tcPr>
            <w:tcW w:w="20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484"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备注：本表反映部门本年度政府性基金预算财政拨款收入支出及结转和结余情况。</w:t>
            </w:r>
          </w:p>
        </w:tc>
      </w:tr>
    </w:tbl>
    <w:p>
      <w:pPr>
        <w:pStyle w:val="2"/>
        <w:ind w:left="0" w:leftChars="0" w:firstLine="0" w:firstLineChars="0"/>
        <w:rPr>
          <w:b w:val="0"/>
          <w:bCs w:val="0"/>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表</w:t>
      </w:r>
      <w:r>
        <w:rPr>
          <w:rFonts w:hint="eastAsia" w:ascii="方正仿宋_GBK" w:hAnsi="方正仿宋_GBK" w:eastAsia="方正仿宋_GBK" w:cs="方正仿宋_GBK"/>
          <w:b w:val="0"/>
          <w:bCs w:val="0"/>
          <w:sz w:val="32"/>
          <w:szCs w:val="32"/>
          <w:shd w:val="clear" w:color="auto" w:fill="FFFFFF"/>
          <w:lang w:eastAsia="zh-CN"/>
        </w:rPr>
        <w:t>八</w:t>
      </w:r>
    </w:p>
    <w:p>
      <w:pPr>
        <w:pStyle w:val="3"/>
        <w:snapToGrid w:val="0"/>
        <w:spacing w:before="0" w:beforeAutospacing="0"/>
        <w:jc w:val="center"/>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机构运行信息表</w:t>
      </w:r>
    </w:p>
    <w:p>
      <w:pPr>
        <w:bidi w:val="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2910" w:type="dxa"/>
        <w:tblInd w:w="0" w:type="dxa"/>
        <w:shd w:val="clear" w:color="auto" w:fill="auto"/>
        <w:tblLayout w:type="fixed"/>
        <w:tblCellMar>
          <w:top w:w="0" w:type="dxa"/>
          <w:left w:w="0" w:type="dxa"/>
          <w:bottom w:w="0" w:type="dxa"/>
          <w:right w:w="0" w:type="dxa"/>
        </w:tblCellMar>
      </w:tblPr>
      <w:tblGrid>
        <w:gridCol w:w="3555"/>
        <w:gridCol w:w="1635"/>
        <w:gridCol w:w="1470"/>
        <w:gridCol w:w="4630"/>
        <w:gridCol w:w="1620"/>
      </w:tblGrid>
      <w:tr>
        <w:tblPrEx>
          <w:shd w:val="clear" w:color="auto" w:fill="auto"/>
          <w:tblCellMar>
            <w:top w:w="0" w:type="dxa"/>
            <w:left w:w="0" w:type="dxa"/>
            <w:bottom w:w="0" w:type="dxa"/>
            <w:right w:w="0" w:type="dxa"/>
          </w:tblCellMar>
        </w:tblPrEx>
        <w:trPr>
          <w:trHeight w:val="450" w:hRule="atLeast"/>
        </w:trPr>
        <w:tc>
          <w:tcPr>
            <w:tcW w:w="355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16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预算数</w:t>
            </w:r>
          </w:p>
        </w:tc>
        <w:tc>
          <w:tcPr>
            <w:tcW w:w="147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决算数</w:t>
            </w:r>
          </w:p>
        </w:tc>
        <w:tc>
          <w:tcPr>
            <w:tcW w:w="46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1620" w:type="dxa"/>
            <w:tcBorders>
              <w:top w:val="single" w:color="auto" w:sz="4" w:space="0"/>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一、“三公”经费支出</w:t>
            </w:r>
          </w:p>
        </w:tc>
        <w:tc>
          <w:tcPr>
            <w:tcW w:w="163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463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四、机关运行经费</w:t>
            </w:r>
          </w:p>
        </w:tc>
        <w:tc>
          <w:tcPr>
            <w:tcW w:w="1620"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72.12</w:t>
            </w:r>
          </w:p>
        </w:tc>
      </w:tr>
      <w:tr>
        <w:tblPrEx>
          <w:shd w:val="clear" w:color="auto" w:fill="auto"/>
          <w:tblCellMar>
            <w:top w:w="0" w:type="dxa"/>
            <w:left w:w="0" w:type="dxa"/>
            <w:bottom w:w="0" w:type="dxa"/>
            <w:right w:w="0" w:type="dxa"/>
          </w:tblCellMar>
        </w:tblPrEx>
        <w:trPr>
          <w:trHeight w:val="300" w:hRule="atLeast"/>
        </w:trPr>
        <w:tc>
          <w:tcPr>
            <w:tcW w:w="35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（一）支出合计</w:t>
            </w:r>
          </w:p>
        </w:tc>
        <w:tc>
          <w:tcPr>
            <w:tcW w:w="16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18.00</w:t>
            </w:r>
          </w:p>
        </w:tc>
        <w:tc>
          <w:tcPr>
            <w:tcW w:w="147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16.54</w:t>
            </w:r>
          </w:p>
        </w:tc>
        <w:tc>
          <w:tcPr>
            <w:tcW w:w="463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（一）行政单位</w:t>
            </w:r>
          </w:p>
        </w:tc>
        <w:tc>
          <w:tcPr>
            <w:tcW w:w="1620"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72.12</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1．因公出国（境）费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（二）参照公务员法管理事业单位</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2．公务用车购置及运行维护费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10.84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五、国有资产占用情况</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（1）公务用车购置费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（一）车辆数合计（辆）</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（2）公务用车运行维护费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10.84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1.副部（省）级及以上领导用车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3．公务接待费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9.00</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5.70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2.主要领导干部用车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（1）国内接待费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5.70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3.机要通信用车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其中：外事接待费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4.应急保障用车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（2）国（境）外接待费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5.执法执勤用车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（二）相关统计数</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6.特种专业技术用车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1．因公出国（境）团组数（个）</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7.离退休干部用车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2．因公出国（境）人次数（人）</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8.其他用车</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3．公务用车购置数（辆）</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（二）单价50万元（含）以上通用设备（台，套）</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4．公务用车保有量（辆）</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（三）单价100万（含）元以上专用设备（台，套）</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5．国内公务接待批次（个）</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95</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六、政府采购支出信息</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其中：外事接待批次（个）</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（一）政府采购支出合计</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358.40</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6．国内公务接待人次（人）</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632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1．政府采购货物支出</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182.54</w:t>
            </w:r>
          </w:p>
        </w:tc>
      </w:tr>
      <w:tr>
        <w:tblPrEx>
          <w:shd w:val="clear" w:color="auto" w:fill="auto"/>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其中：外事接待人次（人）</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2．政府采购工程支出</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7．国（境）外公务接待批次（个）</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3．政府采购服务支出</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175.86</w:t>
            </w:r>
          </w:p>
        </w:tc>
      </w:tr>
      <w:tr>
        <w:tblPrEx>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8．国（境）外公务接待人次（人）</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（二）政府采购授予中小企业合同金额</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358.40</w:t>
            </w:r>
          </w:p>
        </w:tc>
      </w:tr>
      <w:tr>
        <w:tblPrEx>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二、会议费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4.14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        其中：授予小微企业合同金额</w:t>
            </w: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208.70</w:t>
            </w:r>
          </w:p>
        </w:tc>
      </w:tr>
      <w:tr>
        <w:tblPrEx>
          <w:tblCellMar>
            <w:top w:w="0" w:type="dxa"/>
            <w:left w:w="0" w:type="dxa"/>
            <w:bottom w:w="0" w:type="dxa"/>
            <w:right w:w="0" w:type="dxa"/>
          </w:tblCellMar>
        </w:tblPrEx>
        <w:trPr>
          <w:trHeight w:val="300" w:hRule="atLeast"/>
        </w:trPr>
        <w:tc>
          <w:tcPr>
            <w:tcW w:w="35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三、培训费</w:t>
            </w:r>
          </w:p>
        </w:tc>
        <w:tc>
          <w:tcPr>
            <w:tcW w:w="1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w:t>
            </w:r>
          </w:p>
        </w:tc>
        <w:tc>
          <w:tcPr>
            <w:tcW w:w="1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1.41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12910"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备注：预算数年初部门预算批复数，决算数包括当年财政拨款预算和以前年度结转结余资金安排的实际支出。</w:t>
            </w:r>
          </w:p>
        </w:tc>
      </w:tr>
    </w:tbl>
    <w:p>
      <w:pPr>
        <w:rPr>
          <w:b w:val="0"/>
          <w:bCs w:val="0"/>
        </w:rPr>
      </w:pPr>
    </w:p>
    <w:p>
      <w:pPr>
        <w:pStyle w:val="3"/>
        <w:snapToGrid w:val="0"/>
        <w:spacing w:before="0" w:beforeAutospacing="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rPr>
        <w:t>表</w:t>
      </w:r>
      <w:r>
        <w:rPr>
          <w:rFonts w:hint="eastAsia" w:ascii="方正仿宋_GBK" w:hAnsi="方正仿宋_GBK" w:eastAsia="方正仿宋_GBK" w:cs="方正仿宋_GBK"/>
          <w:b w:val="0"/>
          <w:bCs w:val="0"/>
          <w:sz w:val="32"/>
          <w:szCs w:val="32"/>
          <w:shd w:val="clear" w:color="auto" w:fill="FFFFFF"/>
          <w:lang w:eastAsia="zh-CN"/>
        </w:rPr>
        <w:t>九</w:t>
      </w:r>
    </w:p>
    <w:p>
      <w:pPr>
        <w:pStyle w:val="3"/>
        <w:snapToGrid w:val="0"/>
        <w:spacing w:before="0" w:beforeAutospacing="0"/>
        <w:jc w:val="center"/>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国有资本经营预算财政拨款支出决算表</w:t>
      </w:r>
    </w:p>
    <w:p>
      <w:pPr>
        <w:bidi w:val="0"/>
        <w:jc w:val="left"/>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公开部门：重庆市垫江县商务</w:t>
      </w:r>
      <w:r>
        <w:rPr>
          <w:rFonts w:hint="eastAsia" w:ascii="方正仿宋_GBK" w:hAnsi="方正仿宋_GBK" w:eastAsia="方正仿宋_GBK" w:cs="方正仿宋_GBK"/>
          <w:b w:val="0"/>
          <w:bCs w:val="0"/>
          <w:sz w:val="32"/>
          <w:szCs w:val="32"/>
          <w:shd w:val="clear" w:color="auto" w:fill="FFFFFF"/>
          <w:lang w:eastAsia="zh-CN"/>
        </w:rPr>
        <w:t>委员会</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2020年     </w:t>
      </w:r>
      <w:r>
        <w:rPr>
          <w:rFonts w:hint="eastAsia" w:ascii="方正仿宋_GBK" w:hAnsi="方正仿宋_GBK" w:eastAsia="方正仿宋_GBK" w:cs="方正仿宋_GBK"/>
          <w:b w:val="0"/>
          <w:bCs w:val="0"/>
          <w:sz w:val="32"/>
          <w:szCs w:val="32"/>
          <w:shd w:val="clear" w:color="auto" w:fill="FFFFFF"/>
          <w:lang w:val="en-US" w:eastAsia="zh-CN"/>
        </w:rPr>
        <w:t xml:space="preserve">         </w:t>
      </w:r>
      <w:r>
        <w:rPr>
          <w:rFonts w:hint="eastAsia" w:ascii="方正仿宋_GBK" w:hAnsi="方正仿宋_GBK" w:eastAsia="方正仿宋_GBK" w:cs="方正仿宋_GBK"/>
          <w:b w:val="0"/>
          <w:bCs w:val="0"/>
          <w:sz w:val="32"/>
          <w:szCs w:val="32"/>
          <w:shd w:val="clear" w:color="auto" w:fill="FFFFFF"/>
        </w:rPr>
        <w:t xml:space="preserve">     单位：万元</w:t>
      </w:r>
    </w:p>
    <w:tbl>
      <w:tblPr>
        <w:tblStyle w:val="4"/>
        <w:tblW w:w="12465" w:type="dxa"/>
        <w:tblInd w:w="0" w:type="dxa"/>
        <w:shd w:val="clear" w:color="auto" w:fill="auto"/>
        <w:tblLayout w:type="fixed"/>
        <w:tblCellMar>
          <w:top w:w="0" w:type="dxa"/>
          <w:left w:w="0" w:type="dxa"/>
          <w:bottom w:w="0" w:type="dxa"/>
          <w:right w:w="0" w:type="dxa"/>
        </w:tblCellMar>
      </w:tblPr>
      <w:tblGrid>
        <w:gridCol w:w="987"/>
        <w:gridCol w:w="3922"/>
        <w:gridCol w:w="2535"/>
        <w:gridCol w:w="2442"/>
        <w:gridCol w:w="2579"/>
      </w:tblGrid>
      <w:tr>
        <w:tblPrEx>
          <w:shd w:val="clear" w:color="auto" w:fill="auto"/>
          <w:tblCellMar>
            <w:top w:w="0" w:type="dxa"/>
            <w:left w:w="0" w:type="dxa"/>
            <w:bottom w:w="0" w:type="dxa"/>
            <w:right w:w="0" w:type="dxa"/>
          </w:tblCellMar>
        </w:tblPrEx>
        <w:trPr>
          <w:trHeight w:val="300" w:hRule="atLeast"/>
        </w:trPr>
        <w:tc>
          <w:tcPr>
            <w:tcW w:w="4909"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firstLine="1600" w:firstLineChars="800"/>
              <w:jc w:val="both"/>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           目</w:t>
            </w:r>
          </w:p>
        </w:tc>
        <w:tc>
          <w:tcPr>
            <w:tcW w:w="7556" w:type="dxa"/>
            <w:gridSpan w:val="3"/>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本年支出</w:t>
            </w:r>
          </w:p>
        </w:tc>
      </w:tr>
      <w:tr>
        <w:tblPrEx>
          <w:tblCellMar>
            <w:top w:w="0" w:type="dxa"/>
            <w:left w:w="0" w:type="dxa"/>
            <w:bottom w:w="0" w:type="dxa"/>
            <w:right w:w="0" w:type="dxa"/>
          </w:tblCellMar>
        </w:tblPrEx>
        <w:trPr>
          <w:trHeight w:val="300" w:hRule="atLeast"/>
        </w:trPr>
        <w:tc>
          <w:tcPr>
            <w:tcW w:w="987" w:type="dxa"/>
            <w:vMerge w:val="restart"/>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功能分类科目编码</w:t>
            </w:r>
          </w:p>
        </w:tc>
        <w:tc>
          <w:tcPr>
            <w:tcW w:w="3922"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科目名称</w:t>
            </w:r>
          </w:p>
        </w:tc>
        <w:tc>
          <w:tcPr>
            <w:tcW w:w="2535"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2442" w:type="dxa"/>
            <w:vMerge w:val="restar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基本支出</w:t>
            </w:r>
          </w:p>
        </w:tc>
        <w:tc>
          <w:tcPr>
            <w:tcW w:w="2579" w:type="dxa"/>
            <w:vMerge w:val="restart"/>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00" w:hRule="atLeast"/>
        </w:trPr>
        <w:tc>
          <w:tcPr>
            <w:tcW w:w="9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922"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5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442"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579"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600" w:hRule="atLeast"/>
        </w:trPr>
        <w:tc>
          <w:tcPr>
            <w:tcW w:w="987"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3922"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535"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442" w:type="dxa"/>
            <w:vMerge w:val="continue"/>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c>
          <w:tcPr>
            <w:tcW w:w="2579" w:type="dxa"/>
            <w:vMerge w:val="continue"/>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490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合计</w:t>
            </w:r>
          </w:p>
        </w:tc>
        <w:tc>
          <w:tcPr>
            <w:tcW w:w="2535"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2442"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c>
          <w:tcPr>
            <w:tcW w:w="2579" w:type="dxa"/>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39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color w:val="000000"/>
                <w:sz w:val="20"/>
                <w:szCs w:val="20"/>
                <w:u w:val="none"/>
              </w:rPr>
            </w:pPr>
          </w:p>
        </w:tc>
        <w:tc>
          <w:tcPr>
            <w:tcW w:w="25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2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c>
          <w:tcPr>
            <w:tcW w:w="25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300" w:hRule="atLeast"/>
        </w:trPr>
        <w:tc>
          <w:tcPr>
            <w:tcW w:w="12465"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备注：本表反映部门本年度国有资本经营预算财政拨款支出情况。</w:t>
            </w:r>
          </w:p>
        </w:tc>
      </w:tr>
    </w:tbl>
    <w:p>
      <w:pPr>
        <w:pStyle w:val="2"/>
        <w:ind w:left="0" w:leftChars="0" w:firstLine="0" w:firstLineChars="0"/>
        <w:rPr>
          <w:rFonts w:hint="eastAsia"/>
          <w:b w:val="0"/>
          <w:bCs w:val="0"/>
          <w:lang w:val="en-US" w:eastAsia="zh-CN"/>
        </w:rPr>
      </w:pPr>
    </w:p>
    <w:p>
      <w:pPr>
        <w:pStyle w:val="2"/>
        <w:ind w:left="0" w:leftChars="0" w:firstLine="0" w:firstLineChars="0"/>
        <w:rPr>
          <w:b w:val="0"/>
          <w:bCs w:val="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75"/>
    <w:rsid w:val="00906975"/>
    <w:rsid w:val="00DC3076"/>
    <w:rsid w:val="0FB1480E"/>
    <w:rsid w:val="10594892"/>
    <w:rsid w:val="2C937DEA"/>
    <w:rsid w:val="34D864D1"/>
    <w:rsid w:val="4C3A1C08"/>
    <w:rsid w:val="54DE3C0C"/>
    <w:rsid w:val="56F1184E"/>
    <w:rsid w:val="67633109"/>
    <w:rsid w:val="790A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unhideWhenUsed/>
    <w:qFormat/>
    <w:uiPriority w:val="99"/>
    <w:pPr>
      <w:ind w:firstLine="567"/>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15"/>
    <w:basedOn w:val="5"/>
    <w:qFormat/>
    <w:uiPriority w:val="0"/>
    <w:rPr>
      <w:rFonts w:hint="default" w:ascii="Times New Roman" w:hAnsi="Times New Roman" w:cs="Times New Roman"/>
      <w:b/>
      <w:bCs/>
    </w:rPr>
  </w:style>
  <w:style w:type="paragraph" w:customStyle="1" w:styleId="7">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
    <w:name w:val="10"/>
    <w:basedOn w:val="5"/>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1348</Words>
  <Characters>7684</Characters>
  <Lines>64</Lines>
  <Paragraphs>18</Paragraphs>
  <TotalTime>167</TotalTime>
  <ScaleCrop>false</ScaleCrop>
  <LinksUpToDate>false</LinksUpToDate>
  <CharactersWithSpaces>9014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2021-09-01T03:27:00Z</dcterms:created>
  <dc:creator>xb21cn</dc:creator>
  <cp:lastModifiedBy>Administrator</cp:lastModifiedBy>
  <dcterms:modified xsi:type="dcterms:W3CDTF">2021-10-19T08:44:08Z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317DA55B472F47EE91AF17414FBA81D3</vt:lpwstr>
  </property>
</Properties>
</file>