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5E22" w:rsidRDefault="00B4716D">
      <w:pPr>
        <w:pStyle w:val="a5"/>
        <w:spacing w:before="0" w:beforeAutospacing="0"/>
        <w:jc w:val="center"/>
        <w:rPr>
          <w:rFonts w:ascii="方正小标宋简体" w:eastAsia="方正小标宋简体" w:hAnsi="方正小标宋_GBK" w:cs="方正小标宋_GBK" w:hint="default"/>
          <w:sz w:val="52"/>
          <w:szCs w:val="52"/>
        </w:rPr>
      </w:pPr>
      <w:r>
        <w:rPr>
          <w:rFonts w:asciiTheme="minorHAnsi" w:eastAsia="方正小标宋简体" w:hAnsiTheme="minorHAnsi" w:cs="方正小标宋_GBK"/>
          <w:sz w:val="52"/>
          <w:szCs w:val="52"/>
        </w:rPr>
        <w:t>重庆市</w:t>
      </w:r>
      <w:r w:rsidR="008819A8">
        <w:rPr>
          <w:rFonts w:ascii="方正小标宋简体" w:eastAsia="方正小标宋简体" w:hAnsi="方正小标宋_GBK" w:cs="方正小标宋_GBK"/>
          <w:sz w:val="52"/>
          <w:szCs w:val="52"/>
        </w:rPr>
        <w:t>垫江县商务委员会(本级)</w:t>
      </w:r>
    </w:p>
    <w:p w:rsidR="00EE5E22" w:rsidRDefault="008819A8">
      <w:pPr>
        <w:pStyle w:val="a5"/>
        <w:spacing w:before="0" w:beforeAutospacing="0"/>
        <w:jc w:val="center"/>
        <w:rPr>
          <w:rFonts w:ascii="方正小标宋简体" w:eastAsia="方正小标宋简体" w:hAnsi="方正小标宋_GBK" w:cs="方正小标宋_GBK" w:hint="default"/>
          <w:sz w:val="52"/>
          <w:szCs w:val="52"/>
          <w:shd w:val="clear" w:color="auto" w:fill="FFFFFF"/>
        </w:rPr>
      </w:pPr>
      <w:r>
        <w:rPr>
          <w:rFonts w:ascii="方正小标宋简体" w:eastAsia="方正小标宋简体" w:hAnsi="方正小标宋_GBK" w:cs="方正小标宋_GBK"/>
          <w:sz w:val="52"/>
          <w:szCs w:val="52"/>
          <w:shd w:val="clear" w:color="auto" w:fill="FFFFFF"/>
        </w:rPr>
        <w:t>2023年度决算公开说明</w:t>
      </w:r>
    </w:p>
    <w:p w:rsidR="00EE5E22" w:rsidRDefault="008819A8">
      <w:pPr>
        <w:pStyle w:val="a5"/>
        <w:shd w:val="clear" w:color="auto" w:fill="FFFFFF"/>
        <w:rPr>
          <w:rFonts w:ascii="黑体" w:eastAsia="黑体" w:hAnsi="黑体" w:cs="黑体" w:hint="default"/>
          <w:sz w:val="32"/>
          <w:szCs w:val="32"/>
        </w:rPr>
      </w:pPr>
      <w:r>
        <w:rPr>
          <w:rStyle w:val="a7"/>
          <w:rFonts w:ascii="黑体" w:eastAsia="黑体" w:hAnsi="黑体" w:cs="黑体"/>
          <w:sz w:val="32"/>
          <w:szCs w:val="32"/>
          <w:shd w:val="clear" w:color="auto" w:fill="FFFFFF"/>
        </w:rPr>
        <w:t>一、</w:t>
      </w:r>
      <w:r w:rsidR="009C077F">
        <w:rPr>
          <w:rStyle w:val="a7"/>
          <w:rFonts w:ascii="黑体" w:eastAsia="黑体" w:hAnsi="黑体" w:cs="黑体"/>
          <w:sz w:val="32"/>
          <w:szCs w:val="32"/>
          <w:shd w:val="clear" w:color="auto" w:fill="FFFFFF"/>
        </w:rPr>
        <w:t>单位</w:t>
      </w:r>
      <w:r>
        <w:rPr>
          <w:rStyle w:val="a7"/>
          <w:rFonts w:ascii="黑体" w:eastAsia="黑体" w:hAnsi="黑体" w:cs="黑体"/>
          <w:sz w:val="32"/>
          <w:szCs w:val="32"/>
          <w:shd w:val="clear" w:color="auto" w:fill="FFFFFF"/>
        </w:rPr>
        <w:t>基本情况</w:t>
      </w:r>
    </w:p>
    <w:p w:rsidR="00EE5E22" w:rsidRDefault="008819A8">
      <w:pPr>
        <w:spacing w:after="100" w:afterAutospacing="1" w:line="560" w:lineRule="exact"/>
        <w:rPr>
          <w:rFonts w:ascii="方正仿宋_GBK" w:eastAsia="方正仿宋_GBK" w:cs="宋体" w:hint="default"/>
          <w:sz w:val="32"/>
          <w:szCs w:val="32"/>
        </w:rPr>
      </w:pPr>
      <w:r>
        <w:rPr>
          <w:rFonts w:ascii="方正仿宋_GBK" w:eastAsia="方正仿宋_GBK" w:cs="宋体"/>
          <w:b/>
          <w:bCs/>
          <w:sz w:val="32"/>
          <w:szCs w:val="32"/>
        </w:rPr>
        <w:t>（一）职能职责</w:t>
      </w:r>
    </w:p>
    <w:p w:rsidR="00EE5E22" w:rsidRDefault="008819A8">
      <w:pPr>
        <w:spacing w:line="560" w:lineRule="exact"/>
        <w:ind w:firstLineChars="250" w:firstLine="800"/>
        <w:rPr>
          <w:rFonts w:ascii="方正仿宋_GBK" w:eastAsia="方正仿宋_GBK" w:cs="宋体" w:hint="default"/>
          <w:sz w:val="32"/>
          <w:szCs w:val="32"/>
          <w:shd w:val="clear" w:color="auto" w:fill="FFFFFF"/>
        </w:rPr>
      </w:pPr>
      <w:r>
        <w:rPr>
          <w:rFonts w:ascii="方正仿宋_GBK" w:eastAsia="方正仿宋_GBK" w:cs="宋体"/>
          <w:sz w:val="32"/>
          <w:szCs w:val="32"/>
          <w:shd w:val="clear" w:color="auto" w:fill="FFFFFF"/>
        </w:rPr>
        <w:t>办公室：负责综合协调和处理机关日常政务。负责党的建设、意识形态、机构编制、干部人事、队伍建设等工作。负责党务政务信息公开工作。承担综合性会议的组织工作。负责起草综合性材料。牵头负责目标考核工作。牵头办理上级机关交办事项、人大议案、政协提案工作。负责机关和所属单位的财务、国有资产管理、内部审计等工作。负责专项资金管理工作。负责工青妇等群团工作。负责机关离退休人员管理，指导所属单位离退休人员工作。负责机关后勤保障、保密、档案管理工作。负责机关节能降耗、生态环境等工作。负责政务值班标准化建设工作。承担商务修志、年鉴等编纂工作。牵头商务调研工作。负责督查、督办工作。</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bookmarkStart w:id="0" w:name="OLE_LINK1"/>
      <w:r>
        <w:rPr>
          <w:rFonts w:ascii="方正仿宋_GBK" w:eastAsia="方正仿宋_GBK" w:cs="宋体"/>
          <w:sz w:val="32"/>
          <w:szCs w:val="32"/>
          <w:shd w:val="clear" w:color="auto" w:fill="FFFFFF"/>
        </w:rPr>
        <w:t>综合管理科（行政许可服务科）</w:t>
      </w:r>
      <w:bookmarkEnd w:id="0"/>
      <w:r>
        <w:rPr>
          <w:rFonts w:ascii="方正仿宋_GBK" w:eastAsia="方正仿宋_GBK" w:cs="宋体"/>
          <w:sz w:val="32"/>
          <w:szCs w:val="32"/>
          <w:shd w:val="clear" w:color="auto" w:fill="FFFFFF"/>
        </w:rPr>
        <w:t>：负责再生资源回收、旧货流通、报废汽车回收、单用途商业预付卡等商贸特种行业及成品油、酒类等重要商品流通经营的管理工作。负责拟订和实施行业发展规划和政策措施。负责拟订和实施药品流通发展规划和政策措施。负责行政许可事项服务工作。负责商务系统法治工作。负责案件核审、行政复议、行政诉讼等</w:t>
      </w:r>
      <w:r>
        <w:rPr>
          <w:rFonts w:ascii="方正仿宋_GBK" w:eastAsia="方正仿宋_GBK" w:cs="宋体"/>
          <w:sz w:val="32"/>
          <w:szCs w:val="32"/>
          <w:shd w:val="clear" w:color="auto" w:fill="FFFFFF"/>
        </w:rPr>
        <w:lastRenderedPageBreak/>
        <w:t>工作。牵头商贸领域“放管服”改革工作。牵头系统信访稳定工作。牵头处理系统企业改革遗留问题。负责系统社会治安综合治理工作。负责系统生态文明建设工作。牵头指导和管理商贸行业协会。</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bookmarkStart w:id="1" w:name="OLE_LINK2"/>
      <w:r>
        <w:rPr>
          <w:rFonts w:ascii="方正仿宋_GBK" w:eastAsia="方正仿宋_GBK" w:cs="宋体"/>
          <w:sz w:val="32"/>
          <w:szCs w:val="32"/>
          <w:shd w:val="clear" w:color="auto" w:fill="FFFFFF"/>
        </w:rPr>
        <w:t>安全监管科</w:t>
      </w:r>
      <w:bookmarkEnd w:id="1"/>
      <w:r>
        <w:rPr>
          <w:rFonts w:ascii="方正仿宋_GBK" w:eastAsia="方正仿宋_GBK" w:cs="宋体"/>
          <w:sz w:val="32"/>
          <w:szCs w:val="32"/>
          <w:shd w:val="clear" w:color="auto" w:fill="FFFFFF"/>
        </w:rPr>
        <w:t>：负责指导督促全县商贸服务企业贯彻执行安全生产法律法规工作。负责制订安全生产年度监督检查计划。负责限额以上重点商贸服务企业安全监督管理，指导其他商贸服务企业安全监督管理工作。会同有关部门指导督促境内投资主体加强境外投资合作项目安全生产工作。负责商务领域安全生产事故的调查处理。负责组织开展全县商贸行业安全宣传教育和培训。</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bookmarkStart w:id="2" w:name="OLE_LINK3"/>
      <w:r>
        <w:rPr>
          <w:rFonts w:ascii="方正仿宋_GBK" w:eastAsia="方正仿宋_GBK" w:cs="宋体"/>
          <w:sz w:val="32"/>
          <w:szCs w:val="32"/>
          <w:shd w:val="clear" w:color="auto" w:fill="FFFFFF"/>
        </w:rPr>
        <w:t>市场体系建设科</w:t>
      </w:r>
      <w:bookmarkEnd w:id="2"/>
      <w:r>
        <w:rPr>
          <w:rFonts w:ascii="方正仿宋_GBK" w:eastAsia="方正仿宋_GBK" w:cs="宋体"/>
          <w:sz w:val="32"/>
          <w:szCs w:val="32"/>
          <w:shd w:val="clear" w:color="auto" w:fill="FFFFFF"/>
        </w:rPr>
        <w:t>：牵头拟订和实施商贸物流发展规划、政策措施。负责商贸物流改革开放、创新驱动发展、商业业态调整、流通主体转型升级、商贸物流经济合作等工作。负责商贸物流重点项目建设工作。负责商圈、商品市场、特色街区等商业设施和农村流通体系建设工作。牵头电子商务发展工作。负责拟订和实施电子商务发展规划、政策措施。负责商贸领域信息化建设、大数据开发应用和数字商务有关工作。负责全县物流管理工作，负责城乡物流配送体系建设、电商物流等工作。负责商务领域营商环境、民营经济发展和企业减负工作。负责商贸企业培育工作。负责商贸领域信用体系建设和优质服务工作。牵头商贸行业技能技术培训和鉴定工作。负责农商对接、农商互联工作。负责重要产品追溯体系建设工作。</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bookmarkStart w:id="3" w:name="OLE_LINK4"/>
      <w:r>
        <w:rPr>
          <w:rFonts w:ascii="方正仿宋_GBK" w:eastAsia="方正仿宋_GBK" w:cs="宋体"/>
          <w:sz w:val="32"/>
          <w:szCs w:val="32"/>
          <w:shd w:val="clear" w:color="auto" w:fill="FFFFFF"/>
        </w:rPr>
        <w:lastRenderedPageBreak/>
        <w:t>消费促进科</w:t>
      </w:r>
      <w:bookmarkEnd w:id="3"/>
      <w:r>
        <w:rPr>
          <w:rFonts w:ascii="方正仿宋_GBK" w:eastAsia="方正仿宋_GBK" w:cs="宋体"/>
          <w:sz w:val="32"/>
          <w:szCs w:val="32"/>
          <w:shd w:val="clear" w:color="auto" w:fill="FFFFFF"/>
        </w:rPr>
        <w:t>：牵头拟订和实施商贸领域促进消费的政策措施。负责零售业、汽车流通业、生活服务业创新发展、转型升级、品牌培育、市场拓展、设施打造、文化建设、技能技术培训和行业管理等工作，拟订和实施行业发展规划、政策措施。负责现代商贸服务业发展工作。负责“老字号”发展与保护工作。负责全县会展行业管理。负责拟订和实施会展经济发展规划、政策措施。负责县内、本县外出、外地来垫举办的大型展会的统筹协调工作。负责组织举办全县重要商贸展会。负责指导、监督商贸领域各类促销活动。</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bookmarkStart w:id="4" w:name="OLE_LINK5"/>
      <w:r>
        <w:rPr>
          <w:rFonts w:ascii="方正仿宋_GBK" w:eastAsia="方正仿宋_GBK" w:cs="宋体"/>
          <w:sz w:val="32"/>
          <w:szCs w:val="32"/>
          <w:shd w:val="clear" w:color="auto" w:fill="FFFFFF"/>
        </w:rPr>
        <w:t>运行调节科</w:t>
      </w:r>
      <w:bookmarkEnd w:id="4"/>
      <w:r>
        <w:rPr>
          <w:rFonts w:ascii="方正仿宋_GBK" w:eastAsia="方正仿宋_GBK" w:cs="宋体"/>
          <w:sz w:val="32"/>
          <w:szCs w:val="32"/>
          <w:shd w:val="clear" w:color="auto" w:fill="FFFFFF"/>
        </w:rPr>
        <w:t>：牵头拟订和实施重要生活消费品和重要商品应急保供预案。牵头商贸领域统计工作，负责综合统计监测和综合运行分析。负责商品供求状况、价格信息等调查分析、预测预警和信息引导。负责商贸领域国情国力调查工作。负责落实重要商品储备制度。负责突发性灾害和突发性事件重要商品保供应急工作。负责组织协调食用油、肉类、蔬菜等重要生活必需品的市场供应和市场调节。牵头负责商贸服务业重点企业培育。</w:t>
      </w:r>
    </w:p>
    <w:p w:rsidR="00EE5E22" w:rsidRDefault="008819A8">
      <w:pPr>
        <w:spacing w:after="100" w:afterAutospacing="1" w:line="560" w:lineRule="exact"/>
        <w:rPr>
          <w:rFonts w:ascii="方正仿宋_GBK" w:eastAsia="方正仿宋_GBK" w:cs="宋体" w:hint="default"/>
          <w:bCs/>
          <w:sz w:val="32"/>
          <w:szCs w:val="32"/>
          <w:shd w:val="clear" w:color="auto" w:fill="FFFFFF"/>
        </w:rPr>
      </w:pPr>
      <w:bookmarkStart w:id="5" w:name="OLE_LINK6"/>
      <w:r>
        <w:rPr>
          <w:rFonts w:ascii="方正仿宋_GBK" w:eastAsia="方正仿宋_GBK" w:cs="宋体"/>
          <w:sz w:val="32"/>
          <w:szCs w:val="32"/>
          <w:shd w:val="clear" w:color="auto" w:fill="FFFFFF"/>
        </w:rPr>
        <w:t>对外贸易经济科</w:t>
      </w:r>
      <w:bookmarkEnd w:id="5"/>
      <w:r>
        <w:rPr>
          <w:rFonts w:ascii="方正仿宋_GBK" w:eastAsia="方正仿宋_GBK" w:cs="宋体"/>
          <w:sz w:val="32"/>
          <w:szCs w:val="32"/>
          <w:shd w:val="clear" w:color="auto" w:fill="FFFFFF"/>
        </w:rPr>
        <w:t>：负责贯彻执行对外贸易、外商投资和国际经济合作的法律法规、方针政策。负责拟订和实施对外贸易、外商投资和国际经济合作发展规划、政策措施。负责对外贸易主体培育、转型升级、国际市场开拓等工作。负责跨境电子商务工作。负责进出口公平贸易工作。负责外商投资备案协调工作。负责组织本县企业参与“一带一路”沿线国家和地区经济合作。负责本县与香港、澳门特别行政区及台湾地</w:t>
      </w:r>
      <w:r>
        <w:rPr>
          <w:rFonts w:ascii="方正仿宋_GBK" w:eastAsia="方正仿宋_GBK" w:cs="宋体"/>
          <w:sz w:val="32"/>
          <w:szCs w:val="32"/>
          <w:shd w:val="clear" w:color="auto" w:fill="FFFFFF"/>
        </w:rPr>
        <w:lastRenderedPageBreak/>
        <w:t>区的经贸合作。负责组织实施本县“走出去”战略。负责</w:t>
      </w:r>
      <w:r>
        <w:rPr>
          <w:rFonts w:ascii="方正仿宋_GBK" w:eastAsia="方正仿宋_GBK" w:cs="宋体"/>
          <w:bCs/>
          <w:sz w:val="32"/>
          <w:szCs w:val="32"/>
          <w:shd w:val="clear" w:color="auto" w:fill="FFFFFF"/>
        </w:rPr>
        <w:t>管理对外援助业务。负责商贸领域招商引资。</w:t>
      </w:r>
    </w:p>
    <w:p w:rsidR="00EE5E22" w:rsidRDefault="008819A8">
      <w:pPr>
        <w:spacing w:after="100" w:afterAutospacing="1" w:line="560" w:lineRule="exact"/>
        <w:rPr>
          <w:rFonts w:ascii="方正仿宋_GBK" w:eastAsia="方正仿宋_GBK" w:cs="宋体" w:hint="default"/>
          <w:b/>
          <w:bCs/>
          <w:sz w:val="32"/>
          <w:szCs w:val="32"/>
        </w:rPr>
      </w:pPr>
      <w:r>
        <w:rPr>
          <w:rFonts w:cs="宋体"/>
          <w:b/>
          <w:bCs/>
          <w:sz w:val="33"/>
        </w:rPr>
        <w:t xml:space="preserve">  </w:t>
      </w:r>
      <w:r>
        <w:rPr>
          <w:rFonts w:ascii="方正仿宋_GBK" w:eastAsia="方正仿宋_GBK" w:cs="宋体"/>
          <w:b/>
          <w:bCs/>
          <w:sz w:val="32"/>
          <w:szCs w:val="32"/>
        </w:rPr>
        <w:t>（二）机构设置。</w:t>
      </w:r>
    </w:p>
    <w:p w:rsidR="00EE5E22" w:rsidRDefault="008819A8">
      <w:pPr>
        <w:spacing w:after="100" w:afterAutospacing="1" w:line="560" w:lineRule="exact"/>
        <w:ind w:firstLineChars="250" w:firstLine="800"/>
        <w:rPr>
          <w:rFonts w:ascii="方正仿宋_GBK" w:eastAsia="方正仿宋_GBK" w:cs="宋体" w:hint="default"/>
          <w:sz w:val="32"/>
          <w:szCs w:val="32"/>
          <w:shd w:val="clear" w:color="auto" w:fill="FFFFFF"/>
        </w:rPr>
      </w:pPr>
      <w:r>
        <w:rPr>
          <w:rFonts w:ascii="方正仿宋_GBK" w:eastAsia="方正仿宋_GBK" w:cs="宋体"/>
          <w:bCs/>
          <w:sz w:val="32"/>
          <w:szCs w:val="32"/>
          <w:shd w:val="clear" w:color="auto" w:fill="FFFFFF"/>
        </w:rPr>
        <w:t>202</w:t>
      </w:r>
      <w:r>
        <w:rPr>
          <w:rFonts w:ascii="方正仿宋_GBK" w:eastAsia="方正仿宋_GBK" w:cs="宋体" w:hint="default"/>
          <w:bCs/>
          <w:sz w:val="32"/>
          <w:szCs w:val="32"/>
          <w:shd w:val="clear" w:color="auto" w:fill="FFFFFF"/>
        </w:rPr>
        <w:t>3</w:t>
      </w:r>
      <w:r>
        <w:rPr>
          <w:rFonts w:ascii="方正仿宋_GBK" w:eastAsia="方正仿宋_GBK" w:cs="宋体"/>
          <w:bCs/>
          <w:sz w:val="32"/>
          <w:szCs w:val="32"/>
          <w:shd w:val="clear" w:color="auto" w:fill="FFFFFF"/>
        </w:rPr>
        <w:t>年垫江县商务委员会内设机构7个：办公室、综合管理科</w:t>
      </w:r>
      <w:r>
        <w:rPr>
          <w:rFonts w:ascii="方正仿宋_GBK" w:eastAsia="方正仿宋_GBK" w:cs="宋体"/>
          <w:sz w:val="32"/>
          <w:szCs w:val="32"/>
          <w:shd w:val="clear" w:color="auto" w:fill="FFFFFF"/>
        </w:rPr>
        <w:t>（行政许可服务科）、安全监管科、市场体系建设科、消费促进科、运行调节科、对外贸易经济科；202</w:t>
      </w:r>
      <w:r>
        <w:rPr>
          <w:rFonts w:ascii="方正仿宋_GBK" w:eastAsia="方正仿宋_GBK" w:cs="宋体" w:hint="default"/>
          <w:sz w:val="32"/>
          <w:szCs w:val="32"/>
          <w:shd w:val="clear" w:color="auto" w:fill="FFFFFF"/>
        </w:rPr>
        <w:t>3</w:t>
      </w:r>
      <w:r>
        <w:rPr>
          <w:rFonts w:ascii="方正仿宋_GBK" w:eastAsia="方正仿宋_GBK" w:cs="宋体"/>
          <w:sz w:val="32"/>
          <w:szCs w:val="32"/>
          <w:shd w:val="clear" w:color="auto" w:fill="FFFFFF"/>
        </w:rPr>
        <w:t>年12月商务委行政编制12人，实有公务员</w:t>
      </w:r>
      <w:r>
        <w:rPr>
          <w:rFonts w:ascii="方正仿宋_GBK" w:eastAsia="方正仿宋_GBK" w:cs="宋体" w:hint="default"/>
          <w:sz w:val="32"/>
          <w:szCs w:val="32"/>
          <w:shd w:val="clear" w:color="auto" w:fill="FFFFFF"/>
        </w:rPr>
        <w:t>8</w:t>
      </w:r>
      <w:r>
        <w:rPr>
          <w:rFonts w:ascii="方正仿宋_GBK" w:eastAsia="方正仿宋_GBK" w:cs="宋体"/>
          <w:sz w:val="32"/>
          <w:szCs w:val="32"/>
          <w:shd w:val="clear" w:color="auto" w:fill="FFFFFF"/>
        </w:rPr>
        <w:t>人，聘用人员4人，公益岗位</w:t>
      </w:r>
      <w:r>
        <w:rPr>
          <w:rFonts w:ascii="方正仿宋_GBK" w:eastAsia="方正仿宋_GBK" w:cs="宋体" w:hint="default"/>
          <w:sz w:val="32"/>
          <w:szCs w:val="32"/>
          <w:shd w:val="clear" w:color="auto" w:fill="FFFFFF"/>
        </w:rPr>
        <w:t>5</w:t>
      </w:r>
      <w:r>
        <w:rPr>
          <w:rFonts w:ascii="方正仿宋_GBK" w:eastAsia="方正仿宋_GBK" w:cs="宋体"/>
          <w:sz w:val="32"/>
          <w:szCs w:val="32"/>
          <w:shd w:val="clear" w:color="auto" w:fill="FFFFFF"/>
        </w:rPr>
        <w:t>人，机关退休（含事业参保）人员</w:t>
      </w:r>
      <w:r>
        <w:rPr>
          <w:rFonts w:ascii="方正仿宋_GBK" w:eastAsia="方正仿宋_GBK" w:cs="宋体" w:hint="default"/>
          <w:sz w:val="32"/>
          <w:szCs w:val="32"/>
          <w:shd w:val="clear" w:color="auto" w:fill="FFFFFF"/>
        </w:rPr>
        <w:t>94</w:t>
      </w:r>
      <w:r>
        <w:rPr>
          <w:rFonts w:ascii="方正仿宋_GBK" w:eastAsia="方正仿宋_GBK" w:cs="宋体"/>
          <w:sz w:val="32"/>
          <w:szCs w:val="32"/>
          <w:shd w:val="clear" w:color="auto" w:fill="FFFFFF"/>
        </w:rPr>
        <w:t>人。</w:t>
      </w:r>
    </w:p>
    <w:p w:rsidR="00EE5E22" w:rsidRDefault="008819A8" w:rsidP="00051747">
      <w:pPr>
        <w:pStyle w:val="a5"/>
        <w:shd w:val="clear" w:color="auto" w:fill="FFFFFF"/>
        <w:rPr>
          <w:rStyle w:val="a7"/>
          <w:rFonts w:ascii="黑体" w:eastAsia="黑体" w:hAnsi="黑体" w:cs="黑体" w:hint="default"/>
          <w:sz w:val="32"/>
          <w:szCs w:val="32"/>
          <w:shd w:val="clear" w:color="auto" w:fill="FFFFFF"/>
        </w:rPr>
      </w:pPr>
      <w:r>
        <w:rPr>
          <w:rStyle w:val="a7"/>
          <w:rFonts w:ascii="黑体" w:eastAsia="黑体" w:hAnsi="黑体" w:cs="黑体"/>
          <w:sz w:val="32"/>
          <w:szCs w:val="32"/>
          <w:shd w:val="clear" w:color="auto" w:fill="FFFFFF"/>
        </w:rPr>
        <w:t>二、部门决算情况说明</w:t>
      </w:r>
    </w:p>
    <w:p w:rsidR="00EE5E22" w:rsidRDefault="008819A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（一）收入支出决算总体情况说明。</w:t>
      </w:r>
    </w:p>
    <w:p w:rsidR="00EE5E22" w:rsidRDefault="008819A8">
      <w:pPr>
        <w:shd w:val="clear" w:color="auto" w:fill="FFFFFF"/>
        <w:spacing w:before="100" w:beforeAutospacing="1" w:after="100" w:afterAutospacing="1" w:line="560" w:lineRule="exact"/>
        <w:ind w:firstLineChars="250" w:firstLine="803"/>
        <w:rPr>
          <w:rFonts w:asciiTheme="minorHAnsi" w:eastAsia="方正仿宋_GBK" w:hAnsiTheme="minorHAnsi" w:cs="宋体" w:hint="default"/>
          <w:sz w:val="32"/>
          <w:szCs w:val="32"/>
          <w:shd w:val="clear" w:color="auto" w:fill="FFFFFF"/>
        </w:rPr>
      </w:pPr>
      <w:r>
        <w:rPr>
          <w:rStyle w:val="a7"/>
          <w:rFonts w:ascii="方正仿宋_GBK" w:eastAsia="方正仿宋_GBK" w:hAnsi="方正仿宋_GBK" w:cs="方正仿宋_GBK"/>
          <w:sz w:val="32"/>
          <w:szCs w:val="32"/>
          <w:shd w:val="clear" w:color="auto" w:fill="FFFFFF"/>
        </w:rPr>
        <w:t>1.总体情况。</w:t>
      </w:r>
      <w:r>
        <w:rPr>
          <w:rFonts w:ascii="方正仿宋_GBK" w:eastAsia="方正仿宋_GBK" w:hAnsi="方正仿宋_GBK" w:cs="方正仿宋_GBK"/>
          <w:sz w:val="32"/>
          <w:szCs w:val="32"/>
          <w:shd w:val="clear" w:color="auto" w:fill="FFFFFF"/>
        </w:rPr>
        <w:t>2023年度收入总计4035.51万元，支出总计</w:t>
      </w:r>
      <w:r>
        <w:rPr>
          <w:rFonts w:ascii="方正仿宋_GBK" w:eastAsia="方正仿宋_GBK" w:hAnsi="方正仿宋_GBK" w:cs="方正仿宋_GBK"/>
          <w:sz w:val="32"/>
          <w:szCs w:val="32"/>
        </w:rPr>
        <w:t>4035.51</w:t>
      </w:r>
      <w:r>
        <w:rPr>
          <w:rFonts w:ascii="方正仿宋_GBK" w:eastAsia="方正仿宋_GBK" w:hAnsi="方正仿宋_GBK" w:cs="方正仿宋_GBK"/>
          <w:sz w:val="32"/>
          <w:szCs w:val="32"/>
          <w:shd w:val="clear" w:color="auto" w:fill="FFFFFF"/>
        </w:rPr>
        <w:t>万元。收支较上年决算数增加1147.6</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万元，增长39.7</w:t>
      </w:r>
      <w:r>
        <w:rPr>
          <w:rFonts w:ascii="方正仿宋_GBK" w:eastAsia="方正仿宋_GBK" w:hAnsi="方正仿宋_GBK" w:cs="方正仿宋_GBK" w:hint="default"/>
          <w:sz w:val="32"/>
          <w:szCs w:val="32"/>
          <w:shd w:val="clear" w:color="auto" w:fill="FFFFFF"/>
        </w:rPr>
        <w:t>4</w:t>
      </w:r>
      <w:r>
        <w:rPr>
          <w:rFonts w:ascii="方正仿宋_GBK" w:eastAsia="方正仿宋_GBK" w:hAnsi="方正仿宋_GBK" w:cs="方正仿宋_GBK"/>
          <w:sz w:val="32"/>
          <w:szCs w:val="32"/>
          <w:shd w:val="clear" w:color="auto" w:fill="FFFFFF"/>
        </w:rPr>
        <w:t>%，主要原因是</w:t>
      </w:r>
      <w:r>
        <w:rPr>
          <w:rFonts w:ascii="方正仿宋_GBK" w:eastAsia="方正仿宋_GBK" w:cs="宋体"/>
          <w:sz w:val="32"/>
          <w:szCs w:val="32"/>
          <w:shd w:val="clear" w:color="auto" w:fill="FFFFFF"/>
        </w:rPr>
        <w:t>一般公共预算财政拨款</w:t>
      </w:r>
      <w:r>
        <w:rPr>
          <w:rFonts w:asciiTheme="minorHAnsi" w:eastAsia="方正仿宋_GBK" w:hAnsiTheme="minorHAnsi" w:cs="宋体"/>
          <w:sz w:val="32"/>
          <w:szCs w:val="32"/>
          <w:shd w:val="clear" w:color="auto" w:fill="FFFFFF"/>
        </w:rPr>
        <w:t>增加</w:t>
      </w:r>
      <w:r>
        <w:rPr>
          <w:rFonts w:ascii="方正仿宋_GBK" w:eastAsia="方正仿宋_GBK" w:cs="宋体"/>
          <w:sz w:val="32"/>
          <w:szCs w:val="32"/>
          <w:shd w:val="clear" w:color="auto" w:fill="FFFFFF"/>
        </w:rPr>
        <w:t>1134.44万元，政府性基金预算财政拨款减少259.96万元，以及年初结转结余增加273.11万元。</w:t>
      </w:r>
    </w:p>
    <w:p w:rsidR="00EE5E22" w:rsidRDefault="008819A8">
      <w:pPr>
        <w:shd w:val="clear" w:color="auto" w:fill="FFFFFF"/>
        <w:spacing w:before="100" w:beforeAutospacing="1" w:after="100" w:afterAutospacing="1" w:line="560" w:lineRule="exact"/>
        <w:ind w:firstLineChars="250" w:firstLine="803"/>
        <w:rPr>
          <w:rFonts w:ascii="方正仿宋_GBK" w:eastAsia="方正仿宋_GBK" w:cs="宋体" w:hint="default"/>
          <w:sz w:val="32"/>
          <w:szCs w:val="32"/>
          <w:shd w:val="clear" w:color="auto" w:fill="FFFFFF"/>
        </w:rPr>
      </w:pPr>
      <w:r>
        <w:rPr>
          <w:rStyle w:val="a7"/>
          <w:rFonts w:ascii="方正仿宋_GBK" w:eastAsia="方正仿宋_GBK" w:hAnsi="方正仿宋_GBK" w:cs="方正仿宋_GBK"/>
          <w:sz w:val="32"/>
          <w:szCs w:val="32"/>
          <w:shd w:val="clear" w:color="auto" w:fill="FFFFFF"/>
        </w:rPr>
        <w:t>2.收入情况。</w:t>
      </w:r>
      <w:r>
        <w:rPr>
          <w:rFonts w:ascii="方正仿宋_GBK" w:eastAsia="方正仿宋_GBK" w:hAnsi="方正仿宋_GBK" w:cs="方正仿宋_GBK"/>
          <w:sz w:val="32"/>
          <w:szCs w:val="32"/>
          <w:shd w:val="clear" w:color="auto" w:fill="FFFFFF"/>
        </w:rPr>
        <w:t>2023年度收入合计3421.29万元，较上年决算数增加874.48万元，增长34.34%，</w:t>
      </w:r>
      <w:r>
        <w:rPr>
          <w:rFonts w:ascii="方正仿宋_GBK" w:eastAsia="方正仿宋_GBK" w:cs="宋体"/>
          <w:sz w:val="32"/>
          <w:szCs w:val="32"/>
          <w:shd w:val="clear" w:color="auto" w:fill="FFFFFF"/>
        </w:rPr>
        <w:t>主要原因是一般公共预算财政拨款增加1134.44万元，政府性基金预算财政拨款减少259.96万元。</w:t>
      </w:r>
      <w:r>
        <w:rPr>
          <w:rFonts w:ascii="方正仿宋_GBK" w:eastAsia="方正仿宋_GBK" w:hAnsi="方正仿宋_GBK" w:cs="方正仿宋_GBK"/>
          <w:sz w:val="32"/>
          <w:szCs w:val="32"/>
          <w:shd w:val="clear" w:color="auto" w:fill="FFFFFF"/>
        </w:rPr>
        <w:t>其中：财政拨款收入</w:t>
      </w:r>
      <w:r>
        <w:rPr>
          <w:rFonts w:ascii="方正仿宋_GBK" w:eastAsia="方正仿宋_GBK" w:hAnsi="方正仿宋_GBK" w:cs="方正仿宋_GBK"/>
          <w:sz w:val="32"/>
          <w:szCs w:val="32"/>
        </w:rPr>
        <w:t>3421.29</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100.0</w:t>
      </w:r>
      <w:r>
        <w:rPr>
          <w:rFonts w:ascii="方正仿宋_GBK" w:eastAsia="方正仿宋_GBK" w:hAnsi="方正仿宋_GBK" w:cs="方正仿宋_GBK" w:hint="default"/>
          <w:sz w:val="32"/>
          <w:szCs w:val="32"/>
        </w:rPr>
        <w:t>0</w:t>
      </w:r>
      <w:r>
        <w:rPr>
          <w:rFonts w:ascii="方正仿宋_GBK" w:eastAsia="方正仿宋_GBK" w:hAnsi="方正仿宋_GBK" w:cs="方正仿宋_GBK"/>
          <w:sz w:val="32"/>
          <w:szCs w:val="32"/>
          <w:shd w:val="clear" w:color="auto" w:fill="FFFFFF"/>
        </w:rPr>
        <w:t>%；事业收入</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万元，占0.0</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%；经营收入</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万元，占0.0</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%；其他收入</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万元，占0.0</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%。此外，使用</w:t>
      </w:r>
      <w:r>
        <w:rPr>
          <w:rFonts w:ascii="方正仿宋_GBK" w:eastAsia="方正仿宋_GBK" w:hAnsi="方正仿宋_GBK" w:cs="方正仿宋_GBK"/>
          <w:sz w:val="32"/>
          <w:szCs w:val="32"/>
          <w:shd w:val="clear" w:color="auto" w:fill="FFFFFF"/>
        </w:rPr>
        <w:lastRenderedPageBreak/>
        <w:t>非财政拨款结余和专用结余</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万元，年初结转和结余</w:t>
      </w:r>
      <w:r>
        <w:rPr>
          <w:rFonts w:ascii="方正仿宋_GBK" w:eastAsia="方正仿宋_GBK" w:hAnsi="方正仿宋_GBK" w:cs="方正仿宋_GBK"/>
          <w:sz w:val="32"/>
          <w:szCs w:val="32"/>
        </w:rPr>
        <w:t>614.21</w:t>
      </w:r>
      <w:r>
        <w:rPr>
          <w:rFonts w:ascii="方正仿宋_GBK" w:eastAsia="方正仿宋_GBK" w:hAnsi="方正仿宋_GBK" w:cs="方正仿宋_GBK"/>
          <w:sz w:val="32"/>
          <w:szCs w:val="32"/>
          <w:shd w:val="clear" w:color="auto" w:fill="FFFFFF"/>
        </w:rPr>
        <w:t>万元。</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3.支出情况。</w:t>
      </w:r>
      <w:r>
        <w:rPr>
          <w:rFonts w:ascii="方正仿宋_GBK" w:eastAsia="方正仿宋_GBK" w:hAnsi="方正仿宋_GBK" w:cs="方正仿宋_GBK"/>
          <w:sz w:val="32"/>
          <w:szCs w:val="32"/>
          <w:shd w:val="clear" w:color="auto" w:fill="FFFFFF"/>
        </w:rPr>
        <w:t>2023年度支出合计</w:t>
      </w:r>
      <w:r>
        <w:rPr>
          <w:rFonts w:ascii="方正仿宋_GBK" w:eastAsia="方正仿宋_GBK" w:hAnsi="方正仿宋_GBK" w:cs="方正仿宋_GBK"/>
          <w:sz w:val="32"/>
          <w:szCs w:val="32"/>
        </w:rPr>
        <w:t>4003.29</w:t>
      </w:r>
      <w:r>
        <w:rPr>
          <w:rFonts w:ascii="方正仿宋_GBK" w:eastAsia="方正仿宋_GBK" w:hAnsi="方正仿宋_GBK" w:cs="方正仿宋_GBK"/>
          <w:sz w:val="32"/>
          <w:szCs w:val="32"/>
          <w:shd w:val="clear" w:color="auto" w:fill="FFFFFF"/>
        </w:rPr>
        <w:t>万元，较上年决算数增加1147.81万元，增长40.2</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%，主要原因是项目经费支出增加。其中：基本支出</w:t>
      </w:r>
      <w:r>
        <w:rPr>
          <w:rFonts w:ascii="方正仿宋_GBK" w:eastAsia="方正仿宋_GBK" w:hAnsi="方正仿宋_GBK" w:cs="方正仿宋_GBK"/>
          <w:sz w:val="32"/>
          <w:szCs w:val="32"/>
        </w:rPr>
        <w:t>744.02</w:t>
      </w:r>
      <w:r>
        <w:rPr>
          <w:rFonts w:ascii="方正仿宋_GBK" w:eastAsia="方正仿宋_GBK" w:hAnsi="方正仿宋_GBK" w:cs="方正仿宋_GBK"/>
          <w:sz w:val="32"/>
          <w:szCs w:val="32"/>
          <w:shd w:val="clear" w:color="auto" w:fill="FFFFFF"/>
        </w:rPr>
        <w:t>万元，占18.</w:t>
      </w:r>
      <w:r>
        <w:rPr>
          <w:rFonts w:ascii="方正仿宋_GBK" w:eastAsia="方正仿宋_GBK" w:hAnsi="方正仿宋_GBK" w:cs="方正仿宋_GBK" w:hint="default"/>
          <w:sz w:val="32"/>
          <w:szCs w:val="32"/>
          <w:shd w:val="clear" w:color="auto" w:fill="FFFFFF"/>
        </w:rPr>
        <w:t>59</w:t>
      </w:r>
      <w:r>
        <w:rPr>
          <w:rFonts w:ascii="方正仿宋_GBK" w:eastAsia="方正仿宋_GBK" w:hAnsi="方正仿宋_GBK" w:cs="方正仿宋_GBK"/>
          <w:sz w:val="32"/>
          <w:szCs w:val="32"/>
          <w:shd w:val="clear" w:color="auto" w:fill="FFFFFF"/>
        </w:rPr>
        <w:t>%；项目支出</w:t>
      </w:r>
      <w:r>
        <w:rPr>
          <w:rFonts w:ascii="方正仿宋_GBK" w:eastAsia="方正仿宋_GBK" w:hAnsi="方正仿宋_GBK" w:cs="方正仿宋_GBK"/>
          <w:sz w:val="32"/>
          <w:szCs w:val="32"/>
        </w:rPr>
        <w:t>3259.28</w:t>
      </w:r>
      <w:r>
        <w:rPr>
          <w:rFonts w:ascii="方正仿宋_GBK" w:eastAsia="方正仿宋_GBK" w:hAnsi="方正仿宋_GBK" w:cs="方正仿宋_GBK"/>
          <w:sz w:val="32"/>
          <w:szCs w:val="32"/>
          <w:shd w:val="clear" w:color="auto" w:fill="FFFFFF"/>
        </w:rPr>
        <w:t>万元，占81.4</w:t>
      </w:r>
      <w:r>
        <w:rPr>
          <w:rFonts w:ascii="方正仿宋_GBK" w:eastAsia="方正仿宋_GBK" w:hAnsi="方正仿宋_GBK" w:cs="方正仿宋_GBK" w:hint="default"/>
          <w:sz w:val="32"/>
          <w:szCs w:val="32"/>
          <w:shd w:val="clear" w:color="auto" w:fill="FFFFFF"/>
        </w:rPr>
        <w:t>1</w:t>
      </w:r>
      <w:r>
        <w:rPr>
          <w:rFonts w:ascii="方正仿宋_GBK" w:eastAsia="方正仿宋_GBK" w:hAnsi="方正仿宋_GBK" w:cs="方正仿宋_GBK"/>
          <w:sz w:val="32"/>
          <w:szCs w:val="32"/>
          <w:shd w:val="clear" w:color="auto" w:fill="FFFFFF"/>
        </w:rPr>
        <w:t>%；经营支出</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万元，占0.0</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%。此外，结余分配</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w:t>
      </w:r>
    </w:p>
    <w:p w:rsidR="00EE5E22" w:rsidRDefault="008819A8">
      <w:pPr>
        <w:shd w:val="clear" w:color="auto" w:fill="FFFFFF"/>
        <w:spacing w:before="100" w:beforeAutospacing="1" w:after="100" w:afterAutospacing="1" w:line="560" w:lineRule="exact"/>
        <w:ind w:firstLineChars="250" w:firstLine="803"/>
        <w:rPr>
          <w:rFonts w:ascii="方正仿宋_GBK" w:eastAsia="方正仿宋_GBK" w:cs="宋体" w:hint="default"/>
          <w:sz w:val="32"/>
          <w:szCs w:val="32"/>
        </w:rPr>
      </w:pPr>
      <w:r>
        <w:rPr>
          <w:rStyle w:val="a7"/>
          <w:rFonts w:ascii="方正仿宋_GBK" w:eastAsia="方正仿宋_GBK" w:hAnsi="方正仿宋_GBK" w:cs="方正仿宋_GBK"/>
          <w:sz w:val="32"/>
          <w:szCs w:val="32"/>
          <w:shd w:val="clear" w:color="auto" w:fill="FFFFFF"/>
        </w:rPr>
        <w:t>4.结转结余情况。</w:t>
      </w:r>
      <w:r>
        <w:rPr>
          <w:rFonts w:ascii="方正仿宋_GBK" w:eastAsia="方正仿宋_GBK" w:hAnsi="方正仿宋_GBK" w:cs="方正仿宋_GBK"/>
          <w:sz w:val="32"/>
          <w:szCs w:val="32"/>
          <w:shd w:val="clear" w:color="auto" w:fill="FFFFFF"/>
        </w:rPr>
        <w:t>2023年度年末结转和结余</w:t>
      </w:r>
      <w:r>
        <w:rPr>
          <w:rFonts w:ascii="方正仿宋_GBK" w:eastAsia="方正仿宋_GBK" w:hAnsi="方正仿宋_GBK" w:cs="方正仿宋_GBK"/>
          <w:sz w:val="32"/>
          <w:szCs w:val="32"/>
        </w:rPr>
        <w:t>32.22</w:t>
      </w:r>
      <w:r>
        <w:rPr>
          <w:rFonts w:ascii="方正仿宋_GBK" w:eastAsia="方正仿宋_GBK" w:hAnsi="方正仿宋_GBK" w:cs="方正仿宋_GBK"/>
          <w:sz w:val="32"/>
          <w:szCs w:val="32"/>
          <w:shd w:val="clear" w:color="auto" w:fill="FFFFFF"/>
        </w:rPr>
        <w:t>万元，较上年决算数减少0.21万元，下降0.</w:t>
      </w:r>
      <w:r>
        <w:rPr>
          <w:rFonts w:ascii="方正仿宋_GBK" w:eastAsia="方正仿宋_GBK" w:hAnsi="方正仿宋_GBK" w:cs="方正仿宋_GBK" w:hint="default"/>
          <w:sz w:val="32"/>
          <w:szCs w:val="32"/>
          <w:shd w:val="clear" w:color="auto" w:fill="FFFFFF"/>
        </w:rPr>
        <w:t>65</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主要原因结转和结余项目经费支出使年末结转和结余减少。</w:t>
      </w:r>
    </w:p>
    <w:p w:rsidR="00EE5E22" w:rsidRDefault="008819A8">
      <w:pPr>
        <w:pStyle w:val="a5"/>
        <w:snapToGrid w:val="0"/>
        <w:spacing w:before="0" w:beforeAutospacing="0" w:after="0" w:afterAutospacing="0" w:line="600" w:lineRule="exact"/>
        <w:ind w:firstLineChars="200" w:firstLine="643"/>
        <w:jc w:val="both"/>
        <w:rPr>
          <w:rFonts w:ascii="楷体" w:eastAsia="楷体" w:hAnsi="楷体" w:cs="楷体" w:hint="default"/>
          <w:b/>
          <w:bCs/>
          <w:sz w:val="32"/>
          <w:szCs w:val="32"/>
          <w:shd w:val="clear" w:color="auto" w:fill="FFFFFF"/>
        </w:rPr>
      </w:pPr>
      <w:r>
        <w:rPr>
          <w:rFonts w:ascii="楷体" w:eastAsia="楷体" w:hAnsi="楷体" w:cs="楷体"/>
          <w:b/>
          <w:bCs/>
          <w:sz w:val="32"/>
          <w:szCs w:val="32"/>
          <w:shd w:val="clear" w:color="auto" w:fill="FFFFFF"/>
        </w:rPr>
        <w:t>（二）财政拨款收入支出决算总体情况说明</w:t>
      </w:r>
    </w:p>
    <w:p w:rsidR="00EE5E22" w:rsidRDefault="008819A8">
      <w:pPr>
        <w:shd w:val="clear" w:color="auto" w:fill="FFFFFF"/>
        <w:spacing w:before="100" w:beforeAutospacing="1" w:after="100" w:afterAutospacing="1" w:line="560" w:lineRule="exact"/>
        <w:ind w:firstLineChars="250" w:firstLine="800"/>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t>2023年度财政拨款收、支总计4035.51万元。与2022年相比，财政拨款收、支总计各增加1147.60万元，增长39.7</w:t>
      </w:r>
      <w:r>
        <w:rPr>
          <w:rFonts w:ascii="方正仿宋_GBK" w:eastAsia="方正仿宋_GBK" w:hAnsi="方正仿宋_GBK" w:cs="方正仿宋_GBK" w:hint="default"/>
          <w:sz w:val="32"/>
          <w:szCs w:val="32"/>
          <w:shd w:val="clear" w:color="auto" w:fill="FFFFFF"/>
        </w:rPr>
        <w:t>4</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主要原因是一般公共预算财政拨款收、支增加1134.44万元，政府性基金预算财政拨款收、支减少259.96万元，以及年初结转结余增加273.11万元。</w:t>
      </w:r>
    </w:p>
    <w:p w:rsidR="00EE5E22" w:rsidRDefault="008819A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（三）一般公共预算财政拨款收入支出决算情况说明</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1.收入情况。</w:t>
      </w:r>
      <w:r>
        <w:rPr>
          <w:rFonts w:ascii="方正仿宋_GBK" w:eastAsia="方正仿宋_GBK" w:hAnsi="方正仿宋_GBK" w:cs="方正仿宋_GBK"/>
          <w:sz w:val="32"/>
          <w:szCs w:val="32"/>
          <w:shd w:val="clear" w:color="auto" w:fill="FFFFFF"/>
        </w:rPr>
        <w:t>2023年度一般公共预算财政拨款收入</w:t>
      </w:r>
      <w:r>
        <w:rPr>
          <w:rFonts w:ascii="方正仿宋_GBK" w:eastAsia="方正仿宋_GBK" w:hAnsi="方正仿宋_GBK" w:cs="方正仿宋_GBK"/>
          <w:sz w:val="32"/>
          <w:szCs w:val="32"/>
        </w:rPr>
        <w:t>3421.29</w:t>
      </w:r>
      <w:r>
        <w:rPr>
          <w:rFonts w:ascii="方正仿宋_GBK" w:eastAsia="方正仿宋_GBK" w:hAnsi="方正仿宋_GBK" w:cs="方正仿宋_GBK"/>
          <w:sz w:val="32"/>
          <w:szCs w:val="32"/>
          <w:shd w:val="clear" w:color="auto" w:fill="FFFFFF"/>
        </w:rPr>
        <w:t>万元，较上年决算数增加1134.44万元，增长49.6</w:t>
      </w:r>
      <w:r>
        <w:rPr>
          <w:rFonts w:ascii="方正仿宋_GBK" w:eastAsia="方正仿宋_GBK" w:hAnsi="方正仿宋_GBK" w:cs="方正仿宋_GBK" w:hint="default"/>
          <w:sz w:val="32"/>
          <w:szCs w:val="32"/>
          <w:shd w:val="clear" w:color="auto" w:fill="FFFFFF"/>
        </w:rPr>
        <w:t>1</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主要原因是项目经费收入比上年增加，</w:t>
      </w:r>
      <w:r>
        <w:rPr>
          <w:rFonts w:ascii="方正仿宋_GBK" w:eastAsia="方正仿宋_GBK" w:hAnsi="方正仿宋_GBK" w:cs="方正仿宋_GBK"/>
          <w:sz w:val="32"/>
          <w:szCs w:val="32"/>
          <w:shd w:val="clear" w:color="auto" w:fill="FFFFFF"/>
        </w:rPr>
        <w:t>较年初预算数增加2029.55万元，增长145.8</w:t>
      </w:r>
      <w:r>
        <w:rPr>
          <w:rFonts w:ascii="方正仿宋_GBK" w:eastAsia="方正仿宋_GBK" w:hAnsi="方正仿宋_GBK" w:cs="方正仿宋_GBK" w:hint="default"/>
          <w:sz w:val="32"/>
          <w:szCs w:val="32"/>
          <w:shd w:val="clear" w:color="auto" w:fill="FFFFFF"/>
        </w:rPr>
        <w:t>3</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主要原因是项目经费年初未纳</w:t>
      </w:r>
      <w:r>
        <w:rPr>
          <w:rFonts w:ascii="方正仿宋_GBK" w:eastAsia="方正仿宋_GBK" w:cs="宋体"/>
          <w:sz w:val="32"/>
          <w:szCs w:val="32"/>
          <w:shd w:val="clear" w:color="auto" w:fill="FFFFFF"/>
        </w:rPr>
        <w:lastRenderedPageBreak/>
        <w:t>入预算在年中拨入增加。</w:t>
      </w:r>
      <w:r>
        <w:rPr>
          <w:rFonts w:ascii="方正仿宋_GBK" w:eastAsia="方正仿宋_GBK" w:hAnsi="方正仿宋_GBK" w:cs="方正仿宋_GBK"/>
          <w:sz w:val="32"/>
          <w:szCs w:val="32"/>
          <w:shd w:val="clear" w:color="auto" w:fill="FFFFFF"/>
        </w:rPr>
        <w:t>此外，年初财政拨款结转和结余</w:t>
      </w:r>
      <w:r>
        <w:rPr>
          <w:rFonts w:ascii="方正仿宋_GBK" w:eastAsia="方正仿宋_GBK" w:hAnsi="方正仿宋_GBK" w:cs="方正仿宋_GBK"/>
          <w:sz w:val="32"/>
          <w:szCs w:val="32"/>
        </w:rPr>
        <w:t>614.21</w:t>
      </w:r>
      <w:r>
        <w:rPr>
          <w:rFonts w:ascii="方正仿宋_GBK" w:eastAsia="方正仿宋_GBK" w:hAnsi="方正仿宋_GBK" w:cs="方正仿宋_GBK"/>
          <w:sz w:val="32"/>
          <w:szCs w:val="32"/>
          <w:shd w:val="clear" w:color="auto" w:fill="FFFFFF"/>
        </w:rPr>
        <w:t>万元。</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cs="宋体" w:hint="default"/>
          <w:sz w:val="32"/>
          <w:szCs w:val="32"/>
          <w:shd w:val="clear" w:color="auto" w:fill="FFFFFF"/>
        </w:rPr>
      </w:pPr>
      <w:r>
        <w:rPr>
          <w:rStyle w:val="a7"/>
          <w:rFonts w:ascii="方正仿宋_GBK" w:eastAsia="方正仿宋_GBK" w:hAnsi="方正仿宋_GBK" w:cs="方正仿宋_GBK"/>
          <w:sz w:val="32"/>
          <w:szCs w:val="32"/>
          <w:shd w:val="clear" w:color="auto" w:fill="FFFFFF"/>
        </w:rPr>
        <w:t>2.支出情况。</w:t>
      </w:r>
      <w:r>
        <w:rPr>
          <w:rFonts w:ascii="方正仿宋_GBK" w:eastAsia="方正仿宋_GBK" w:hAnsi="方正仿宋_GBK" w:cs="方正仿宋_GBK"/>
          <w:sz w:val="32"/>
          <w:szCs w:val="32"/>
          <w:shd w:val="clear" w:color="auto" w:fill="FFFFFF"/>
        </w:rPr>
        <w:t>2023年度一般公共预算财政拨款支出</w:t>
      </w:r>
      <w:r>
        <w:rPr>
          <w:rFonts w:ascii="方正仿宋_GBK" w:eastAsia="方正仿宋_GBK" w:hAnsi="方正仿宋_GBK" w:cs="方正仿宋_GBK"/>
          <w:sz w:val="32"/>
          <w:szCs w:val="32"/>
        </w:rPr>
        <w:t>4003.29</w:t>
      </w:r>
      <w:r>
        <w:rPr>
          <w:rFonts w:ascii="方正仿宋_GBK" w:eastAsia="方正仿宋_GBK" w:hAnsi="方正仿宋_GBK" w:cs="方正仿宋_GBK"/>
          <w:sz w:val="32"/>
          <w:szCs w:val="32"/>
          <w:shd w:val="clear" w:color="auto" w:fill="FFFFFF"/>
        </w:rPr>
        <w:t>万元，较上年决算数增加1407.78万元，增长54.2</w:t>
      </w:r>
      <w:r>
        <w:rPr>
          <w:rFonts w:ascii="方正仿宋_GBK" w:eastAsia="方正仿宋_GBK" w:hAnsi="方正仿宋_GBK" w:cs="方正仿宋_GBK" w:hint="default"/>
          <w:sz w:val="32"/>
          <w:szCs w:val="32"/>
          <w:shd w:val="clear" w:color="auto" w:fill="FFFFFF"/>
        </w:rPr>
        <w:t>4</w:t>
      </w:r>
      <w:r>
        <w:rPr>
          <w:rFonts w:ascii="方正仿宋_GBK" w:eastAsia="方正仿宋_GBK" w:hAnsi="方正仿宋_GBK" w:cs="方正仿宋_GBK"/>
          <w:sz w:val="32"/>
          <w:szCs w:val="32"/>
          <w:shd w:val="clear" w:color="auto" w:fill="FFFFFF"/>
        </w:rPr>
        <w:t>%。主要原因是一般公共预算财政拨款项目经费支出增加。较年初预算数增加2611.55万元，增长187.</w:t>
      </w:r>
      <w:r>
        <w:rPr>
          <w:rFonts w:ascii="方正仿宋_GBK" w:eastAsia="方正仿宋_GBK" w:hAnsi="方正仿宋_GBK" w:cs="方正仿宋_GBK" w:hint="default"/>
          <w:sz w:val="32"/>
          <w:szCs w:val="32"/>
          <w:shd w:val="clear" w:color="auto" w:fill="FFFFFF"/>
        </w:rPr>
        <w:t>65</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w:t>
      </w:r>
      <w:r>
        <w:rPr>
          <w:rFonts w:ascii="方正仿宋_GBK" w:eastAsia="方正仿宋_GBK" w:hAnsi="方正仿宋_GBK" w:cs="方正仿宋_GBK"/>
          <w:sz w:val="32"/>
          <w:szCs w:val="32"/>
          <w:shd w:val="clear" w:color="auto" w:fill="FFFFFF"/>
        </w:rPr>
        <w:t>一般公共预算财政拨款</w:t>
      </w:r>
      <w:r>
        <w:rPr>
          <w:rFonts w:ascii="方正仿宋_GBK" w:eastAsia="方正仿宋_GBK" w:cs="宋体"/>
          <w:sz w:val="32"/>
          <w:szCs w:val="32"/>
          <w:shd w:val="clear" w:color="auto" w:fill="FFFFFF"/>
        </w:rPr>
        <w:t>项目经费年初未纳入预算在年中拨入增加。</w:t>
      </w:r>
    </w:p>
    <w:p w:rsidR="00EE5E22" w:rsidRDefault="008819A8">
      <w:pPr>
        <w:shd w:val="clear" w:color="auto" w:fill="FFFFFF"/>
        <w:spacing w:before="100" w:beforeAutospacing="1" w:after="100" w:afterAutospacing="1" w:line="560" w:lineRule="exact"/>
        <w:ind w:firstLineChars="250" w:firstLine="803"/>
        <w:rPr>
          <w:rFonts w:ascii="方正仿宋_GBK" w:eastAsia="方正仿宋_GBK" w:cs="宋体" w:hint="default"/>
          <w:sz w:val="32"/>
          <w:szCs w:val="32"/>
        </w:rPr>
      </w:pPr>
      <w:r>
        <w:rPr>
          <w:rStyle w:val="a7"/>
          <w:rFonts w:ascii="方正仿宋_GBK" w:eastAsia="方正仿宋_GBK" w:hAnsi="方正仿宋_GBK" w:cs="方正仿宋_GBK"/>
          <w:sz w:val="32"/>
          <w:szCs w:val="32"/>
          <w:shd w:val="clear" w:color="auto" w:fill="FFFFFF"/>
        </w:rPr>
        <w:t>3.结转结余情况。</w:t>
      </w:r>
      <w:r>
        <w:rPr>
          <w:rFonts w:ascii="方正仿宋_GBK" w:eastAsia="方正仿宋_GBK" w:hAnsi="方正仿宋_GBK" w:cs="方正仿宋_GBK"/>
          <w:sz w:val="32"/>
          <w:szCs w:val="32"/>
          <w:shd w:val="clear" w:color="auto" w:fill="FFFFFF"/>
        </w:rPr>
        <w:t>2023年度年末一般公共预算财政拨款结转和结余</w:t>
      </w:r>
      <w:r>
        <w:rPr>
          <w:rFonts w:ascii="方正仿宋_GBK" w:eastAsia="方正仿宋_GBK" w:hAnsi="方正仿宋_GBK" w:cs="方正仿宋_GBK"/>
          <w:sz w:val="32"/>
          <w:szCs w:val="32"/>
        </w:rPr>
        <w:t>32.22</w:t>
      </w:r>
      <w:r>
        <w:rPr>
          <w:rFonts w:ascii="方正仿宋_GBK" w:eastAsia="方正仿宋_GBK" w:hAnsi="方正仿宋_GBK" w:cs="方正仿宋_GBK"/>
          <w:sz w:val="32"/>
          <w:szCs w:val="32"/>
          <w:shd w:val="clear" w:color="auto" w:fill="FFFFFF"/>
        </w:rPr>
        <w:t>万元，较上年决算数减少0.21万元，下降0.</w:t>
      </w:r>
      <w:r>
        <w:rPr>
          <w:rFonts w:ascii="方正仿宋_GBK" w:eastAsia="方正仿宋_GBK" w:hAnsi="方正仿宋_GBK" w:cs="方正仿宋_GBK" w:hint="default"/>
          <w:sz w:val="32"/>
          <w:szCs w:val="32"/>
          <w:shd w:val="clear" w:color="auto" w:fill="FFFFFF"/>
        </w:rPr>
        <w:t>65</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主要原因结转和结余项目经费支出使年末结转和结余减少。</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color w:val="FF0000"/>
          <w:sz w:val="32"/>
          <w:szCs w:val="32"/>
          <w:highlight w:val="cyan"/>
          <w:shd w:val="clear" w:color="auto" w:fill="FFFFFF"/>
        </w:rPr>
      </w:pPr>
      <w:r>
        <w:rPr>
          <w:rStyle w:val="a7"/>
          <w:rFonts w:ascii="方正仿宋_GBK" w:eastAsia="方正仿宋_GBK" w:hAnsi="方正仿宋_GBK" w:cs="方正仿宋_GBK"/>
          <w:sz w:val="32"/>
          <w:szCs w:val="32"/>
          <w:shd w:val="clear" w:color="auto" w:fill="FFFFFF"/>
        </w:rPr>
        <w:t xml:space="preserve"> 4.比较情况。</w:t>
      </w:r>
      <w:r>
        <w:rPr>
          <w:rFonts w:ascii="方正仿宋_GBK" w:eastAsia="方正仿宋_GBK" w:hAnsi="方正仿宋_GBK" w:cs="方正仿宋_GBK"/>
          <w:sz w:val="32"/>
          <w:szCs w:val="32"/>
          <w:shd w:val="clear" w:color="auto" w:fill="FFFFFF"/>
        </w:rPr>
        <w:t>本部门2023年度一般公共预算财政拨款支出主要用于以下几个方面：</w:t>
      </w:r>
    </w:p>
    <w:p w:rsidR="00EE5E22" w:rsidRDefault="008819A8">
      <w:pPr>
        <w:shd w:val="clear" w:color="auto" w:fill="FFFFFF"/>
        <w:spacing w:before="100" w:beforeAutospacing="1" w:after="100" w:afterAutospacing="1" w:line="560" w:lineRule="exact"/>
        <w:ind w:firstLineChars="200" w:firstLine="640"/>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t>（1）一般公共服务支出</w:t>
      </w:r>
      <w:r>
        <w:rPr>
          <w:rFonts w:ascii="方正仿宋_GBK" w:eastAsia="方正仿宋_GBK" w:hAnsi="方正仿宋_GBK" w:cs="方正仿宋_GBK"/>
          <w:sz w:val="32"/>
          <w:szCs w:val="32"/>
        </w:rPr>
        <w:t>1204.42</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30.</w:t>
      </w:r>
      <w:r>
        <w:rPr>
          <w:rFonts w:ascii="方正仿宋_GBK" w:eastAsia="方正仿宋_GBK" w:hAnsi="方正仿宋_GBK" w:cs="方正仿宋_GBK" w:hint="default"/>
          <w:sz w:val="32"/>
          <w:szCs w:val="32"/>
        </w:rPr>
        <w:t>09</w:t>
      </w:r>
      <w:r>
        <w:rPr>
          <w:rFonts w:ascii="方正仿宋_GBK" w:eastAsia="方正仿宋_GBK" w:hAnsi="方正仿宋_GBK" w:cs="方正仿宋_GBK"/>
          <w:sz w:val="32"/>
          <w:szCs w:val="32"/>
          <w:shd w:val="clear" w:color="auto" w:fill="FFFFFF"/>
        </w:rPr>
        <w:t>%，较年初预算数增加858.22万元，增长247.9</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主要原因是部分项目资金没有纳入年初预算。</w:t>
      </w:r>
    </w:p>
    <w:p w:rsidR="00EE5E22" w:rsidRDefault="008819A8">
      <w:pPr>
        <w:pStyle w:val="a5"/>
        <w:snapToGrid w:val="0"/>
        <w:spacing w:before="0" w:beforeAutospacing="0" w:after="0" w:afterAutospacing="0" w:line="600" w:lineRule="exact"/>
        <w:ind w:firstLineChars="200" w:firstLine="640"/>
        <w:jc w:val="both"/>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t>（2）教育支出</w:t>
      </w:r>
      <w:r>
        <w:rPr>
          <w:rFonts w:ascii="方正仿宋_GBK" w:eastAsia="方正仿宋_GBK" w:hAnsi="方正仿宋_GBK" w:cs="方正仿宋_GBK"/>
          <w:sz w:val="32"/>
          <w:szCs w:val="32"/>
        </w:rPr>
        <w:t>0.16</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0.0</w:t>
      </w:r>
      <w:r>
        <w:rPr>
          <w:rFonts w:ascii="方正仿宋_GBK" w:eastAsia="方正仿宋_GBK" w:hAnsi="方正仿宋_GBK" w:cs="方正仿宋_GBK" w:hint="default"/>
          <w:sz w:val="32"/>
          <w:szCs w:val="32"/>
        </w:rPr>
        <w:t>0</w:t>
      </w:r>
      <w:r>
        <w:rPr>
          <w:rFonts w:ascii="方正仿宋_GBK" w:eastAsia="方正仿宋_GBK" w:hAnsi="方正仿宋_GBK" w:cs="方正仿宋_GBK"/>
          <w:sz w:val="32"/>
          <w:szCs w:val="32"/>
          <w:shd w:val="clear" w:color="auto" w:fill="FFFFFF"/>
        </w:rPr>
        <w:t>%，较年初预算数减少0.72万元，下降81.8</w:t>
      </w:r>
      <w:r>
        <w:rPr>
          <w:rFonts w:ascii="方正仿宋_GBK" w:eastAsia="方正仿宋_GBK" w:hAnsi="方正仿宋_GBK" w:cs="方正仿宋_GBK" w:hint="default"/>
          <w:sz w:val="32"/>
          <w:szCs w:val="32"/>
          <w:shd w:val="clear" w:color="auto" w:fill="FFFFFF"/>
        </w:rPr>
        <w:t>2</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主要原因是职工培训费用支出减少。</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lastRenderedPageBreak/>
        <w:t>（3）文化旅游体育与传媒支出</w:t>
      </w:r>
      <w:r>
        <w:rPr>
          <w:rFonts w:ascii="方正仿宋_GBK" w:eastAsia="方正仿宋_GBK" w:hAnsi="方正仿宋_GBK" w:cs="方正仿宋_GBK"/>
          <w:sz w:val="32"/>
          <w:szCs w:val="32"/>
        </w:rPr>
        <w:t>8.84</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0.2</w:t>
      </w:r>
      <w:r>
        <w:rPr>
          <w:rFonts w:ascii="方正仿宋_GBK" w:eastAsia="方正仿宋_GBK" w:hAnsi="方正仿宋_GBK" w:cs="方正仿宋_GBK" w:hint="default"/>
          <w:sz w:val="32"/>
          <w:szCs w:val="32"/>
        </w:rPr>
        <w:t>2</w:t>
      </w:r>
      <w:r>
        <w:rPr>
          <w:rFonts w:ascii="方正仿宋_GBK" w:eastAsia="方正仿宋_GBK" w:hAnsi="方正仿宋_GBK" w:cs="方正仿宋_GBK"/>
          <w:sz w:val="32"/>
          <w:szCs w:val="32"/>
          <w:shd w:val="clear" w:color="auto" w:fill="FFFFFF"/>
        </w:rPr>
        <w:t>%，较年初预算数增加8.84万元，增长100.0</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主要原因是该项目支出没有纳入年初预算。</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t>（4）社会保障与就业支出</w:t>
      </w:r>
      <w:r>
        <w:rPr>
          <w:rFonts w:ascii="方正仿宋_GBK" w:eastAsia="方正仿宋_GBK" w:hAnsi="方正仿宋_GBK" w:cs="方正仿宋_GBK"/>
          <w:sz w:val="32"/>
          <w:szCs w:val="32"/>
        </w:rPr>
        <w:t>479.83</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w:t>
      </w:r>
      <w:r>
        <w:rPr>
          <w:rFonts w:ascii="方正仿宋_GBK" w:eastAsia="方正仿宋_GBK" w:hAnsi="方正仿宋_GBK" w:cs="方正仿宋_GBK" w:hint="default"/>
          <w:sz w:val="32"/>
          <w:szCs w:val="32"/>
        </w:rPr>
        <w:t>1.99</w:t>
      </w:r>
      <w:r>
        <w:rPr>
          <w:rFonts w:ascii="方正仿宋_GBK" w:eastAsia="方正仿宋_GBK" w:hAnsi="方正仿宋_GBK" w:cs="方正仿宋_GBK"/>
          <w:sz w:val="32"/>
          <w:szCs w:val="32"/>
          <w:shd w:val="clear" w:color="auto" w:fill="FFFFFF"/>
        </w:rPr>
        <w:t>%，较年初预算数增加146.37万元，增长43.</w:t>
      </w:r>
      <w:r>
        <w:rPr>
          <w:rFonts w:ascii="方正仿宋_GBK" w:eastAsia="方正仿宋_GBK" w:hAnsi="方正仿宋_GBK" w:cs="方正仿宋_GBK" w:hint="default"/>
          <w:sz w:val="32"/>
          <w:szCs w:val="32"/>
          <w:shd w:val="clear" w:color="auto" w:fill="FFFFFF"/>
        </w:rPr>
        <w:t>8</w:t>
      </w:r>
      <w:r>
        <w:rPr>
          <w:rFonts w:ascii="方正仿宋_GBK" w:eastAsia="方正仿宋_GBK" w:hAnsi="方正仿宋_GBK" w:cs="方正仿宋_GBK"/>
          <w:sz w:val="32"/>
          <w:szCs w:val="32"/>
          <w:shd w:val="clear" w:color="auto" w:fill="FFFFFF"/>
        </w:rPr>
        <w:t>9%，</w:t>
      </w:r>
      <w:r>
        <w:rPr>
          <w:rFonts w:ascii="方正仿宋_GBK" w:eastAsia="方正仿宋_GBK" w:cs="宋体"/>
          <w:sz w:val="32"/>
          <w:szCs w:val="32"/>
          <w:shd w:val="clear" w:color="auto" w:fill="FFFFFF"/>
        </w:rPr>
        <w:t>主要原因是退休人员健康休养费和病故人员抚恤费增加。</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t>（5）卫生健康支出</w:t>
      </w:r>
      <w:r>
        <w:rPr>
          <w:rFonts w:ascii="方正仿宋_GBK" w:eastAsia="方正仿宋_GBK" w:hAnsi="方正仿宋_GBK" w:cs="方正仿宋_GBK"/>
          <w:sz w:val="32"/>
          <w:szCs w:val="32"/>
        </w:rPr>
        <w:t>1287.98</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32.</w:t>
      </w:r>
      <w:r>
        <w:rPr>
          <w:rFonts w:ascii="方正仿宋_GBK" w:eastAsia="方正仿宋_GBK" w:hAnsi="方正仿宋_GBK" w:cs="方正仿宋_GBK" w:hint="default"/>
          <w:sz w:val="32"/>
          <w:szCs w:val="32"/>
        </w:rPr>
        <w:t>17</w:t>
      </w:r>
      <w:r>
        <w:rPr>
          <w:rFonts w:ascii="方正仿宋_GBK" w:eastAsia="方正仿宋_GBK" w:hAnsi="方正仿宋_GBK" w:cs="方正仿宋_GBK"/>
          <w:sz w:val="32"/>
          <w:szCs w:val="32"/>
          <w:shd w:val="clear" w:color="auto" w:fill="FFFFFF"/>
        </w:rPr>
        <w:t>%，较年初预算数增加1277.82万元，增长1257</w:t>
      </w:r>
      <w:r>
        <w:rPr>
          <w:rFonts w:ascii="方正仿宋_GBK" w:eastAsia="方正仿宋_GBK" w:hAnsi="方正仿宋_GBK" w:cs="方正仿宋_GBK" w:hint="default"/>
          <w:sz w:val="32"/>
          <w:szCs w:val="32"/>
          <w:shd w:val="clear" w:color="auto" w:fill="FFFFFF"/>
        </w:rPr>
        <w:t>6.97</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主要原因是新冠疫情突发公共卫生事件应急处理经费未纳入年初预算。</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t>（6）农林水支出</w:t>
      </w:r>
      <w:r>
        <w:rPr>
          <w:rFonts w:ascii="方正仿宋_GBK" w:eastAsia="方正仿宋_GBK" w:hAnsi="方正仿宋_GBK" w:cs="方正仿宋_GBK"/>
          <w:sz w:val="32"/>
          <w:szCs w:val="32"/>
        </w:rPr>
        <w:t>50.44</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w:t>
      </w:r>
      <w:r>
        <w:rPr>
          <w:rFonts w:ascii="方正仿宋_GBK" w:eastAsia="方正仿宋_GBK" w:hAnsi="方正仿宋_GBK" w:cs="方正仿宋_GBK" w:hint="default"/>
          <w:sz w:val="32"/>
          <w:szCs w:val="32"/>
        </w:rPr>
        <w:t>26</w:t>
      </w:r>
      <w:r>
        <w:rPr>
          <w:rFonts w:ascii="方正仿宋_GBK" w:eastAsia="方正仿宋_GBK" w:hAnsi="方正仿宋_GBK" w:cs="方正仿宋_GBK"/>
          <w:sz w:val="32"/>
          <w:szCs w:val="32"/>
          <w:shd w:val="clear" w:color="auto" w:fill="FFFFFF"/>
        </w:rPr>
        <w:t>%，较年初预算数增加50.44万元，增长100.0</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主要原因是农林水支出未纳入年初预算。</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t>（7）商业服务业等支出</w:t>
      </w:r>
      <w:r>
        <w:rPr>
          <w:rFonts w:ascii="方正仿宋_GBK" w:eastAsia="方正仿宋_GBK" w:hAnsi="方正仿宋_GBK" w:cs="方正仿宋_GBK"/>
          <w:sz w:val="32"/>
          <w:szCs w:val="32"/>
        </w:rPr>
        <w:t>963.86</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24.</w:t>
      </w:r>
      <w:r>
        <w:rPr>
          <w:rFonts w:ascii="方正仿宋_GBK" w:eastAsia="方正仿宋_GBK" w:hAnsi="方正仿宋_GBK" w:cs="方正仿宋_GBK" w:hint="default"/>
          <w:sz w:val="32"/>
          <w:szCs w:val="32"/>
        </w:rPr>
        <w:t>08</w:t>
      </w:r>
      <w:r>
        <w:rPr>
          <w:rFonts w:ascii="方正仿宋_GBK" w:eastAsia="方正仿宋_GBK" w:hAnsi="方正仿宋_GBK" w:cs="方正仿宋_GBK"/>
          <w:sz w:val="32"/>
          <w:szCs w:val="32"/>
          <w:shd w:val="clear" w:color="auto" w:fill="FFFFFF"/>
        </w:rPr>
        <w:t>%，较年初预算数增加282.86万元，增长41.5</w:t>
      </w:r>
      <w:r>
        <w:rPr>
          <w:rFonts w:ascii="方正仿宋_GBK" w:eastAsia="方正仿宋_GBK" w:hAnsi="方正仿宋_GBK" w:cs="方正仿宋_GBK" w:hint="default"/>
          <w:sz w:val="32"/>
          <w:szCs w:val="32"/>
          <w:shd w:val="clear" w:color="auto" w:fill="FFFFFF"/>
        </w:rPr>
        <w:t>4</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主要原因是商业服务等项目支出未纳入年初预算。</w:t>
      </w:r>
    </w:p>
    <w:p w:rsidR="00EE5E22" w:rsidRDefault="008819A8">
      <w:pPr>
        <w:spacing w:line="560" w:lineRule="exact"/>
        <w:ind w:firstLineChars="200" w:firstLine="640"/>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t>（8）</w:t>
      </w:r>
      <w:r>
        <w:rPr>
          <w:rFonts w:ascii="方正仿宋_GBK" w:eastAsia="方正仿宋_GBK" w:hAnsi="方正仿宋_GBK" w:cs="方正仿宋_GBK"/>
          <w:sz w:val="32"/>
          <w:szCs w:val="32"/>
        </w:rPr>
        <w:t>住房保障支出7.75</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19</w:t>
      </w:r>
      <w:r>
        <w:rPr>
          <w:rFonts w:ascii="方正仿宋_GBK" w:eastAsia="方正仿宋_GBK" w:hAnsi="方正仿宋_GBK" w:cs="方正仿宋_GBK"/>
          <w:sz w:val="32"/>
          <w:szCs w:val="32"/>
          <w:shd w:val="clear" w:color="auto" w:fill="FFFFFF"/>
        </w:rPr>
        <w:t>%，较年初预算数减少12.28万元，下降61.3%，</w:t>
      </w:r>
      <w:r>
        <w:rPr>
          <w:rFonts w:ascii="方正仿宋_GBK" w:eastAsia="方正仿宋_GBK" w:cs="宋体"/>
          <w:sz w:val="32"/>
          <w:szCs w:val="32"/>
          <w:shd w:val="clear" w:color="auto" w:fill="FFFFFF"/>
        </w:rPr>
        <w:t>主要原因是缴纳职工住房公积金支出扣除了清算的2021年住房公积金职工应退的金额。</w:t>
      </w:r>
    </w:p>
    <w:p w:rsidR="00EE5E22" w:rsidRDefault="008819A8">
      <w:pPr>
        <w:pStyle w:val="a5"/>
        <w:snapToGrid w:val="0"/>
        <w:spacing w:before="0" w:beforeAutospacing="0" w:after="0" w:afterAutospacing="0" w:line="600" w:lineRule="exact"/>
        <w:ind w:firstLineChars="200" w:firstLine="643"/>
        <w:jc w:val="both"/>
        <w:rPr>
          <w:rFonts w:ascii="楷体" w:eastAsia="楷体" w:hAnsi="楷体" w:cs="楷体" w:hint="default"/>
          <w:b/>
          <w:bCs/>
          <w:sz w:val="32"/>
          <w:szCs w:val="32"/>
          <w:shd w:val="clear" w:color="auto" w:fill="FFFFFF"/>
        </w:rPr>
      </w:pPr>
      <w:r>
        <w:rPr>
          <w:rFonts w:ascii="楷体" w:eastAsia="楷体" w:hAnsi="楷体" w:cs="楷体"/>
          <w:b/>
          <w:bCs/>
          <w:sz w:val="32"/>
          <w:szCs w:val="32"/>
          <w:shd w:val="clear" w:color="auto" w:fill="FFFFFF"/>
        </w:rPr>
        <w:t>（四）一般公共预算财政拨款基本支出决算情况说明</w:t>
      </w:r>
    </w:p>
    <w:p w:rsidR="00EE5E22" w:rsidRDefault="008819A8">
      <w:pPr>
        <w:pStyle w:val="a5"/>
        <w:snapToGrid w:val="0"/>
        <w:spacing w:before="0" w:beforeAutospacing="0" w:after="0" w:afterAutospacing="0" w:line="600" w:lineRule="exact"/>
        <w:ind w:firstLineChars="200" w:firstLine="640"/>
        <w:jc w:val="both"/>
        <w:rPr>
          <w:rFonts w:ascii="方正仿宋_GBK" w:eastAsia="方正仿宋_GBK" w:cs="宋体" w:hint="default"/>
          <w:sz w:val="32"/>
          <w:szCs w:val="32"/>
          <w:shd w:val="clear" w:color="auto" w:fill="FFFFFF"/>
        </w:rPr>
      </w:pPr>
      <w:r>
        <w:rPr>
          <w:rFonts w:cs="宋体"/>
          <w:sz w:val="32"/>
          <w:szCs w:val="32"/>
          <w:shd w:val="clear" w:color="auto" w:fill="FFFFFF"/>
        </w:rPr>
        <w:t> </w:t>
      </w:r>
      <w:r>
        <w:rPr>
          <w:rFonts w:ascii="方正仿宋_GBK" w:eastAsia="方正仿宋_GBK" w:hAnsi="方正仿宋_GBK" w:cs="方正仿宋_GBK"/>
          <w:sz w:val="32"/>
          <w:szCs w:val="32"/>
          <w:shd w:val="clear" w:color="auto" w:fill="FFFFFF"/>
        </w:rPr>
        <w:t>2023年度一般公共财政拨款基本支出</w:t>
      </w:r>
      <w:r>
        <w:rPr>
          <w:rFonts w:ascii="方正仿宋_GBK" w:eastAsia="方正仿宋_GBK" w:hAnsi="方正仿宋_GBK" w:cs="方正仿宋_GBK"/>
          <w:sz w:val="32"/>
          <w:szCs w:val="32"/>
        </w:rPr>
        <w:t>744.02</w:t>
      </w:r>
      <w:r>
        <w:rPr>
          <w:rFonts w:ascii="方正仿宋_GBK" w:eastAsia="方正仿宋_GBK" w:hAnsi="方正仿宋_GBK" w:cs="方正仿宋_GBK"/>
          <w:sz w:val="32"/>
          <w:szCs w:val="32"/>
          <w:shd w:val="clear" w:color="auto" w:fill="FFFFFF"/>
        </w:rPr>
        <w:t>万元。其中：人员经费</w:t>
      </w:r>
      <w:r>
        <w:rPr>
          <w:rFonts w:ascii="方正仿宋_GBK" w:eastAsia="方正仿宋_GBK" w:hAnsi="方正仿宋_GBK" w:cs="方正仿宋_GBK"/>
          <w:sz w:val="32"/>
          <w:szCs w:val="32"/>
        </w:rPr>
        <w:t>675.81</w:t>
      </w:r>
      <w:r>
        <w:rPr>
          <w:rFonts w:ascii="方正仿宋_GBK" w:eastAsia="方正仿宋_GBK" w:hAnsi="方正仿宋_GBK" w:cs="方正仿宋_GBK"/>
          <w:sz w:val="32"/>
          <w:szCs w:val="32"/>
          <w:shd w:val="clear" w:color="auto" w:fill="FFFFFF"/>
        </w:rPr>
        <w:t>万元，较上年决算数减少37.22万元，下降5.2</w:t>
      </w:r>
      <w:r>
        <w:rPr>
          <w:rFonts w:ascii="方正仿宋_GBK" w:eastAsia="方正仿宋_GBK" w:hAnsi="方正仿宋_GBK" w:cs="方正仿宋_GBK" w:hint="default"/>
          <w:sz w:val="32"/>
          <w:szCs w:val="32"/>
          <w:shd w:val="clear" w:color="auto" w:fill="FFFFFF"/>
        </w:rPr>
        <w:t>2</w:t>
      </w:r>
      <w:r>
        <w:rPr>
          <w:rFonts w:ascii="方正仿宋_GBK" w:eastAsia="方正仿宋_GBK" w:hAnsi="方正仿宋_GBK" w:cs="方正仿宋_GBK"/>
          <w:sz w:val="32"/>
          <w:szCs w:val="32"/>
          <w:shd w:val="clear" w:color="auto" w:fill="FFFFFF"/>
        </w:rPr>
        <w:t>%，主要原因是在职人员退休工资福利支出减少以及职工住房公积金支出减少。</w:t>
      </w:r>
      <w:r>
        <w:rPr>
          <w:rFonts w:ascii="方正仿宋_GBK" w:eastAsia="方正仿宋_GBK" w:cs="宋体"/>
          <w:sz w:val="32"/>
          <w:szCs w:val="32"/>
          <w:shd w:val="clear" w:color="auto" w:fill="FFFFFF"/>
        </w:rPr>
        <w:t>人员经费用途主要包括基本工</w:t>
      </w:r>
      <w:r>
        <w:rPr>
          <w:rFonts w:ascii="方正仿宋_GBK" w:eastAsia="方正仿宋_GBK" w:cs="宋体"/>
          <w:sz w:val="32"/>
          <w:szCs w:val="32"/>
          <w:shd w:val="clear" w:color="auto" w:fill="FFFFFF"/>
        </w:rPr>
        <w:lastRenderedPageBreak/>
        <w:t>资、津贴补贴、奖金、社会保障缴费、住房公积金、其他工资福利、抚恤费、退休生活补助、医疗费补助等费用。</w:t>
      </w:r>
      <w:r>
        <w:rPr>
          <w:rFonts w:ascii="方正仿宋_GBK" w:eastAsia="方正仿宋_GBK" w:hAnsi="方正仿宋_GBK" w:cs="方正仿宋_GBK"/>
          <w:sz w:val="32"/>
          <w:szCs w:val="32"/>
          <w:shd w:val="clear" w:color="auto" w:fill="FFFFFF"/>
        </w:rPr>
        <w:t>公用经费</w:t>
      </w:r>
      <w:r>
        <w:rPr>
          <w:rFonts w:ascii="方正仿宋_GBK" w:eastAsia="方正仿宋_GBK" w:hAnsi="方正仿宋_GBK" w:cs="方正仿宋_GBK"/>
          <w:sz w:val="32"/>
          <w:szCs w:val="32"/>
        </w:rPr>
        <w:t>68.21</w:t>
      </w:r>
      <w:r>
        <w:rPr>
          <w:rFonts w:ascii="方正仿宋_GBK" w:eastAsia="方正仿宋_GBK" w:hAnsi="方正仿宋_GBK" w:cs="方正仿宋_GBK"/>
          <w:sz w:val="32"/>
          <w:szCs w:val="32"/>
          <w:shd w:val="clear" w:color="auto" w:fill="FFFFFF"/>
        </w:rPr>
        <w:t>万元，较上年决算数减少0.24万元，下降0.</w:t>
      </w:r>
      <w:r>
        <w:rPr>
          <w:rFonts w:ascii="方正仿宋_GBK" w:eastAsia="方正仿宋_GBK" w:hAnsi="方正仿宋_GBK" w:cs="方正仿宋_GBK" w:hint="default"/>
          <w:sz w:val="32"/>
          <w:szCs w:val="32"/>
          <w:shd w:val="clear" w:color="auto" w:fill="FFFFFF"/>
        </w:rPr>
        <w:t>35</w:t>
      </w:r>
      <w:r>
        <w:rPr>
          <w:rFonts w:ascii="方正仿宋_GBK" w:eastAsia="方正仿宋_GBK" w:hAnsi="方正仿宋_GBK" w:cs="方正仿宋_GBK"/>
          <w:sz w:val="32"/>
          <w:szCs w:val="32"/>
          <w:shd w:val="clear" w:color="auto" w:fill="FFFFFF"/>
        </w:rPr>
        <w:t>%，主要原因是办公费用等支出减少。</w:t>
      </w:r>
      <w:r>
        <w:rPr>
          <w:rFonts w:ascii="方正仿宋_GBK" w:eastAsia="方正仿宋_GBK" w:cs="宋体"/>
          <w:sz w:val="32"/>
          <w:szCs w:val="32"/>
          <w:shd w:val="clear" w:color="auto" w:fill="FFFFFF"/>
        </w:rPr>
        <w:t>公用经费用途主要包括办公费、印刷费、水电费、邮电费、差旅费、公务接待费、公车运行费、福利费、工会经费、其他交通费、其他商品和服务支出等。</w:t>
      </w:r>
    </w:p>
    <w:p w:rsidR="00EE5E22" w:rsidRDefault="008819A8">
      <w:pPr>
        <w:pStyle w:val="a5"/>
        <w:snapToGrid w:val="0"/>
        <w:spacing w:before="0" w:beforeAutospacing="0" w:after="0" w:afterAutospacing="0" w:line="600" w:lineRule="exact"/>
        <w:ind w:firstLineChars="200" w:firstLine="643"/>
        <w:jc w:val="both"/>
        <w:rPr>
          <w:rFonts w:ascii="楷体" w:eastAsia="楷体" w:hAnsi="楷体" w:cs="楷体" w:hint="default"/>
          <w:b/>
          <w:bCs/>
          <w:sz w:val="32"/>
          <w:szCs w:val="32"/>
          <w:shd w:val="clear" w:color="auto" w:fill="FFFFFF"/>
        </w:rPr>
      </w:pPr>
      <w:r>
        <w:rPr>
          <w:rFonts w:ascii="楷体" w:eastAsia="楷体" w:hAnsi="楷体" w:cs="楷体"/>
          <w:b/>
          <w:bCs/>
          <w:sz w:val="32"/>
          <w:szCs w:val="32"/>
          <w:shd w:val="clear" w:color="auto" w:fill="FFFFFF"/>
        </w:rPr>
        <w:t>（五）政府性基金预算收支决算情况说明</w:t>
      </w:r>
    </w:p>
    <w:p w:rsidR="00EE5E22" w:rsidRDefault="008819A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2023年度政府性基金预算财政拨款年初结转结余</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万元，年末结转结余</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万元。本年收入</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万元，较上年决算数减少259.96万元，下降100.0</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%，主要原因是2023年度无政府性基金收入预算财政拨款。本年支出</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万元，较上年决算数减少259.96万元，下降100.0</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%，主要原因是2023年度无政府性基金预算财政拨款支出。</w:t>
      </w:r>
    </w:p>
    <w:p w:rsidR="00EE5E22" w:rsidRDefault="008819A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（六）国有资本经营预算财政拨款支出决算情况说明</w:t>
      </w:r>
    </w:p>
    <w:p w:rsidR="00EE5E22" w:rsidRDefault="008819A8">
      <w:pPr>
        <w:pStyle w:val="a5"/>
        <w:shd w:val="clear" w:color="auto" w:fill="FFFFFF"/>
        <w:ind w:firstLineChars="200" w:firstLine="640"/>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hint="default"/>
          <w:sz w:val="32"/>
          <w:szCs w:val="32"/>
          <w:shd w:val="clear" w:color="auto" w:fill="FFFFFF"/>
        </w:rPr>
        <w:t>2023年度国有资本经营预算财政拨本年支出0.00万元，基本支出0.00万元，项目支出0.00万元，本</w:t>
      </w:r>
      <w:r>
        <w:rPr>
          <w:rFonts w:ascii="方正仿宋_GBK" w:eastAsia="方正仿宋_GBK" w:hAnsi="方正仿宋_GBK" w:cs="方正仿宋_GBK"/>
          <w:sz w:val="32"/>
          <w:szCs w:val="32"/>
          <w:shd w:val="clear" w:color="auto" w:fill="FFFFFF"/>
        </w:rPr>
        <w:t>单位</w:t>
      </w:r>
      <w:r>
        <w:rPr>
          <w:rFonts w:ascii="方正仿宋_GBK" w:eastAsia="方正仿宋_GBK" w:hAnsi="方正仿宋_GBK" w:cs="方正仿宋_GBK" w:hint="default"/>
          <w:sz w:val="32"/>
          <w:szCs w:val="32"/>
          <w:shd w:val="clear" w:color="auto" w:fill="FFFFFF"/>
        </w:rPr>
        <w:t>2023年度无国有资本经营预算财政拨款支出。</w:t>
      </w:r>
    </w:p>
    <w:p w:rsidR="00EE5E22" w:rsidRDefault="008819A8">
      <w:pPr>
        <w:pStyle w:val="a5"/>
        <w:shd w:val="clear" w:color="auto" w:fill="FFFFFF"/>
        <w:rPr>
          <w:rStyle w:val="a7"/>
          <w:rFonts w:ascii="黑体" w:eastAsia="黑体" w:hAnsi="黑体" w:cs="黑体" w:hint="default"/>
          <w:sz w:val="32"/>
          <w:szCs w:val="32"/>
          <w:shd w:val="clear" w:color="auto" w:fill="FFFFFF"/>
        </w:rPr>
      </w:pPr>
      <w:r>
        <w:rPr>
          <w:rStyle w:val="a7"/>
          <w:rFonts w:ascii="黑体" w:eastAsia="黑体" w:hAnsi="黑体" w:cs="黑体"/>
          <w:sz w:val="32"/>
          <w:szCs w:val="32"/>
          <w:shd w:val="clear" w:color="auto" w:fill="FFFFFF"/>
        </w:rPr>
        <w:t>三、“三公”经费情况说明</w:t>
      </w:r>
    </w:p>
    <w:p w:rsidR="00EE5E22" w:rsidRDefault="008819A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（一）“三公”经费支出总体情况说明</w:t>
      </w:r>
    </w:p>
    <w:p w:rsidR="00EE5E22" w:rsidRDefault="008819A8">
      <w:pPr>
        <w:shd w:val="clear" w:color="auto" w:fill="FFFFFF"/>
        <w:spacing w:before="100" w:beforeAutospacing="1" w:after="100" w:afterAutospacing="1" w:line="560" w:lineRule="exact"/>
        <w:ind w:firstLineChars="250" w:firstLine="800"/>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lastRenderedPageBreak/>
        <w:t>2023年度“三公”经费支出共计</w:t>
      </w:r>
      <w:r>
        <w:rPr>
          <w:rFonts w:ascii="方正仿宋_GBK" w:eastAsia="方正仿宋_GBK" w:hAnsi="方正仿宋_GBK" w:cs="方正仿宋_GBK"/>
          <w:sz w:val="32"/>
          <w:szCs w:val="32"/>
        </w:rPr>
        <w:t>8.24</w:t>
      </w:r>
      <w:r>
        <w:rPr>
          <w:rFonts w:ascii="方正仿宋_GBK" w:eastAsia="方正仿宋_GBK" w:hAnsi="方正仿宋_GBK" w:cs="方正仿宋_GBK"/>
          <w:sz w:val="32"/>
          <w:szCs w:val="32"/>
          <w:shd w:val="clear" w:color="auto" w:fill="FFFFFF"/>
        </w:rPr>
        <w:t>万元，较年初预算数减少5.76万元，下降41.1</w:t>
      </w:r>
      <w:r>
        <w:rPr>
          <w:rFonts w:ascii="方正仿宋_GBK" w:eastAsia="方正仿宋_GBK" w:hAnsi="方正仿宋_GBK" w:cs="方正仿宋_GBK" w:hint="default"/>
          <w:sz w:val="32"/>
          <w:szCs w:val="32"/>
          <w:shd w:val="clear" w:color="auto" w:fill="FFFFFF"/>
        </w:rPr>
        <w:t>4</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主要原因是公务接待实际支出数减少。</w:t>
      </w:r>
      <w:r>
        <w:rPr>
          <w:rFonts w:ascii="方正仿宋_GBK" w:eastAsia="方正仿宋_GBK" w:hAnsi="方正仿宋_GBK" w:cs="方正仿宋_GBK"/>
          <w:sz w:val="32"/>
          <w:szCs w:val="32"/>
          <w:shd w:val="clear" w:color="auto" w:fill="FFFFFF"/>
        </w:rPr>
        <w:t>较上年支出数减少1.16万元，下降12.3</w:t>
      </w:r>
      <w:r>
        <w:rPr>
          <w:rFonts w:ascii="方正仿宋_GBK" w:eastAsia="方正仿宋_GBK" w:hAnsi="方正仿宋_GBK" w:cs="方正仿宋_GBK" w:hint="default"/>
          <w:sz w:val="32"/>
          <w:szCs w:val="32"/>
          <w:shd w:val="clear" w:color="auto" w:fill="FFFFFF"/>
        </w:rPr>
        <w:t>4</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主要原因是公务接待减少和公车费用减少。</w:t>
      </w:r>
    </w:p>
    <w:p w:rsidR="00EE5E22" w:rsidRDefault="008819A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（二）“三公”经费分项支出情况</w:t>
      </w:r>
    </w:p>
    <w:p w:rsidR="00EE5E22" w:rsidRDefault="008819A8">
      <w:pPr>
        <w:pStyle w:val="a5"/>
        <w:snapToGrid w:val="0"/>
        <w:spacing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hint="default"/>
          <w:sz w:val="32"/>
          <w:szCs w:val="32"/>
          <w:shd w:val="clear" w:color="auto" w:fill="FFFFFF"/>
        </w:rPr>
        <w:t>2023年度本部门因公出国（境）费用0.00万元。费用支出较年初预算数无增减，主要原因是年初预算数未安排因公出国（境）费用，也未发生因公出国（境）费用。较上年支出数无增减，主要原因是上年和本年均未发生因公出国（境）费用。</w:t>
      </w:r>
    </w:p>
    <w:p w:rsidR="00EE5E22" w:rsidRDefault="008819A8">
      <w:pPr>
        <w:pStyle w:val="a5"/>
        <w:snapToGrid w:val="0"/>
        <w:spacing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公务车购置费</w:t>
      </w:r>
      <w:r>
        <w:rPr>
          <w:rFonts w:ascii="方正仿宋_GBK" w:eastAsia="方正仿宋_GBK" w:hAnsi="方正仿宋_GBK" w:cs="方正仿宋_GBK" w:hint="default"/>
          <w:sz w:val="32"/>
          <w:szCs w:val="32"/>
          <w:shd w:val="clear" w:color="auto" w:fill="FFFFFF"/>
        </w:rPr>
        <w:t>0.00万元。费用支出较年初预算数无增减，主要原因是年初预算数未安排公务车购置费用。较上年支出数无增减，主要原因是上年和本年均未发生公务车购置费用。</w:t>
      </w:r>
    </w:p>
    <w:p w:rsidR="00EE5E22" w:rsidRDefault="008819A8">
      <w:pPr>
        <w:pStyle w:val="a5"/>
        <w:snapToGrid w:val="0"/>
        <w:spacing w:before="0" w:beforeAutospacing="0" w:after="0" w:afterAutospacing="0" w:line="600" w:lineRule="exact"/>
        <w:ind w:firstLineChars="50" w:firstLine="16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  公务车运行维护费</w:t>
      </w:r>
      <w:r>
        <w:rPr>
          <w:rFonts w:ascii="方正仿宋_GBK" w:eastAsia="方正仿宋_GBK" w:hAnsi="方正仿宋_GBK" w:cs="方正仿宋_GBK"/>
          <w:sz w:val="32"/>
          <w:szCs w:val="32"/>
        </w:rPr>
        <w:t>4.46</w:t>
      </w:r>
      <w:r>
        <w:rPr>
          <w:rFonts w:ascii="方正仿宋_GBK" w:eastAsia="方正仿宋_GBK" w:hAnsi="方正仿宋_GBK" w:cs="方正仿宋_GBK"/>
          <w:sz w:val="32"/>
          <w:szCs w:val="32"/>
          <w:shd w:val="clear" w:color="auto" w:fill="FFFFFF"/>
        </w:rPr>
        <w:t>万元，</w:t>
      </w:r>
      <w:r>
        <w:rPr>
          <w:rFonts w:ascii="方正仿宋_GBK" w:eastAsia="方正仿宋_GBK" w:cs="宋体"/>
          <w:sz w:val="32"/>
          <w:szCs w:val="32"/>
          <w:shd w:val="clear" w:color="auto" w:fill="FFFFFF"/>
        </w:rPr>
        <w:t>主要用于机要文件交换、市内因公出行、县内业务检查等工作所需车辆的燃料费、维修费、过路过桥费、保险费等。</w:t>
      </w:r>
      <w:r>
        <w:rPr>
          <w:rFonts w:ascii="方正仿宋_GBK" w:eastAsia="方正仿宋_GBK" w:hAnsi="方正仿宋_GBK" w:cs="方正仿宋_GBK"/>
          <w:sz w:val="32"/>
          <w:szCs w:val="32"/>
          <w:shd w:val="clear" w:color="auto" w:fill="FFFFFF"/>
        </w:rPr>
        <w:t>费用支出较年初预算数减少0.54万元，下降10.8</w:t>
      </w:r>
      <w:r>
        <w:rPr>
          <w:rFonts w:ascii="方正仿宋_GBK" w:eastAsia="方正仿宋_GBK" w:hAnsi="方正仿宋_GBK" w:cs="方正仿宋_GBK" w:hint="default"/>
          <w:sz w:val="32"/>
          <w:szCs w:val="32"/>
          <w:shd w:val="clear" w:color="auto" w:fill="FFFFFF"/>
        </w:rPr>
        <w:t>0</w:t>
      </w:r>
      <w:r>
        <w:rPr>
          <w:rFonts w:ascii="方正仿宋_GBK" w:eastAsia="方正仿宋_GBK" w:hAnsi="方正仿宋_GBK" w:cs="方正仿宋_GBK"/>
          <w:sz w:val="32"/>
          <w:szCs w:val="32"/>
          <w:shd w:val="clear" w:color="auto" w:fill="FFFFFF"/>
        </w:rPr>
        <w:t>%，主要原因是公务车运行燃油费、维修费等减少。较上年支出数减少1.40万元，下降23.</w:t>
      </w:r>
      <w:r>
        <w:rPr>
          <w:rFonts w:ascii="方正仿宋_GBK" w:eastAsia="方正仿宋_GBK" w:hAnsi="方正仿宋_GBK" w:cs="方正仿宋_GBK" w:hint="default"/>
          <w:sz w:val="32"/>
          <w:szCs w:val="32"/>
          <w:shd w:val="clear" w:color="auto" w:fill="FFFFFF"/>
        </w:rPr>
        <w:t>89</w:t>
      </w:r>
      <w:r>
        <w:rPr>
          <w:rFonts w:ascii="方正仿宋_GBK" w:eastAsia="方正仿宋_GBK" w:hAnsi="方正仿宋_GBK" w:cs="方正仿宋_GBK"/>
          <w:sz w:val="32"/>
          <w:szCs w:val="32"/>
          <w:shd w:val="clear" w:color="auto" w:fill="FFFFFF"/>
        </w:rPr>
        <w:t>%，主要原因是公务车运行燃油费、维修费等支出减少。</w:t>
      </w:r>
    </w:p>
    <w:p w:rsidR="00EE5E22" w:rsidRDefault="008819A8">
      <w:pPr>
        <w:pStyle w:val="a5"/>
        <w:snapToGrid w:val="0"/>
        <w:spacing w:before="0" w:beforeAutospacing="0" w:after="0" w:afterAutospacing="0" w:line="600" w:lineRule="exact"/>
        <w:ind w:firstLineChars="200" w:firstLine="640"/>
        <w:jc w:val="both"/>
        <w:rPr>
          <w:rFonts w:ascii="方正仿宋_GBK" w:eastAsia="方正仿宋_GBK" w:cs="宋体" w:hint="default"/>
          <w:sz w:val="32"/>
          <w:szCs w:val="32"/>
          <w:shd w:val="clear" w:color="auto" w:fill="FFFFFF"/>
        </w:rPr>
      </w:pPr>
      <w:r>
        <w:rPr>
          <w:rFonts w:ascii="方正仿宋_GBK" w:eastAsia="方正仿宋_GBK" w:hAnsi="方正仿宋_GBK" w:cs="方正仿宋_GBK"/>
          <w:sz w:val="32"/>
          <w:szCs w:val="32"/>
          <w:shd w:val="clear" w:color="auto" w:fill="FFFFFF"/>
        </w:rPr>
        <w:lastRenderedPageBreak/>
        <w:t>公务接待费</w:t>
      </w:r>
      <w:r>
        <w:rPr>
          <w:rFonts w:ascii="方正仿宋_GBK" w:eastAsia="方正仿宋_GBK" w:hAnsi="方正仿宋_GBK" w:cs="方正仿宋_GBK"/>
          <w:sz w:val="32"/>
          <w:szCs w:val="32"/>
        </w:rPr>
        <w:t>3.79</w:t>
      </w:r>
      <w:r>
        <w:rPr>
          <w:rFonts w:ascii="方正仿宋_GBK" w:eastAsia="方正仿宋_GBK" w:hAnsi="方正仿宋_GBK" w:cs="方正仿宋_GBK"/>
          <w:sz w:val="32"/>
          <w:szCs w:val="32"/>
          <w:shd w:val="clear" w:color="auto" w:fill="FFFFFF"/>
        </w:rPr>
        <w:t>万元，</w:t>
      </w:r>
      <w:r>
        <w:rPr>
          <w:rFonts w:ascii="方正仿宋_GBK" w:eastAsia="方正仿宋_GBK" w:cs="宋体"/>
          <w:sz w:val="32"/>
          <w:szCs w:val="32"/>
          <w:shd w:val="clear" w:color="auto" w:fill="FFFFFF"/>
        </w:rPr>
        <w:t>主要用于接待国内相关单位到我单位学习调研、招商引资工作，接受相关部门检查指导工作发生的接待费用。</w:t>
      </w:r>
      <w:r>
        <w:rPr>
          <w:rFonts w:ascii="方正仿宋_GBK" w:eastAsia="方正仿宋_GBK" w:hAnsi="方正仿宋_GBK" w:cs="方正仿宋_GBK"/>
          <w:sz w:val="32"/>
          <w:szCs w:val="32"/>
          <w:shd w:val="clear" w:color="auto" w:fill="FFFFFF"/>
        </w:rPr>
        <w:t>费用支出较年初预算数减少5.21万元，下降57.</w:t>
      </w:r>
      <w:r>
        <w:rPr>
          <w:rFonts w:ascii="方正仿宋_GBK" w:eastAsia="方正仿宋_GBK" w:hAnsi="方正仿宋_GBK" w:cs="方正仿宋_GBK" w:hint="default"/>
          <w:sz w:val="32"/>
          <w:szCs w:val="32"/>
          <w:shd w:val="clear" w:color="auto" w:fill="FFFFFF"/>
        </w:rPr>
        <w:t>8</w:t>
      </w:r>
      <w:r>
        <w:rPr>
          <w:rFonts w:ascii="方正仿宋_GBK" w:eastAsia="方正仿宋_GBK" w:hAnsi="方正仿宋_GBK" w:cs="方正仿宋_GBK"/>
          <w:sz w:val="32"/>
          <w:szCs w:val="32"/>
          <w:shd w:val="clear" w:color="auto" w:fill="FFFFFF"/>
        </w:rPr>
        <w:t>9%，</w:t>
      </w:r>
      <w:r>
        <w:rPr>
          <w:rFonts w:ascii="方正仿宋_GBK" w:eastAsia="方正仿宋_GBK" w:cs="宋体"/>
          <w:sz w:val="32"/>
          <w:szCs w:val="32"/>
          <w:shd w:val="clear" w:color="auto" w:fill="FFFFFF"/>
        </w:rPr>
        <w:t>主要原因是公务接待比预算数减少。</w:t>
      </w:r>
      <w:r>
        <w:rPr>
          <w:rFonts w:ascii="方正仿宋_GBK" w:eastAsia="方正仿宋_GBK" w:hAnsi="方正仿宋_GBK" w:cs="方正仿宋_GBK"/>
          <w:sz w:val="32"/>
          <w:szCs w:val="32"/>
          <w:shd w:val="clear" w:color="auto" w:fill="FFFFFF"/>
        </w:rPr>
        <w:t>较上年支出数增加0.25万元，增长7.</w:t>
      </w:r>
      <w:r>
        <w:rPr>
          <w:rFonts w:ascii="方正仿宋_GBK" w:eastAsia="方正仿宋_GBK" w:hAnsi="方正仿宋_GBK" w:cs="方正仿宋_GBK" w:hint="default"/>
          <w:sz w:val="32"/>
          <w:szCs w:val="32"/>
          <w:shd w:val="clear" w:color="auto" w:fill="FFFFFF"/>
        </w:rPr>
        <w:t>06</w:t>
      </w:r>
      <w:r>
        <w:rPr>
          <w:rFonts w:ascii="方正仿宋_GBK" w:eastAsia="方正仿宋_GBK" w:hAnsi="方正仿宋_GBK" w:cs="方正仿宋_GBK"/>
          <w:sz w:val="32"/>
          <w:szCs w:val="32"/>
          <w:shd w:val="clear" w:color="auto" w:fill="FFFFFF"/>
        </w:rPr>
        <w:t>%，主要原因是</w:t>
      </w:r>
      <w:r>
        <w:rPr>
          <w:rFonts w:ascii="方正仿宋_GBK" w:eastAsia="方正仿宋_GBK" w:cs="宋体"/>
          <w:sz w:val="32"/>
          <w:szCs w:val="32"/>
          <w:shd w:val="clear" w:color="auto" w:fill="FFFFFF"/>
        </w:rPr>
        <w:t>接待国内相关单位到我单位学习调研、招商引资工作，接受相关部门检查指导工作发生的接待费用增加。</w:t>
      </w:r>
    </w:p>
    <w:p w:rsidR="00EE5E22" w:rsidRDefault="008819A8">
      <w:pPr>
        <w:pStyle w:val="a5"/>
        <w:snapToGrid w:val="0"/>
        <w:spacing w:before="0" w:beforeAutospacing="0" w:after="0" w:afterAutospacing="0" w:line="600" w:lineRule="exact"/>
        <w:ind w:firstLineChars="150" w:firstLine="482"/>
        <w:jc w:val="both"/>
        <w:rPr>
          <w:rFonts w:ascii="楷体" w:eastAsia="楷体" w:hAnsi="楷体" w:cs="楷体" w:hint="default"/>
          <w:b/>
          <w:bCs/>
          <w:sz w:val="32"/>
          <w:szCs w:val="32"/>
          <w:shd w:val="clear" w:color="auto" w:fill="FFFFFF"/>
        </w:rPr>
      </w:pPr>
      <w:r>
        <w:rPr>
          <w:rFonts w:ascii="楷体" w:eastAsia="楷体" w:hAnsi="楷体" w:cs="楷体"/>
          <w:b/>
          <w:bCs/>
          <w:sz w:val="32"/>
          <w:szCs w:val="32"/>
          <w:shd w:val="clear" w:color="auto" w:fill="FFFFFF"/>
        </w:rPr>
        <w:t>（三）“三公”经费实物量情况</w:t>
      </w:r>
    </w:p>
    <w:p w:rsidR="00EE5E22" w:rsidRDefault="008819A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2023年度本部门因公出国（境）共计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个团组，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人；公务用车购置</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辆，公务车保有量为</w:t>
      </w:r>
      <w:r>
        <w:rPr>
          <w:rFonts w:ascii="方正仿宋_GBK" w:eastAsia="方正仿宋_GBK" w:hAnsi="方正仿宋_GBK" w:cs="方正仿宋_GBK"/>
          <w:sz w:val="32"/>
          <w:szCs w:val="32"/>
        </w:rPr>
        <w:t>1</w:t>
      </w:r>
      <w:r>
        <w:rPr>
          <w:rFonts w:ascii="方正仿宋_GBK" w:eastAsia="方正仿宋_GBK" w:hAnsi="方正仿宋_GBK" w:cs="方正仿宋_GBK"/>
          <w:sz w:val="32"/>
          <w:szCs w:val="32"/>
          <w:shd w:val="clear" w:color="auto" w:fill="FFFFFF"/>
        </w:rPr>
        <w:t>辆；国内公务接待</w:t>
      </w:r>
      <w:r>
        <w:rPr>
          <w:rFonts w:ascii="方正仿宋_GBK" w:eastAsia="方正仿宋_GBK" w:hAnsi="方正仿宋_GBK" w:cs="方正仿宋_GBK"/>
          <w:sz w:val="32"/>
          <w:szCs w:val="32"/>
        </w:rPr>
        <w:t>85</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408</w:t>
      </w:r>
      <w:r>
        <w:rPr>
          <w:rFonts w:ascii="方正仿宋_GBK" w:eastAsia="方正仿宋_GBK" w:hAnsi="方正仿宋_GBK" w:cs="方正仿宋_GBK"/>
          <w:sz w:val="32"/>
          <w:szCs w:val="32"/>
          <w:shd w:val="clear" w:color="auto" w:fill="FFFFFF"/>
        </w:rPr>
        <w:t>人，其中：国内外事接待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人；国（境）外公务接待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人。2023年本部门人均接待费</w:t>
      </w:r>
      <w:r>
        <w:rPr>
          <w:rFonts w:ascii="方正仿宋_GBK" w:eastAsia="方正仿宋_GBK" w:hAnsi="方正仿宋_GBK" w:cs="方正仿宋_GBK"/>
          <w:sz w:val="32"/>
          <w:szCs w:val="32"/>
        </w:rPr>
        <w:t>92.83</w:t>
      </w:r>
      <w:r>
        <w:rPr>
          <w:rFonts w:ascii="方正仿宋_GBK" w:eastAsia="方正仿宋_GBK" w:hAnsi="方正仿宋_GBK" w:cs="方正仿宋_GBK"/>
          <w:sz w:val="32"/>
          <w:szCs w:val="32"/>
          <w:shd w:val="clear" w:color="auto" w:fill="FFFFFF"/>
        </w:rPr>
        <w:t>元，车均购置费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万元，车均维护费</w:t>
      </w:r>
      <w:r>
        <w:rPr>
          <w:rFonts w:ascii="方正仿宋_GBK" w:eastAsia="方正仿宋_GBK" w:hAnsi="方正仿宋_GBK" w:cs="方正仿宋_GBK"/>
          <w:sz w:val="32"/>
          <w:szCs w:val="32"/>
        </w:rPr>
        <w:t>4.46</w:t>
      </w:r>
      <w:r>
        <w:rPr>
          <w:rFonts w:ascii="方正仿宋_GBK" w:eastAsia="方正仿宋_GBK" w:hAnsi="方正仿宋_GBK" w:cs="方正仿宋_GBK"/>
          <w:sz w:val="32"/>
          <w:szCs w:val="32"/>
          <w:shd w:val="clear" w:color="auto" w:fill="FFFFFF"/>
        </w:rPr>
        <w:t>万元。</w:t>
      </w:r>
    </w:p>
    <w:p w:rsidR="00EE5E22" w:rsidRDefault="008819A8">
      <w:pPr>
        <w:pStyle w:val="a5"/>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黑体" w:eastAsia="黑体" w:hAnsi="黑体" w:cs="黑体"/>
          <w:sz w:val="32"/>
          <w:szCs w:val="32"/>
          <w:shd w:val="clear" w:color="auto" w:fill="FFFFFF"/>
        </w:rPr>
        <w:t>四、其他需要说明的事项</w:t>
      </w:r>
    </w:p>
    <w:p w:rsidR="00EE5E22" w:rsidRDefault="008819A8">
      <w:pPr>
        <w:pStyle w:val="1"/>
        <w:autoSpaceDE w:val="0"/>
        <w:ind w:firstLineChars="130" w:firstLine="418"/>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（一）财政拨款会议费和培训费情况说明</w:t>
      </w:r>
    </w:p>
    <w:p w:rsidR="00EE5E22" w:rsidRDefault="008819A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本年度会议费支出</w:t>
      </w:r>
      <w:r>
        <w:rPr>
          <w:rFonts w:ascii="方正仿宋_GBK" w:eastAsia="方正仿宋_GBK" w:hAnsi="方正仿宋_GBK" w:cs="方正仿宋_GBK"/>
          <w:sz w:val="32"/>
          <w:szCs w:val="32"/>
        </w:rPr>
        <w:t>1.75</w:t>
      </w:r>
      <w:r>
        <w:rPr>
          <w:rFonts w:ascii="方正仿宋_GBK" w:eastAsia="方正仿宋_GBK" w:hAnsi="方正仿宋_GBK" w:cs="方正仿宋_GBK"/>
          <w:sz w:val="32"/>
          <w:szCs w:val="32"/>
          <w:shd w:val="clear" w:color="auto" w:fill="FFFFFF"/>
        </w:rPr>
        <w:t>万元，较上年决算数减少0.87万元，下降33.2</w:t>
      </w:r>
      <w:r>
        <w:rPr>
          <w:rFonts w:ascii="方正仿宋_GBK" w:eastAsia="方正仿宋_GBK" w:hAnsi="方正仿宋_GBK" w:cs="方正仿宋_GBK" w:hint="default"/>
          <w:sz w:val="32"/>
          <w:szCs w:val="32"/>
          <w:shd w:val="clear" w:color="auto" w:fill="FFFFFF"/>
        </w:rPr>
        <w:t>1</w:t>
      </w:r>
      <w:r>
        <w:rPr>
          <w:rFonts w:ascii="方正仿宋_GBK" w:eastAsia="方正仿宋_GBK" w:hAnsi="方正仿宋_GBK" w:cs="方正仿宋_GBK"/>
          <w:sz w:val="32"/>
          <w:szCs w:val="32"/>
          <w:shd w:val="clear" w:color="auto" w:fill="FFFFFF"/>
        </w:rPr>
        <w:t>%，</w:t>
      </w:r>
      <w:r>
        <w:rPr>
          <w:rFonts w:ascii="方正仿宋_GBK" w:eastAsia="方正仿宋_GBK" w:cs="宋体"/>
          <w:sz w:val="32"/>
          <w:szCs w:val="32"/>
          <w:shd w:val="clear" w:color="auto" w:fill="FFFFFF"/>
        </w:rPr>
        <w:t>主要原因是电子商务项目会议和涉外企业会议费用减少。</w:t>
      </w:r>
      <w:r>
        <w:rPr>
          <w:rFonts w:ascii="方正仿宋_GBK" w:eastAsia="方正仿宋_GBK" w:hAnsi="方正仿宋_GBK" w:cs="方正仿宋_GBK"/>
          <w:sz w:val="32"/>
          <w:szCs w:val="32"/>
          <w:shd w:val="clear" w:color="auto" w:fill="FFFFFF"/>
        </w:rPr>
        <w:t>本年度培训费支出</w:t>
      </w:r>
      <w:r>
        <w:rPr>
          <w:rFonts w:ascii="方正仿宋_GBK" w:eastAsia="方正仿宋_GBK" w:hAnsi="方正仿宋_GBK" w:cs="方正仿宋_GBK"/>
          <w:sz w:val="32"/>
          <w:szCs w:val="32"/>
        </w:rPr>
        <w:t>0.16</w:t>
      </w:r>
      <w:r>
        <w:rPr>
          <w:rFonts w:ascii="方正仿宋_GBK" w:eastAsia="方正仿宋_GBK" w:hAnsi="方正仿宋_GBK" w:cs="方正仿宋_GBK"/>
          <w:sz w:val="32"/>
          <w:szCs w:val="32"/>
          <w:shd w:val="clear" w:color="auto" w:fill="FFFFFF"/>
        </w:rPr>
        <w:t>万元，较上年决算数减少0.79万元，下降83.</w:t>
      </w:r>
      <w:r>
        <w:rPr>
          <w:rFonts w:ascii="方正仿宋_GBK" w:eastAsia="方正仿宋_GBK" w:hAnsi="方正仿宋_GBK" w:cs="方正仿宋_GBK" w:hint="default"/>
          <w:sz w:val="32"/>
          <w:szCs w:val="32"/>
          <w:shd w:val="clear" w:color="auto" w:fill="FFFFFF"/>
        </w:rPr>
        <w:t>16</w:t>
      </w:r>
      <w:r>
        <w:rPr>
          <w:rFonts w:ascii="方正仿宋_GBK" w:eastAsia="方正仿宋_GBK" w:hAnsi="方正仿宋_GBK" w:cs="方正仿宋_GBK"/>
          <w:sz w:val="32"/>
          <w:szCs w:val="32"/>
          <w:shd w:val="clear" w:color="auto" w:fill="FFFFFF"/>
        </w:rPr>
        <w:t>%，主要原因是职工培训人次减少。</w:t>
      </w:r>
    </w:p>
    <w:p w:rsidR="00EE5E22" w:rsidRDefault="008819A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（二）机关运行经费情况说明</w:t>
      </w:r>
    </w:p>
    <w:p w:rsidR="00EE5E22" w:rsidRDefault="008819A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lastRenderedPageBreak/>
        <w:t>2023年度本部门机关运行经费支出</w:t>
      </w:r>
      <w:r>
        <w:rPr>
          <w:rFonts w:ascii="方正仿宋_GBK" w:eastAsia="方正仿宋_GBK" w:hAnsi="方正仿宋_GBK" w:cs="方正仿宋_GBK"/>
          <w:sz w:val="32"/>
          <w:szCs w:val="32"/>
        </w:rPr>
        <w:t>68.21</w:t>
      </w:r>
      <w:r>
        <w:rPr>
          <w:rFonts w:ascii="方正仿宋_GBK" w:eastAsia="方正仿宋_GBK" w:hAnsi="方正仿宋_GBK" w:cs="方正仿宋_GBK"/>
          <w:sz w:val="32"/>
          <w:szCs w:val="32"/>
          <w:shd w:val="clear" w:color="auto" w:fill="FFFFFF"/>
        </w:rPr>
        <w:t>万元，</w:t>
      </w:r>
      <w:r>
        <w:rPr>
          <w:rFonts w:ascii="方正仿宋_GBK" w:eastAsia="方正仿宋_GBK" w:cs="宋体"/>
          <w:sz w:val="32"/>
          <w:szCs w:val="32"/>
          <w:shd w:val="clear" w:color="auto" w:fill="FFFFFF"/>
        </w:rPr>
        <w:t>机关运行经费主要用于开支办公费、印刷费、水电费、邮电费、差旅费、会议费、培训费、福利费、工会经费、公务接待费、公车运行费、其他交通费、其他商品和服务支出等。</w:t>
      </w:r>
      <w:r>
        <w:rPr>
          <w:rFonts w:ascii="方正仿宋_GBK" w:eastAsia="方正仿宋_GBK" w:hAnsi="方正仿宋_GBK" w:cs="方正仿宋_GBK"/>
          <w:sz w:val="32"/>
          <w:szCs w:val="32"/>
          <w:shd w:val="clear" w:color="auto" w:fill="FFFFFF"/>
        </w:rPr>
        <w:t>机关运行经费较上年支出数减少0.24万元，下降0.</w:t>
      </w:r>
      <w:r>
        <w:rPr>
          <w:rFonts w:ascii="方正仿宋_GBK" w:eastAsia="方正仿宋_GBK" w:hAnsi="方正仿宋_GBK" w:cs="方正仿宋_GBK" w:hint="default"/>
          <w:sz w:val="32"/>
          <w:szCs w:val="32"/>
          <w:shd w:val="clear" w:color="auto" w:fill="FFFFFF"/>
        </w:rPr>
        <w:t>35</w:t>
      </w:r>
      <w:r>
        <w:rPr>
          <w:rFonts w:ascii="方正仿宋_GBK" w:eastAsia="方正仿宋_GBK" w:hAnsi="方正仿宋_GBK" w:cs="方正仿宋_GBK"/>
          <w:sz w:val="32"/>
          <w:szCs w:val="32"/>
          <w:shd w:val="clear" w:color="auto" w:fill="FFFFFF"/>
        </w:rPr>
        <w:t>%，主要原因是办公费用等减少。</w:t>
      </w:r>
    </w:p>
    <w:p w:rsidR="00EE5E22" w:rsidRDefault="008819A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（三）国有资产占用情况说明</w:t>
      </w:r>
    </w:p>
    <w:p w:rsidR="00EE5E22" w:rsidRDefault="008819A8">
      <w:pPr>
        <w:pStyle w:val="a5"/>
        <w:snapToGrid w:val="0"/>
        <w:spacing w:before="0" w:beforeAutospacing="0" w:after="0" w:afterAutospacing="0" w:line="600" w:lineRule="exact"/>
        <w:ind w:firstLineChars="250" w:firstLine="80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截至2023年12月31日，本部门共有车辆</w:t>
      </w:r>
      <w:r>
        <w:rPr>
          <w:rFonts w:ascii="方正仿宋_GBK" w:eastAsia="方正仿宋_GBK" w:hAnsi="方正仿宋_GBK" w:cs="方正仿宋_GBK"/>
          <w:sz w:val="32"/>
          <w:szCs w:val="32"/>
        </w:rPr>
        <w:t>1</w:t>
      </w:r>
      <w:r>
        <w:rPr>
          <w:rFonts w:ascii="方正仿宋_GBK" w:eastAsia="方正仿宋_GBK" w:hAnsi="方正仿宋_GBK" w:cs="方正仿宋_GBK"/>
          <w:sz w:val="32"/>
          <w:szCs w:val="32"/>
          <w:shd w:val="clear" w:color="auto" w:fill="FFFFFF"/>
        </w:rPr>
        <w:t>辆，其中，副部（省）级及以上领导用车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辆、主要负责人用车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辆、机要通信用车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辆、应急保障用车</w:t>
      </w:r>
      <w:r>
        <w:rPr>
          <w:rFonts w:ascii="方正仿宋_GBK" w:eastAsia="方正仿宋_GBK" w:hAnsi="方正仿宋_GBK" w:cs="方正仿宋_GBK"/>
          <w:sz w:val="32"/>
          <w:szCs w:val="32"/>
        </w:rPr>
        <w:t>1</w:t>
      </w:r>
      <w:r>
        <w:rPr>
          <w:rFonts w:ascii="方正仿宋_GBK" w:eastAsia="方正仿宋_GBK" w:hAnsi="方正仿宋_GBK" w:cs="方正仿宋_GBK"/>
          <w:sz w:val="32"/>
          <w:szCs w:val="32"/>
          <w:shd w:val="clear" w:color="auto" w:fill="FFFFFF"/>
        </w:rPr>
        <w:t>辆、执法执勤用车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辆，特种专业技术用车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辆，离退休干部用车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辆。单价100万元（含）以上专用设备</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台（套）。</w:t>
      </w:r>
    </w:p>
    <w:p w:rsidR="00EE5E22" w:rsidRDefault="008819A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（四）政府采购支出情况说明</w:t>
      </w:r>
    </w:p>
    <w:p w:rsidR="00EE5E22" w:rsidRDefault="008819A8">
      <w:pPr>
        <w:pStyle w:val="a5"/>
        <w:snapToGrid w:val="0"/>
        <w:spacing w:before="0" w:beforeAutospacing="0" w:after="0" w:afterAutospacing="0" w:line="600" w:lineRule="exact"/>
        <w:ind w:firstLineChars="250" w:firstLine="800"/>
        <w:jc w:val="both"/>
        <w:rPr>
          <w:rFonts w:ascii="方正仿宋_GBK" w:eastAsia="方正仿宋_GBK" w:hAnsi="方正仿宋_GBK" w:cs="方正仿宋_GBK" w:hint="default"/>
          <w:color w:val="FF0000"/>
          <w:sz w:val="32"/>
          <w:szCs w:val="32"/>
          <w:shd w:val="clear" w:color="auto" w:fill="FFFFFF"/>
        </w:rPr>
      </w:pPr>
      <w:r>
        <w:rPr>
          <w:rFonts w:ascii="方正仿宋_GBK" w:eastAsia="方正仿宋_GBK" w:hAnsi="方正仿宋_GBK" w:cs="方正仿宋_GBK"/>
          <w:sz w:val="32"/>
          <w:szCs w:val="32"/>
          <w:shd w:val="clear" w:color="auto" w:fill="FFFFFF"/>
        </w:rPr>
        <w:t>2023年度本部门政府采购支出总额</w:t>
      </w:r>
      <w:r>
        <w:rPr>
          <w:rFonts w:ascii="方正仿宋_GBK" w:eastAsia="方正仿宋_GBK" w:hAnsi="方正仿宋_GBK" w:cs="方正仿宋_GBK"/>
          <w:sz w:val="32"/>
          <w:szCs w:val="32"/>
        </w:rPr>
        <w:t>182.8</w:t>
      </w:r>
      <w:r>
        <w:rPr>
          <w:rFonts w:ascii="方正仿宋_GBK" w:eastAsia="方正仿宋_GBK" w:hAnsi="方正仿宋_GBK" w:cs="方正仿宋_GBK" w:hint="default"/>
          <w:sz w:val="32"/>
          <w:szCs w:val="32"/>
        </w:rPr>
        <w:t>0</w:t>
      </w:r>
      <w:r>
        <w:rPr>
          <w:rFonts w:ascii="方正仿宋_GBK" w:eastAsia="方正仿宋_GBK" w:hAnsi="方正仿宋_GBK" w:cs="方正仿宋_GBK"/>
          <w:sz w:val="32"/>
          <w:szCs w:val="32"/>
          <w:shd w:val="clear" w:color="auto" w:fill="FFFFFF"/>
        </w:rPr>
        <w:t>万元，其中：政府采购货物支出</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万元、政府采购工程支出</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万元、政府采购服务支出</w:t>
      </w:r>
      <w:r>
        <w:rPr>
          <w:rFonts w:ascii="方正仿宋_GBK" w:eastAsia="方正仿宋_GBK" w:hAnsi="方正仿宋_GBK" w:cs="方正仿宋_GBK"/>
          <w:sz w:val="32"/>
          <w:szCs w:val="32"/>
        </w:rPr>
        <w:t>182.8</w:t>
      </w:r>
      <w:r>
        <w:rPr>
          <w:rFonts w:ascii="方正仿宋_GBK" w:eastAsia="方正仿宋_GBK" w:hAnsi="方正仿宋_GBK" w:cs="方正仿宋_GBK" w:hint="default"/>
          <w:sz w:val="32"/>
          <w:szCs w:val="32"/>
        </w:rPr>
        <w:t>0</w:t>
      </w:r>
      <w:r>
        <w:rPr>
          <w:rFonts w:ascii="方正仿宋_GBK" w:eastAsia="方正仿宋_GBK" w:hAnsi="方正仿宋_GBK" w:cs="方正仿宋_GBK"/>
          <w:sz w:val="32"/>
          <w:szCs w:val="32"/>
          <w:shd w:val="clear" w:color="auto" w:fill="FFFFFF"/>
        </w:rPr>
        <w:t>万元。授予中小企业合同金额</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rPr>
        <w:t>万</w:t>
      </w:r>
      <w:r>
        <w:rPr>
          <w:rFonts w:ascii="方正仿宋_GBK" w:eastAsia="方正仿宋_GBK" w:hAnsi="方正仿宋_GBK" w:cs="方正仿宋_GBK"/>
          <w:sz w:val="32"/>
          <w:szCs w:val="32"/>
          <w:shd w:val="clear" w:color="auto" w:fill="FFFFFF"/>
        </w:rPr>
        <w:t>元，占政府采购支出总额的</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%，其中：授予小微企业合同金额</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万元，占政府采购支出总额的</w:t>
      </w:r>
      <w:r>
        <w:rPr>
          <w:rFonts w:ascii="方正仿宋_GBK" w:eastAsia="方正仿宋_GBK" w:hAnsi="方正仿宋_GBK" w:cs="方正仿宋_GBK"/>
          <w:sz w:val="32"/>
          <w:szCs w:val="32"/>
        </w:rPr>
        <w:t>0</w:t>
      </w:r>
      <w:r>
        <w:rPr>
          <w:rFonts w:ascii="方正仿宋_GBK" w:eastAsia="方正仿宋_GBK" w:hAnsi="方正仿宋_GBK" w:cs="方正仿宋_GBK" w:hint="default"/>
          <w:sz w:val="32"/>
          <w:szCs w:val="32"/>
        </w:rPr>
        <w:t>.00</w:t>
      </w:r>
      <w:r>
        <w:rPr>
          <w:rFonts w:ascii="方正仿宋_GBK" w:eastAsia="方正仿宋_GBK" w:hAnsi="方正仿宋_GBK" w:cs="方正仿宋_GBK"/>
          <w:sz w:val="32"/>
          <w:szCs w:val="32"/>
          <w:shd w:val="clear" w:color="auto" w:fill="FFFFFF"/>
        </w:rPr>
        <w:t xml:space="preserve"> %。主要用于采购2023年中国（垫江）石磨豆花美食文化节服务支出。</w:t>
      </w:r>
    </w:p>
    <w:p w:rsidR="00EE5E22" w:rsidRDefault="008819A8">
      <w:pPr>
        <w:pStyle w:val="a5"/>
        <w:numPr>
          <w:ilvl w:val="0"/>
          <w:numId w:val="1"/>
        </w:numPr>
        <w:shd w:val="clear" w:color="auto" w:fill="FFFFFF"/>
        <w:rPr>
          <w:rStyle w:val="a7"/>
          <w:rFonts w:ascii="黑体" w:eastAsia="黑体" w:hAnsi="黑体" w:cs="黑体" w:hint="default"/>
          <w:sz w:val="32"/>
          <w:szCs w:val="32"/>
          <w:shd w:val="clear" w:color="auto" w:fill="FFFFFF"/>
        </w:rPr>
      </w:pPr>
      <w:r>
        <w:rPr>
          <w:rStyle w:val="a7"/>
          <w:rFonts w:ascii="黑体" w:eastAsia="黑体" w:hAnsi="黑体" w:cs="黑体"/>
          <w:sz w:val="32"/>
          <w:szCs w:val="32"/>
          <w:shd w:val="clear" w:color="auto" w:fill="FFFFFF"/>
        </w:rPr>
        <w:t>预算绩效管理情况说明</w:t>
      </w:r>
    </w:p>
    <w:p w:rsidR="00EE5E22" w:rsidRDefault="008819A8">
      <w:pPr>
        <w:pStyle w:val="1"/>
        <w:autoSpaceDE w:val="0"/>
        <w:ind w:firstLine="643"/>
        <w:rPr>
          <w:rFonts w:ascii="楷体" w:eastAsia="楷体" w:hAnsi="楷体" w:cs="楷体"/>
          <w:b/>
          <w:bCs/>
          <w:sz w:val="32"/>
          <w:szCs w:val="32"/>
          <w:shd w:val="clear" w:color="auto" w:fill="FFFFFF"/>
        </w:rPr>
      </w:pPr>
      <w:r>
        <w:rPr>
          <w:rFonts w:ascii="楷体" w:eastAsia="楷体" w:hAnsi="楷体" w:cs="楷体" w:hint="eastAsia"/>
          <w:b/>
          <w:bCs/>
          <w:sz w:val="32"/>
          <w:szCs w:val="32"/>
          <w:shd w:val="clear" w:color="auto" w:fill="FFFFFF"/>
        </w:rPr>
        <w:t>（一）单位自评情况</w:t>
      </w:r>
    </w:p>
    <w:p w:rsidR="00EE5E22" w:rsidRDefault="008819A8">
      <w:pPr>
        <w:pStyle w:val="a5"/>
        <w:snapToGrid w:val="0"/>
        <w:spacing w:before="0" w:beforeAutospacing="0" w:after="0" w:afterAutospacing="0" w:line="600"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cs="宋体"/>
          <w:sz w:val="32"/>
          <w:szCs w:val="32"/>
          <w:shd w:val="clear" w:color="auto" w:fill="FFFFFF"/>
        </w:rPr>
        <w:lastRenderedPageBreak/>
        <w:t>根据预算绩效管理要求，我单位对1</w:t>
      </w:r>
      <w:r>
        <w:rPr>
          <w:rFonts w:ascii="方正仿宋_GBK" w:eastAsia="方正仿宋_GBK" w:cs="宋体" w:hint="default"/>
          <w:sz w:val="32"/>
          <w:szCs w:val="32"/>
          <w:shd w:val="clear" w:color="auto" w:fill="FFFFFF"/>
        </w:rPr>
        <w:t>9</w:t>
      </w:r>
      <w:r>
        <w:rPr>
          <w:rFonts w:ascii="方正仿宋_GBK" w:eastAsia="方正仿宋_GBK" w:cs="宋体"/>
          <w:sz w:val="32"/>
          <w:szCs w:val="32"/>
          <w:shd w:val="clear" w:color="auto" w:fill="FFFFFF"/>
        </w:rPr>
        <w:t>个二</w:t>
      </w:r>
      <w:r>
        <w:rPr>
          <w:rFonts w:ascii="方正仿宋_GBK" w:eastAsia="方正仿宋_GBK" w:hAnsi="方正仿宋_GBK" w:cs="方正仿宋_GBK"/>
          <w:sz w:val="32"/>
          <w:szCs w:val="32"/>
          <w:shd w:val="clear" w:color="auto" w:fill="FFFFFF"/>
        </w:rPr>
        <w:t>级项目开展了绩效自评，涉及财政拨款项目支出3259.81万元。</w:t>
      </w:r>
    </w:p>
    <w:tbl>
      <w:tblPr>
        <w:tblW w:w="8440" w:type="dxa"/>
        <w:tblInd w:w="91" w:type="dxa"/>
        <w:tblLook w:val="04A0" w:firstRow="1" w:lastRow="0" w:firstColumn="1" w:lastColumn="0" w:noHBand="0" w:noVBand="1"/>
      </w:tblPr>
      <w:tblGrid>
        <w:gridCol w:w="654"/>
        <w:gridCol w:w="390"/>
        <w:gridCol w:w="256"/>
        <w:gridCol w:w="643"/>
        <w:gridCol w:w="726"/>
        <w:gridCol w:w="258"/>
        <w:gridCol w:w="309"/>
        <w:gridCol w:w="675"/>
        <w:gridCol w:w="1184"/>
        <w:gridCol w:w="790"/>
        <w:gridCol w:w="317"/>
        <w:gridCol w:w="340"/>
        <w:gridCol w:w="472"/>
        <w:gridCol w:w="516"/>
        <w:gridCol w:w="198"/>
        <w:gridCol w:w="712"/>
      </w:tblGrid>
      <w:tr w:rsidR="008819A8" w:rsidTr="00B004AE">
        <w:trPr>
          <w:trHeight w:val="799"/>
        </w:trPr>
        <w:tc>
          <w:tcPr>
            <w:tcW w:w="8440" w:type="dxa"/>
            <w:gridSpan w:val="16"/>
            <w:tcBorders>
              <w:top w:val="single" w:sz="4" w:space="0" w:color="auto"/>
              <w:left w:val="single" w:sz="4" w:space="0" w:color="auto"/>
              <w:bottom w:val="single" w:sz="4" w:space="0" w:color="auto"/>
              <w:right w:val="single" w:sz="4" w:space="0" w:color="auto"/>
            </w:tcBorders>
            <w:shd w:val="clear" w:color="auto" w:fill="auto"/>
            <w:noWrap/>
            <w:vAlign w:val="center"/>
          </w:tcPr>
          <w:p w:rsidR="00EE5E22" w:rsidRDefault="008819A8">
            <w:pPr>
              <w:jc w:val="center"/>
              <w:rPr>
                <w:rFonts w:ascii="微软雅黑" w:eastAsia="微软雅黑" w:hAnsi="微软雅黑" w:cs="宋体" w:hint="default"/>
                <w:b/>
                <w:bCs/>
                <w:color w:val="000000"/>
                <w:sz w:val="40"/>
                <w:szCs w:val="40"/>
              </w:rPr>
            </w:pPr>
            <w:r>
              <w:rPr>
                <w:rFonts w:ascii="微软雅黑" w:eastAsia="微软雅黑" w:hAnsi="微软雅黑" w:cs="宋体"/>
                <w:b/>
                <w:bCs/>
                <w:color w:val="000000"/>
                <w:sz w:val="40"/>
                <w:szCs w:val="40"/>
              </w:rPr>
              <w:t>2023年度二级项目绩效自评表</w:t>
            </w:r>
          </w:p>
        </w:tc>
      </w:tr>
      <w:tr w:rsidR="008819A8" w:rsidTr="00B004AE">
        <w:trPr>
          <w:trHeight w:val="499"/>
        </w:trPr>
        <w:tc>
          <w:tcPr>
            <w:tcW w:w="8440" w:type="dxa"/>
            <w:gridSpan w:val="16"/>
            <w:tcBorders>
              <w:top w:val="single" w:sz="4" w:space="0" w:color="auto"/>
              <w:left w:val="single" w:sz="4" w:space="0" w:color="auto"/>
              <w:bottom w:val="single" w:sz="4" w:space="0" w:color="auto"/>
              <w:right w:val="single" w:sz="4" w:space="0" w:color="auto"/>
            </w:tcBorders>
            <w:shd w:val="clear" w:color="auto" w:fill="auto"/>
            <w:noWrap/>
            <w:vAlign w:val="center"/>
          </w:tcPr>
          <w:p w:rsidR="00EE5E22" w:rsidRDefault="008819A8" w:rsidP="008819A8">
            <w:pPr>
              <w:ind w:right="330" w:firstLineChars="100" w:firstLine="221"/>
              <w:jc w:val="right"/>
              <w:rPr>
                <w:rFonts w:cs="宋体" w:hint="default"/>
                <w:b/>
                <w:bCs/>
                <w:color w:val="DA3232"/>
                <w:sz w:val="22"/>
                <w:szCs w:val="22"/>
              </w:rPr>
            </w:pPr>
            <w:r>
              <w:rPr>
                <w:rFonts w:cs="宋体"/>
                <w:b/>
                <w:bCs/>
                <w:color w:val="DA3232"/>
                <w:sz w:val="22"/>
                <w:szCs w:val="22"/>
              </w:rPr>
              <w:t>状态：绩效审核已审</w:t>
            </w:r>
          </w:p>
        </w:tc>
      </w:tr>
      <w:tr w:rsidR="00B004AE" w:rsidTr="00B004AE">
        <w:trPr>
          <w:trHeight w:val="499"/>
        </w:trPr>
        <w:tc>
          <w:tcPr>
            <w:tcW w:w="1044" w:type="dxa"/>
            <w:gridSpan w:val="2"/>
            <w:tcBorders>
              <w:top w:val="nil"/>
              <w:left w:val="single" w:sz="4" w:space="0" w:color="auto"/>
              <w:bottom w:val="single" w:sz="4" w:space="0" w:color="auto"/>
              <w:right w:val="single" w:sz="4" w:space="0" w:color="auto"/>
            </w:tcBorders>
            <w:shd w:val="clear" w:color="auto" w:fill="auto"/>
            <w:noWrap/>
            <w:vAlign w:val="center"/>
          </w:tcPr>
          <w:p w:rsidR="00EE5E22" w:rsidRDefault="008819A8">
            <w:pPr>
              <w:jc w:val="right"/>
              <w:rPr>
                <w:rFonts w:cs="宋体" w:hint="default"/>
                <w:b/>
                <w:bCs/>
                <w:color w:val="000000"/>
                <w:sz w:val="22"/>
                <w:szCs w:val="22"/>
              </w:rPr>
            </w:pPr>
            <w:r>
              <w:rPr>
                <w:rFonts w:cs="宋体"/>
                <w:b/>
                <w:bCs/>
                <w:color w:val="000000"/>
                <w:sz w:val="22"/>
                <w:szCs w:val="22"/>
              </w:rPr>
              <w:t>项目名称：</w:t>
            </w:r>
          </w:p>
        </w:tc>
        <w:tc>
          <w:tcPr>
            <w:tcW w:w="1625" w:type="dxa"/>
            <w:gridSpan w:val="3"/>
            <w:tcBorders>
              <w:top w:val="single" w:sz="4" w:space="0" w:color="auto"/>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中央服务业发展资金(直达资金）</w:t>
            </w:r>
          </w:p>
        </w:tc>
        <w:tc>
          <w:tcPr>
            <w:tcW w:w="1242" w:type="dxa"/>
            <w:gridSpan w:val="3"/>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b/>
                <w:bCs/>
                <w:color w:val="000000"/>
                <w:sz w:val="22"/>
                <w:szCs w:val="22"/>
              </w:rPr>
            </w:pPr>
            <w:r>
              <w:rPr>
                <w:rFonts w:cs="宋体"/>
                <w:b/>
                <w:bCs/>
                <w:color w:val="000000"/>
                <w:sz w:val="22"/>
                <w:szCs w:val="22"/>
              </w:rPr>
              <w:t>项目编码：</w:t>
            </w:r>
          </w:p>
        </w:tc>
        <w:tc>
          <w:tcPr>
            <w:tcW w:w="2631" w:type="dxa"/>
            <w:gridSpan w:val="4"/>
            <w:tcBorders>
              <w:top w:val="single" w:sz="4" w:space="0" w:color="auto"/>
              <w:left w:val="nil"/>
              <w:bottom w:val="single" w:sz="4" w:space="0" w:color="auto"/>
              <w:right w:val="single" w:sz="4" w:space="0" w:color="auto"/>
            </w:tcBorders>
            <w:shd w:val="clear" w:color="auto" w:fill="auto"/>
            <w:noWrap/>
            <w:vAlign w:val="center"/>
          </w:tcPr>
          <w:p w:rsidR="00EE5E22" w:rsidRDefault="008819A8" w:rsidP="008819A8">
            <w:pPr>
              <w:rPr>
                <w:rFonts w:cs="宋体" w:hint="default"/>
                <w:color w:val="000000"/>
                <w:sz w:val="22"/>
                <w:szCs w:val="22"/>
              </w:rPr>
            </w:pPr>
            <w:r>
              <w:rPr>
                <w:rFonts w:cs="宋体"/>
                <w:color w:val="000000"/>
                <w:sz w:val="22"/>
                <w:szCs w:val="22"/>
              </w:rPr>
              <w:t>50023122T000002053449</w:t>
            </w:r>
          </w:p>
        </w:tc>
        <w:tc>
          <w:tcPr>
            <w:tcW w:w="988"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b/>
                <w:bCs/>
                <w:color w:val="000000"/>
                <w:sz w:val="22"/>
                <w:szCs w:val="22"/>
              </w:rPr>
            </w:pPr>
            <w:r>
              <w:rPr>
                <w:rFonts w:cs="宋体"/>
                <w:b/>
                <w:bCs/>
                <w:color w:val="000000"/>
                <w:sz w:val="22"/>
                <w:szCs w:val="22"/>
              </w:rPr>
              <w:t>自评总分：</w:t>
            </w:r>
          </w:p>
        </w:tc>
        <w:tc>
          <w:tcPr>
            <w:tcW w:w="910" w:type="dxa"/>
            <w:gridSpan w:val="2"/>
            <w:tcBorders>
              <w:top w:val="single" w:sz="4" w:space="0" w:color="auto"/>
              <w:left w:val="nil"/>
              <w:bottom w:val="single" w:sz="4" w:space="0" w:color="auto"/>
              <w:right w:val="single" w:sz="4" w:space="0" w:color="auto"/>
            </w:tcBorders>
            <w:shd w:val="clear" w:color="auto" w:fill="auto"/>
            <w:noWrap/>
            <w:vAlign w:val="center"/>
          </w:tcPr>
          <w:p w:rsidR="00EE5E22" w:rsidRDefault="008819A8" w:rsidP="008819A8">
            <w:pPr>
              <w:rPr>
                <w:rFonts w:cs="宋体" w:hint="default"/>
                <w:color w:val="000000"/>
                <w:sz w:val="22"/>
                <w:szCs w:val="22"/>
              </w:rPr>
            </w:pPr>
            <w:r>
              <w:rPr>
                <w:rFonts w:cs="宋体"/>
                <w:color w:val="000000"/>
                <w:sz w:val="22"/>
                <w:szCs w:val="22"/>
              </w:rPr>
              <w:t>100.00</w:t>
            </w:r>
          </w:p>
        </w:tc>
      </w:tr>
      <w:tr w:rsidR="00B004AE" w:rsidTr="00B004AE">
        <w:trPr>
          <w:trHeight w:val="499"/>
        </w:trPr>
        <w:tc>
          <w:tcPr>
            <w:tcW w:w="1044" w:type="dxa"/>
            <w:gridSpan w:val="2"/>
            <w:tcBorders>
              <w:top w:val="nil"/>
              <w:left w:val="single" w:sz="4" w:space="0" w:color="auto"/>
              <w:bottom w:val="single" w:sz="4" w:space="0" w:color="auto"/>
              <w:right w:val="single" w:sz="4" w:space="0" w:color="auto"/>
            </w:tcBorders>
            <w:shd w:val="clear" w:color="auto" w:fill="auto"/>
            <w:noWrap/>
            <w:vAlign w:val="center"/>
          </w:tcPr>
          <w:p w:rsidR="00EE5E22" w:rsidRDefault="008819A8">
            <w:pPr>
              <w:jc w:val="right"/>
              <w:rPr>
                <w:rFonts w:cs="宋体" w:hint="default"/>
                <w:b/>
                <w:bCs/>
                <w:color w:val="000000"/>
                <w:sz w:val="22"/>
                <w:szCs w:val="22"/>
              </w:rPr>
            </w:pPr>
            <w:r>
              <w:rPr>
                <w:rFonts w:cs="宋体"/>
                <w:b/>
                <w:bCs/>
                <w:color w:val="000000"/>
                <w:sz w:val="22"/>
                <w:szCs w:val="22"/>
              </w:rPr>
              <w:t>项目主管部门：</w:t>
            </w:r>
          </w:p>
        </w:tc>
        <w:tc>
          <w:tcPr>
            <w:tcW w:w="1625" w:type="dxa"/>
            <w:gridSpan w:val="3"/>
            <w:tcBorders>
              <w:top w:val="single" w:sz="4" w:space="0" w:color="auto"/>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502-垫江县商务委员会</w:t>
            </w:r>
          </w:p>
        </w:tc>
        <w:tc>
          <w:tcPr>
            <w:tcW w:w="1242" w:type="dxa"/>
            <w:gridSpan w:val="3"/>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b/>
                <w:bCs/>
                <w:color w:val="000000"/>
                <w:sz w:val="22"/>
                <w:szCs w:val="22"/>
              </w:rPr>
            </w:pPr>
            <w:r>
              <w:rPr>
                <w:rFonts w:cs="宋体"/>
                <w:b/>
                <w:bCs/>
                <w:color w:val="000000"/>
                <w:sz w:val="22"/>
                <w:szCs w:val="22"/>
              </w:rPr>
              <w:t>财政归口处室：</w:t>
            </w:r>
          </w:p>
        </w:tc>
        <w:tc>
          <w:tcPr>
            <w:tcW w:w="2631" w:type="dxa"/>
            <w:gridSpan w:val="4"/>
            <w:tcBorders>
              <w:top w:val="single" w:sz="4" w:space="0" w:color="auto"/>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008-企业科</w:t>
            </w:r>
          </w:p>
        </w:tc>
        <w:tc>
          <w:tcPr>
            <w:tcW w:w="988"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b/>
                <w:bCs/>
                <w:color w:val="000000"/>
                <w:sz w:val="22"/>
                <w:szCs w:val="22"/>
              </w:rPr>
            </w:pPr>
            <w:r>
              <w:rPr>
                <w:rFonts w:cs="宋体"/>
                <w:b/>
                <w:bCs/>
                <w:color w:val="000000"/>
                <w:sz w:val="22"/>
                <w:szCs w:val="22"/>
              </w:rPr>
              <w:t>部门联系人：</w:t>
            </w:r>
          </w:p>
        </w:tc>
        <w:tc>
          <w:tcPr>
            <w:tcW w:w="910" w:type="dxa"/>
            <w:gridSpan w:val="2"/>
            <w:tcBorders>
              <w:top w:val="single" w:sz="4" w:space="0" w:color="auto"/>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彭林</w:t>
            </w:r>
          </w:p>
        </w:tc>
      </w:tr>
      <w:tr w:rsidR="008819A8" w:rsidTr="00B004AE">
        <w:trPr>
          <w:trHeight w:val="600"/>
        </w:trPr>
        <w:tc>
          <w:tcPr>
            <w:tcW w:w="8440" w:type="dxa"/>
            <w:gridSpan w:val="16"/>
            <w:tcBorders>
              <w:top w:val="single" w:sz="4" w:space="0" w:color="auto"/>
              <w:left w:val="single" w:sz="4" w:space="0" w:color="auto"/>
              <w:bottom w:val="single" w:sz="4" w:space="0" w:color="auto"/>
              <w:right w:val="single" w:sz="4" w:space="0" w:color="auto"/>
            </w:tcBorders>
            <w:shd w:val="clear" w:color="auto" w:fill="auto"/>
            <w:noWrap/>
            <w:vAlign w:val="center"/>
          </w:tcPr>
          <w:p w:rsidR="00EE5E22" w:rsidRDefault="008819A8">
            <w:pPr>
              <w:jc w:val="center"/>
              <w:rPr>
                <w:rFonts w:ascii="微软雅黑" w:eastAsia="微软雅黑" w:hAnsi="微软雅黑" w:cs="宋体" w:hint="default"/>
                <w:b/>
                <w:bCs/>
                <w:color w:val="7F7F7F"/>
                <w:sz w:val="28"/>
                <w:szCs w:val="28"/>
              </w:rPr>
            </w:pPr>
            <w:r>
              <w:rPr>
                <w:rFonts w:ascii="微软雅黑" w:eastAsia="微软雅黑" w:hAnsi="微软雅黑" w:cs="宋体"/>
                <w:b/>
                <w:bCs/>
                <w:color w:val="7F7F7F"/>
                <w:sz w:val="28"/>
                <w:szCs w:val="28"/>
              </w:rPr>
              <w:t>资金情况</w:t>
            </w:r>
          </w:p>
        </w:tc>
      </w:tr>
      <w:tr w:rsidR="00B004AE" w:rsidTr="00B004AE">
        <w:trPr>
          <w:trHeight w:val="499"/>
        </w:trPr>
        <w:tc>
          <w:tcPr>
            <w:tcW w:w="130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EE5E22" w:rsidRDefault="008819A8">
            <w:pPr>
              <w:jc w:val="center"/>
              <w:rPr>
                <w:rFonts w:cs="宋体" w:hint="default"/>
                <w:color w:val="000000"/>
                <w:sz w:val="22"/>
                <w:szCs w:val="22"/>
              </w:rPr>
            </w:pPr>
            <w:r>
              <w:rPr>
                <w:rFonts w:cs="宋体"/>
                <w:color w:val="000000"/>
                <w:sz w:val="22"/>
                <w:szCs w:val="22"/>
              </w:rPr>
              <w:t xml:space="preserve">　</w:t>
            </w:r>
          </w:p>
        </w:tc>
        <w:tc>
          <w:tcPr>
            <w:tcW w:w="1936" w:type="dxa"/>
            <w:gridSpan w:val="4"/>
            <w:tcBorders>
              <w:top w:val="single" w:sz="4" w:space="0" w:color="auto"/>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年初预算数</w:t>
            </w:r>
          </w:p>
        </w:tc>
        <w:tc>
          <w:tcPr>
            <w:tcW w:w="2649" w:type="dxa"/>
            <w:gridSpan w:val="3"/>
            <w:tcBorders>
              <w:top w:val="single" w:sz="4" w:space="0" w:color="auto"/>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全年（调整）预算数</w:t>
            </w:r>
          </w:p>
        </w:tc>
        <w:tc>
          <w:tcPr>
            <w:tcW w:w="1843" w:type="dxa"/>
            <w:gridSpan w:val="5"/>
            <w:tcBorders>
              <w:top w:val="single" w:sz="4" w:space="0" w:color="auto"/>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全年执行数</w:t>
            </w:r>
          </w:p>
        </w:tc>
        <w:tc>
          <w:tcPr>
            <w:tcW w:w="712" w:type="dxa"/>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执行率</w:t>
            </w:r>
          </w:p>
        </w:tc>
      </w:tr>
      <w:tr w:rsidR="00B004AE" w:rsidTr="00B004AE">
        <w:trPr>
          <w:trHeight w:val="499"/>
        </w:trPr>
        <w:tc>
          <w:tcPr>
            <w:tcW w:w="1044" w:type="dxa"/>
            <w:gridSpan w:val="2"/>
            <w:tcBorders>
              <w:top w:val="nil"/>
              <w:left w:val="single" w:sz="4" w:space="0" w:color="auto"/>
              <w:bottom w:val="single" w:sz="4" w:space="0" w:color="auto"/>
              <w:right w:val="nil"/>
            </w:tcBorders>
            <w:shd w:val="clear" w:color="auto" w:fill="auto"/>
            <w:vAlign w:val="center"/>
          </w:tcPr>
          <w:p w:rsidR="00EE5E22" w:rsidRDefault="008819A8">
            <w:pPr>
              <w:rPr>
                <w:rFonts w:cs="宋体" w:hint="default"/>
                <w:color w:val="000000"/>
                <w:sz w:val="22"/>
                <w:szCs w:val="22"/>
              </w:rPr>
            </w:pPr>
            <w:r>
              <w:rPr>
                <w:rFonts w:cs="宋体"/>
                <w:color w:val="000000"/>
                <w:sz w:val="22"/>
                <w:szCs w:val="22"/>
              </w:rPr>
              <w:t>年度总金额</w:t>
            </w:r>
          </w:p>
        </w:tc>
        <w:tc>
          <w:tcPr>
            <w:tcW w:w="256" w:type="dxa"/>
            <w:tcBorders>
              <w:top w:val="nil"/>
              <w:left w:val="nil"/>
              <w:bottom w:val="single" w:sz="4" w:space="0" w:color="auto"/>
              <w:right w:val="single" w:sz="4" w:space="0" w:color="auto"/>
            </w:tcBorders>
            <w:shd w:val="clear" w:color="auto" w:fill="auto"/>
            <w:noWrap/>
            <w:vAlign w:val="center"/>
          </w:tcPr>
          <w:p w:rsidR="00EE5E22" w:rsidRDefault="008819A8">
            <w:pPr>
              <w:rPr>
                <w:rFonts w:cs="宋体" w:hint="default"/>
                <w:color w:val="000000"/>
                <w:sz w:val="22"/>
                <w:szCs w:val="22"/>
              </w:rPr>
            </w:pPr>
            <w:r>
              <w:rPr>
                <w:rFonts w:cs="宋体"/>
                <w:color w:val="000000"/>
                <w:sz w:val="22"/>
                <w:szCs w:val="22"/>
              </w:rPr>
              <w:t xml:space="preserve">　</w:t>
            </w:r>
          </w:p>
        </w:tc>
        <w:tc>
          <w:tcPr>
            <w:tcW w:w="1936" w:type="dxa"/>
            <w:gridSpan w:val="4"/>
            <w:tcBorders>
              <w:top w:val="single" w:sz="4" w:space="0" w:color="auto"/>
              <w:left w:val="nil"/>
              <w:bottom w:val="single" w:sz="4" w:space="0" w:color="auto"/>
              <w:right w:val="single" w:sz="4" w:space="0" w:color="000000"/>
            </w:tcBorders>
            <w:shd w:val="clear" w:color="auto" w:fill="auto"/>
            <w:noWrap/>
            <w:vAlign w:val="center"/>
          </w:tcPr>
          <w:p w:rsidR="00EE5E22" w:rsidRDefault="008819A8">
            <w:pPr>
              <w:jc w:val="center"/>
              <w:rPr>
                <w:rFonts w:cs="宋体" w:hint="default"/>
                <w:color w:val="000000"/>
                <w:sz w:val="22"/>
                <w:szCs w:val="22"/>
              </w:rPr>
            </w:pPr>
            <w:r>
              <w:rPr>
                <w:rFonts w:cs="宋体"/>
                <w:color w:val="000000"/>
                <w:sz w:val="22"/>
                <w:szCs w:val="22"/>
              </w:rPr>
              <w:t xml:space="preserve">6,900,000.00 </w:t>
            </w:r>
          </w:p>
        </w:tc>
        <w:tc>
          <w:tcPr>
            <w:tcW w:w="2649" w:type="dxa"/>
            <w:gridSpan w:val="3"/>
            <w:tcBorders>
              <w:top w:val="single" w:sz="4" w:space="0" w:color="auto"/>
              <w:left w:val="nil"/>
              <w:bottom w:val="single" w:sz="4" w:space="0" w:color="auto"/>
              <w:right w:val="single" w:sz="4" w:space="0" w:color="000000"/>
            </w:tcBorders>
            <w:shd w:val="clear" w:color="auto" w:fill="auto"/>
            <w:vAlign w:val="center"/>
          </w:tcPr>
          <w:p w:rsidR="00EE5E22" w:rsidRDefault="008819A8">
            <w:pPr>
              <w:jc w:val="center"/>
              <w:rPr>
                <w:rFonts w:cs="宋体" w:hint="default"/>
                <w:color w:val="000000"/>
                <w:sz w:val="22"/>
                <w:szCs w:val="22"/>
              </w:rPr>
            </w:pPr>
            <w:r>
              <w:rPr>
                <w:rFonts w:cs="宋体"/>
                <w:color w:val="000000"/>
                <w:sz w:val="22"/>
                <w:szCs w:val="22"/>
              </w:rPr>
              <w:t xml:space="preserve">12,118,382.12 </w:t>
            </w:r>
          </w:p>
        </w:tc>
        <w:tc>
          <w:tcPr>
            <w:tcW w:w="1843" w:type="dxa"/>
            <w:gridSpan w:val="5"/>
            <w:tcBorders>
              <w:top w:val="single" w:sz="4" w:space="0" w:color="auto"/>
              <w:left w:val="nil"/>
              <w:bottom w:val="single" w:sz="4" w:space="0" w:color="auto"/>
              <w:right w:val="single" w:sz="4" w:space="0" w:color="000000"/>
            </w:tcBorders>
            <w:shd w:val="clear" w:color="auto" w:fill="auto"/>
            <w:noWrap/>
            <w:vAlign w:val="center"/>
          </w:tcPr>
          <w:p w:rsidR="00EE5E22" w:rsidRDefault="008819A8">
            <w:pPr>
              <w:jc w:val="center"/>
              <w:rPr>
                <w:rFonts w:cs="宋体" w:hint="default"/>
                <w:color w:val="000000"/>
                <w:sz w:val="22"/>
                <w:szCs w:val="22"/>
              </w:rPr>
            </w:pPr>
            <w:r>
              <w:rPr>
                <w:rFonts w:cs="宋体"/>
                <w:color w:val="000000"/>
                <w:sz w:val="22"/>
                <w:szCs w:val="22"/>
              </w:rPr>
              <w:t xml:space="preserve">12,118,382.12 </w:t>
            </w:r>
          </w:p>
        </w:tc>
        <w:tc>
          <w:tcPr>
            <w:tcW w:w="712" w:type="dxa"/>
            <w:tcBorders>
              <w:top w:val="nil"/>
              <w:left w:val="nil"/>
              <w:bottom w:val="single" w:sz="4" w:space="0" w:color="auto"/>
              <w:right w:val="single" w:sz="4" w:space="0" w:color="auto"/>
            </w:tcBorders>
            <w:shd w:val="clear" w:color="auto" w:fill="auto"/>
            <w:noWrap/>
            <w:vAlign w:val="center"/>
          </w:tcPr>
          <w:p w:rsidR="00EE5E22" w:rsidRDefault="008819A8">
            <w:pPr>
              <w:rPr>
                <w:rFonts w:cs="宋体" w:hint="default"/>
                <w:color w:val="000000"/>
                <w:sz w:val="22"/>
                <w:szCs w:val="22"/>
              </w:rPr>
            </w:pPr>
            <w:r>
              <w:rPr>
                <w:rFonts w:cs="宋体"/>
                <w:color w:val="000000"/>
                <w:sz w:val="22"/>
                <w:szCs w:val="22"/>
              </w:rPr>
              <w:t xml:space="preserve">　</w:t>
            </w:r>
          </w:p>
        </w:tc>
      </w:tr>
      <w:tr w:rsidR="00B004AE" w:rsidTr="00B004AE">
        <w:trPr>
          <w:trHeight w:val="499"/>
        </w:trPr>
        <w:tc>
          <w:tcPr>
            <w:tcW w:w="1044" w:type="dxa"/>
            <w:gridSpan w:val="2"/>
            <w:tcBorders>
              <w:top w:val="nil"/>
              <w:left w:val="single" w:sz="4" w:space="0" w:color="auto"/>
              <w:bottom w:val="single" w:sz="4" w:space="0" w:color="auto"/>
              <w:right w:val="nil"/>
            </w:tcBorders>
            <w:shd w:val="clear" w:color="auto" w:fill="auto"/>
            <w:vAlign w:val="center"/>
          </w:tcPr>
          <w:p w:rsidR="00EE5E22" w:rsidRDefault="008819A8">
            <w:pPr>
              <w:rPr>
                <w:rFonts w:cs="宋体" w:hint="default"/>
                <w:color w:val="000000"/>
                <w:sz w:val="22"/>
                <w:szCs w:val="22"/>
              </w:rPr>
            </w:pPr>
            <w:r>
              <w:rPr>
                <w:rFonts w:cs="宋体"/>
                <w:color w:val="000000"/>
                <w:sz w:val="22"/>
                <w:szCs w:val="22"/>
              </w:rPr>
              <w:t>其中：财政拨款</w:t>
            </w:r>
          </w:p>
        </w:tc>
        <w:tc>
          <w:tcPr>
            <w:tcW w:w="256" w:type="dxa"/>
            <w:tcBorders>
              <w:top w:val="nil"/>
              <w:left w:val="nil"/>
              <w:bottom w:val="single" w:sz="4" w:space="0" w:color="auto"/>
              <w:right w:val="single" w:sz="4" w:space="0" w:color="auto"/>
            </w:tcBorders>
            <w:shd w:val="clear" w:color="auto" w:fill="auto"/>
            <w:noWrap/>
            <w:vAlign w:val="center"/>
          </w:tcPr>
          <w:p w:rsidR="00EE5E22" w:rsidRDefault="008819A8">
            <w:pPr>
              <w:rPr>
                <w:rFonts w:cs="宋体" w:hint="default"/>
                <w:color w:val="000000"/>
                <w:sz w:val="22"/>
                <w:szCs w:val="22"/>
              </w:rPr>
            </w:pPr>
            <w:r>
              <w:rPr>
                <w:rFonts w:cs="宋体"/>
                <w:color w:val="000000"/>
                <w:sz w:val="22"/>
                <w:szCs w:val="22"/>
              </w:rPr>
              <w:t xml:space="preserve">　</w:t>
            </w:r>
          </w:p>
        </w:tc>
        <w:tc>
          <w:tcPr>
            <w:tcW w:w="1936" w:type="dxa"/>
            <w:gridSpan w:val="4"/>
            <w:tcBorders>
              <w:top w:val="single" w:sz="4" w:space="0" w:color="auto"/>
              <w:left w:val="nil"/>
              <w:bottom w:val="single" w:sz="4" w:space="0" w:color="auto"/>
              <w:right w:val="single" w:sz="4" w:space="0" w:color="000000"/>
            </w:tcBorders>
            <w:shd w:val="clear" w:color="auto" w:fill="auto"/>
            <w:noWrap/>
            <w:vAlign w:val="center"/>
          </w:tcPr>
          <w:p w:rsidR="00EE5E22" w:rsidRDefault="008819A8">
            <w:pPr>
              <w:jc w:val="center"/>
              <w:rPr>
                <w:rFonts w:cs="宋体" w:hint="default"/>
                <w:color w:val="000000"/>
                <w:sz w:val="22"/>
                <w:szCs w:val="22"/>
              </w:rPr>
            </w:pPr>
            <w:r>
              <w:rPr>
                <w:rFonts w:cs="宋体"/>
                <w:color w:val="000000"/>
                <w:sz w:val="22"/>
                <w:szCs w:val="22"/>
              </w:rPr>
              <w:t xml:space="preserve">6,900,000.00 </w:t>
            </w:r>
          </w:p>
        </w:tc>
        <w:tc>
          <w:tcPr>
            <w:tcW w:w="2649" w:type="dxa"/>
            <w:gridSpan w:val="3"/>
            <w:tcBorders>
              <w:top w:val="single" w:sz="4" w:space="0" w:color="auto"/>
              <w:left w:val="nil"/>
              <w:bottom w:val="single" w:sz="4" w:space="0" w:color="auto"/>
              <w:right w:val="single" w:sz="4" w:space="0" w:color="000000"/>
            </w:tcBorders>
            <w:shd w:val="clear" w:color="auto" w:fill="auto"/>
            <w:vAlign w:val="center"/>
          </w:tcPr>
          <w:p w:rsidR="00EE5E22" w:rsidRDefault="008819A8">
            <w:pPr>
              <w:jc w:val="center"/>
              <w:rPr>
                <w:rFonts w:cs="宋体" w:hint="default"/>
                <w:color w:val="000000"/>
                <w:sz w:val="22"/>
                <w:szCs w:val="22"/>
              </w:rPr>
            </w:pPr>
            <w:r>
              <w:rPr>
                <w:rFonts w:cs="宋体"/>
                <w:color w:val="000000"/>
                <w:sz w:val="22"/>
                <w:szCs w:val="22"/>
              </w:rPr>
              <w:t xml:space="preserve">12,118,382.12 </w:t>
            </w:r>
          </w:p>
        </w:tc>
        <w:tc>
          <w:tcPr>
            <w:tcW w:w="1843" w:type="dxa"/>
            <w:gridSpan w:val="5"/>
            <w:tcBorders>
              <w:top w:val="single" w:sz="4" w:space="0" w:color="auto"/>
              <w:left w:val="nil"/>
              <w:bottom w:val="single" w:sz="4" w:space="0" w:color="auto"/>
              <w:right w:val="single" w:sz="4" w:space="0" w:color="000000"/>
            </w:tcBorders>
            <w:shd w:val="clear" w:color="auto" w:fill="auto"/>
            <w:noWrap/>
            <w:vAlign w:val="center"/>
          </w:tcPr>
          <w:p w:rsidR="00EE5E22" w:rsidRDefault="008819A8">
            <w:pPr>
              <w:jc w:val="center"/>
              <w:rPr>
                <w:rFonts w:cs="宋体" w:hint="default"/>
                <w:color w:val="000000"/>
                <w:sz w:val="22"/>
                <w:szCs w:val="22"/>
              </w:rPr>
            </w:pPr>
            <w:r>
              <w:rPr>
                <w:rFonts w:cs="宋体"/>
                <w:color w:val="000000"/>
                <w:sz w:val="22"/>
                <w:szCs w:val="22"/>
              </w:rPr>
              <w:t xml:space="preserve">12,118,382.12 </w:t>
            </w:r>
          </w:p>
        </w:tc>
        <w:tc>
          <w:tcPr>
            <w:tcW w:w="712" w:type="dxa"/>
            <w:tcBorders>
              <w:top w:val="nil"/>
              <w:left w:val="nil"/>
              <w:bottom w:val="single" w:sz="4" w:space="0" w:color="auto"/>
              <w:right w:val="single" w:sz="4" w:space="0" w:color="auto"/>
            </w:tcBorders>
            <w:shd w:val="clear" w:color="auto" w:fill="auto"/>
            <w:noWrap/>
            <w:vAlign w:val="center"/>
          </w:tcPr>
          <w:p w:rsidR="00EE5E22" w:rsidRDefault="008819A8" w:rsidP="008819A8">
            <w:pPr>
              <w:rPr>
                <w:rFonts w:cs="宋体" w:hint="default"/>
                <w:color w:val="000000"/>
                <w:sz w:val="22"/>
                <w:szCs w:val="22"/>
              </w:rPr>
            </w:pPr>
            <w:r>
              <w:rPr>
                <w:rFonts w:cs="宋体" w:hint="default"/>
                <w:color w:val="000000"/>
                <w:sz w:val="22"/>
                <w:szCs w:val="22"/>
              </w:rPr>
              <w:t>100%</w:t>
            </w:r>
          </w:p>
        </w:tc>
      </w:tr>
      <w:tr w:rsidR="00B004AE" w:rsidTr="00B004AE">
        <w:trPr>
          <w:trHeight w:val="499"/>
        </w:trPr>
        <w:tc>
          <w:tcPr>
            <w:tcW w:w="1044" w:type="dxa"/>
            <w:gridSpan w:val="2"/>
            <w:tcBorders>
              <w:top w:val="nil"/>
              <w:left w:val="single" w:sz="4" w:space="0" w:color="auto"/>
              <w:bottom w:val="single" w:sz="4" w:space="0" w:color="auto"/>
              <w:right w:val="nil"/>
            </w:tcBorders>
            <w:shd w:val="clear" w:color="auto" w:fill="auto"/>
            <w:vAlign w:val="center"/>
          </w:tcPr>
          <w:p w:rsidR="00EE5E22" w:rsidRDefault="008819A8">
            <w:pPr>
              <w:rPr>
                <w:rFonts w:cs="宋体" w:hint="default"/>
                <w:color w:val="000000"/>
                <w:sz w:val="22"/>
                <w:szCs w:val="22"/>
              </w:rPr>
            </w:pPr>
            <w:r>
              <w:rPr>
                <w:rFonts w:cs="宋体"/>
                <w:color w:val="000000"/>
                <w:sz w:val="22"/>
                <w:szCs w:val="22"/>
              </w:rPr>
              <w:t>一般公共预算</w:t>
            </w:r>
          </w:p>
        </w:tc>
        <w:tc>
          <w:tcPr>
            <w:tcW w:w="256" w:type="dxa"/>
            <w:tcBorders>
              <w:top w:val="nil"/>
              <w:left w:val="nil"/>
              <w:bottom w:val="single" w:sz="4" w:space="0" w:color="auto"/>
              <w:right w:val="single" w:sz="4" w:space="0" w:color="auto"/>
            </w:tcBorders>
            <w:shd w:val="clear" w:color="auto" w:fill="auto"/>
            <w:noWrap/>
            <w:vAlign w:val="center"/>
          </w:tcPr>
          <w:p w:rsidR="00EE5E22" w:rsidRDefault="008819A8">
            <w:pPr>
              <w:rPr>
                <w:rFonts w:cs="宋体" w:hint="default"/>
                <w:color w:val="000000"/>
                <w:sz w:val="22"/>
                <w:szCs w:val="22"/>
              </w:rPr>
            </w:pPr>
            <w:r>
              <w:rPr>
                <w:rFonts w:cs="宋体"/>
                <w:color w:val="000000"/>
                <w:sz w:val="22"/>
                <w:szCs w:val="22"/>
              </w:rPr>
              <w:t xml:space="preserve">　</w:t>
            </w:r>
          </w:p>
        </w:tc>
        <w:tc>
          <w:tcPr>
            <w:tcW w:w="1936" w:type="dxa"/>
            <w:gridSpan w:val="4"/>
            <w:tcBorders>
              <w:top w:val="single" w:sz="4" w:space="0" w:color="auto"/>
              <w:left w:val="nil"/>
              <w:bottom w:val="single" w:sz="4" w:space="0" w:color="auto"/>
              <w:right w:val="single" w:sz="4" w:space="0" w:color="000000"/>
            </w:tcBorders>
            <w:shd w:val="clear" w:color="auto" w:fill="auto"/>
            <w:noWrap/>
            <w:vAlign w:val="center"/>
          </w:tcPr>
          <w:p w:rsidR="00EE5E22" w:rsidRDefault="008819A8">
            <w:pPr>
              <w:jc w:val="center"/>
              <w:rPr>
                <w:rFonts w:cs="宋体" w:hint="default"/>
                <w:color w:val="000000"/>
                <w:sz w:val="22"/>
                <w:szCs w:val="22"/>
              </w:rPr>
            </w:pPr>
            <w:r>
              <w:rPr>
                <w:rFonts w:cs="宋体"/>
                <w:color w:val="000000"/>
                <w:sz w:val="22"/>
                <w:szCs w:val="22"/>
              </w:rPr>
              <w:t xml:space="preserve">6,900,000.00 </w:t>
            </w:r>
          </w:p>
        </w:tc>
        <w:tc>
          <w:tcPr>
            <w:tcW w:w="2649" w:type="dxa"/>
            <w:gridSpan w:val="3"/>
            <w:tcBorders>
              <w:top w:val="single" w:sz="4" w:space="0" w:color="auto"/>
              <w:left w:val="nil"/>
              <w:bottom w:val="single" w:sz="4" w:space="0" w:color="auto"/>
              <w:right w:val="single" w:sz="4" w:space="0" w:color="000000"/>
            </w:tcBorders>
            <w:shd w:val="clear" w:color="auto" w:fill="auto"/>
            <w:vAlign w:val="center"/>
          </w:tcPr>
          <w:p w:rsidR="00EE5E22" w:rsidRDefault="008819A8">
            <w:pPr>
              <w:jc w:val="center"/>
              <w:rPr>
                <w:rFonts w:cs="宋体" w:hint="default"/>
                <w:color w:val="000000"/>
                <w:sz w:val="22"/>
                <w:szCs w:val="22"/>
              </w:rPr>
            </w:pPr>
            <w:r>
              <w:rPr>
                <w:rFonts w:cs="宋体"/>
                <w:color w:val="000000"/>
                <w:sz w:val="22"/>
                <w:szCs w:val="22"/>
              </w:rPr>
              <w:t xml:space="preserve">12,118,382.12 </w:t>
            </w:r>
          </w:p>
        </w:tc>
        <w:tc>
          <w:tcPr>
            <w:tcW w:w="1843" w:type="dxa"/>
            <w:gridSpan w:val="5"/>
            <w:tcBorders>
              <w:top w:val="single" w:sz="4" w:space="0" w:color="auto"/>
              <w:left w:val="nil"/>
              <w:bottom w:val="single" w:sz="4" w:space="0" w:color="auto"/>
              <w:right w:val="single" w:sz="4" w:space="0" w:color="000000"/>
            </w:tcBorders>
            <w:shd w:val="clear" w:color="auto" w:fill="auto"/>
            <w:noWrap/>
            <w:vAlign w:val="center"/>
          </w:tcPr>
          <w:p w:rsidR="00EE5E22" w:rsidRDefault="008819A8">
            <w:pPr>
              <w:jc w:val="center"/>
              <w:rPr>
                <w:rFonts w:cs="宋体" w:hint="default"/>
                <w:color w:val="000000"/>
                <w:sz w:val="22"/>
                <w:szCs w:val="22"/>
              </w:rPr>
            </w:pPr>
            <w:r>
              <w:rPr>
                <w:rFonts w:cs="宋体"/>
                <w:color w:val="000000"/>
                <w:sz w:val="22"/>
                <w:szCs w:val="22"/>
              </w:rPr>
              <w:t xml:space="preserve">12,118,382.12 </w:t>
            </w:r>
          </w:p>
        </w:tc>
        <w:tc>
          <w:tcPr>
            <w:tcW w:w="712" w:type="dxa"/>
            <w:tcBorders>
              <w:top w:val="nil"/>
              <w:left w:val="nil"/>
              <w:bottom w:val="single" w:sz="4" w:space="0" w:color="auto"/>
              <w:right w:val="single" w:sz="4" w:space="0" w:color="auto"/>
            </w:tcBorders>
            <w:shd w:val="clear" w:color="auto" w:fill="auto"/>
            <w:noWrap/>
            <w:vAlign w:val="center"/>
          </w:tcPr>
          <w:p w:rsidR="00EE5E22" w:rsidRDefault="008819A8" w:rsidP="008819A8">
            <w:pPr>
              <w:rPr>
                <w:rFonts w:cs="宋体" w:hint="default"/>
                <w:color w:val="000000"/>
                <w:sz w:val="22"/>
                <w:szCs w:val="22"/>
              </w:rPr>
            </w:pPr>
            <w:r>
              <w:rPr>
                <w:rFonts w:cs="宋体" w:hint="default"/>
                <w:color w:val="000000"/>
                <w:sz w:val="22"/>
                <w:szCs w:val="22"/>
              </w:rPr>
              <w:t>100%</w:t>
            </w:r>
          </w:p>
        </w:tc>
      </w:tr>
      <w:tr w:rsidR="008819A8" w:rsidTr="00B004AE">
        <w:trPr>
          <w:trHeight w:val="600"/>
        </w:trPr>
        <w:tc>
          <w:tcPr>
            <w:tcW w:w="8440" w:type="dxa"/>
            <w:gridSpan w:val="16"/>
            <w:tcBorders>
              <w:top w:val="single" w:sz="4" w:space="0" w:color="auto"/>
              <w:left w:val="single" w:sz="4" w:space="0" w:color="auto"/>
              <w:bottom w:val="single" w:sz="4" w:space="0" w:color="auto"/>
              <w:right w:val="single" w:sz="4" w:space="0" w:color="auto"/>
            </w:tcBorders>
            <w:shd w:val="clear" w:color="auto" w:fill="auto"/>
            <w:noWrap/>
            <w:vAlign w:val="center"/>
          </w:tcPr>
          <w:p w:rsidR="00EE5E22" w:rsidRDefault="008819A8">
            <w:pPr>
              <w:jc w:val="center"/>
              <w:rPr>
                <w:rFonts w:ascii="微软雅黑" w:eastAsia="微软雅黑" w:hAnsi="微软雅黑" w:cs="宋体" w:hint="default"/>
                <w:b/>
                <w:bCs/>
                <w:color w:val="7F7F7F"/>
                <w:sz w:val="28"/>
                <w:szCs w:val="28"/>
              </w:rPr>
            </w:pPr>
            <w:r>
              <w:rPr>
                <w:rFonts w:ascii="微软雅黑" w:eastAsia="微软雅黑" w:hAnsi="微软雅黑" w:cs="宋体"/>
                <w:b/>
                <w:bCs/>
                <w:color w:val="7F7F7F"/>
                <w:sz w:val="28"/>
                <w:szCs w:val="28"/>
              </w:rPr>
              <w:t>绩效目标</w:t>
            </w:r>
          </w:p>
        </w:tc>
      </w:tr>
      <w:tr w:rsidR="008819A8" w:rsidTr="00B004AE">
        <w:trPr>
          <w:trHeight w:val="499"/>
        </w:trPr>
        <w:tc>
          <w:tcPr>
            <w:tcW w:w="2669"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年初绩效目标</w:t>
            </w:r>
          </w:p>
        </w:tc>
        <w:tc>
          <w:tcPr>
            <w:tcW w:w="3533" w:type="dxa"/>
            <w:gridSpan w:val="6"/>
            <w:tcBorders>
              <w:top w:val="single" w:sz="4" w:space="0" w:color="auto"/>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全年（调整）绩效目标</w:t>
            </w:r>
          </w:p>
        </w:tc>
        <w:tc>
          <w:tcPr>
            <w:tcW w:w="2238" w:type="dxa"/>
            <w:gridSpan w:val="5"/>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全年目标实际完成情况</w:t>
            </w:r>
          </w:p>
        </w:tc>
      </w:tr>
      <w:tr w:rsidR="008819A8" w:rsidTr="00B004AE">
        <w:trPr>
          <w:trHeight w:val="1134"/>
        </w:trPr>
        <w:tc>
          <w:tcPr>
            <w:tcW w:w="2669" w:type="dxa"/>
            <w:gridSpan w:val="5"/>
            <w:tcBorders>
              <w:top w:val="single" w:sz="4" w:space="0" w:color="auto"/>
              <w:left w:val="single" w:sz="4" w:space="0" w:color="auto"/>
              <w:bottom w:val="single" w:sz="4" w:space="0" w:color="auto"/>
              <w:right w:val="single" w:sz="4" w:space="0" w:color="auto"/>
            </w:tcBorders>
            <w:shd w:val="clear" w:color="auto" w:fill="auto"/>
          </w:tcPr>
          <w:p w:rsidR="00EE5E22" w:rsidRDefault="008819A8">
            <w:pPr>
              <w:rPr>
                <w:rFonts w:cs="宋体" w:hint="default"/>
                <w:color w:val="000000"/>
                <w:sz w:val="22"/>
                <w:szCs w:val="22"/>
              </w:rPr>
            </w:pPr>
            <w:r>
              <w:rPr>
                <w:rFonts w:cs="宋体"/>
                <w:color w:val="000000"/>
                <w:sz w:val="22"/>
                <w:szCs w:val="22"/>
              </w:rPr>
              <w:t>积极支持全县商贸企业发展壮大。</w:t>
            </w:r>
          </w:p>
        </w:tc>
        <w:tc>
          <w:tcPr>
            <w:tcW w:w="3533" w:type="dxa"/>
            <w:gridSpan w:val="6"/>
            <w:tcBorders>
              <w:top w:val="single" w:sz="4" w:space="0" w:color="auto"/>
              <w:left w:val="nil"/>
              <w:bottom w:val="single" w:sz="4" w:space="0" w:color="auto"/>
              <w:right w:val="single" w:sz="4" w:space="0" w:color="auto"/>
            </w:tcBorders>
            <w:shd w:val="clear" w:color="auto" w:fill="auto"/>
          </w:tcPr>
          <w:p w:rsidR="00EE5E22" w:rsidRDefault="008819A8">
            <w:pPr>
              <w:rPr>
                <w:rFonts w:cs="宋体" w:hint="default"/>
                <w:color w:val="000000"/>
                <w:sz w:val="22"/>
                <w:szCs w:val="22"/>
              </w:rPr>
            </w:pPr>
            <w:r>
              <w:rPr>
                <w:rFonts w:cs="宋体"/>
                <w:color w:val="000000"/>
                <w:sz w:val="22"/>
                <w:szCs w:val="22"/>
              </w:rPr>
              <w:t>积极支持全县商贸企业发展壮大。</w:t>
            </w:r>
          </w:p>
        </w:tc>
        <w:tc>
          <w:tcPr>
            <w:tcW w:w="2238" w:type="dxa"/>
            <w:gridSpan w:val="5"/>
            <w:tcBorders>
              <w:top w:val="nil"/>
              <w:left w:val="nil"/>
              <w:bottom w:val="single" w:sz="4" w:space="0" w:color="auto"/>
              <w:right w:val="single" w:sz="4" w:space="0" w:color="auto"/>
            </w:tcBorders>
            <w:shd w:val="clear" w:color="auto" w:fill="auto"/>
          </w:tcPr>
          <w:p w:rsidR="00EE5E22" w:rsidRDefault="008819A8">
            <w:pPr>
              <w:rPr>
                <w:rFonts w:cs="宋体" w:hint="default"/>
                <w:color w:val="000000"/>
                <w:sz w:val="22"/>
                <w:szCs w:val="22"/>
              </w:rPr>
            </w:pPr>
            <w:r>
              <w:rPr>
                <w:rFonts w:cs="宋体"/>
                <w:color w:val="000000"/>
                <w:sz w:val="22"/>
                <w:szCs w:val="22"/>
              </w:rPr>
              <w:t>补贴企业25家，积极支持了全县商贸企业发展壮大。</w:t>
            </w:r>
          </w:p>
        </w:tc>
      </w:tr>
      <w:tr w:rsidR="008819A8" w:rsidTr="00B004AE">
        <w:trPr>
          <w:trHeight w:val="600"/>
        </w:trPr>
        <w:tc>
          <w:tcPr>
            <w:tcW w:w="8440" w:type="dxa"/>
            <w:gridSpan w:val="16"/>
            <w:tcBorders>
              <w:top w:val="single" w:sz="4" w:space="0" w:color="auto"/>
              <w:left w:val="single" w:sz="4" w:space="0" w:color="auto"/>
              <w:bottom w:val="single" w:sz="4" w:space="0" w:color="auto"/>
              <w:right w:val="single" w:sz="4" w:space="0" w:color="auto"/>
            </w:tcBorders>
            <w:shd w:val="clear" w:color="auto" w:fill="auto"/>
            <w:noWrap/>
            <w:vAlign w:val="center"/>
          </w:tcPr>
          <w:p w:rsidR="00EE5E22" w:rsidRDefault="008819A8">
            <w:pPr>
              <w:jc w:val="center"/>
              <w:rPr>
                <w:rFonts w:ascii="微软雅黑" w:eastAsia="微软雅黑" w:hAnsi="微软雅黑" w:cs="宋体" w:hint="default"/>
                <w:b/>
                <w:bCs/>
                <w:color w:val="7F7F7F"/>
                <w:sz w:val="28"/>
                <w:szCs w:val="28"/>
              </w:rPr>
            </w:pPr>
            <w:r>
              <w:rPr>
                <w:rFonts w:ascii="微软雅黑" w:eastAsia="微软雅黑" w:hAnsi="微软雅黑" w:cs="宋体"/>
                <w:b/>
                <w:bCs/>
                <w:color w:val="7F7F7F"/>
                <w:sz w:val="28"/>
                <w:szCs w:val="28"/>
              </w:rPr>
              <w:t>绩效指标</w:t>
            </w:r>
          </w:p>
        </w:tc>
      </w:tr>
      <w:tr w:rsidR="00B004AE" w:rsidTr="00B004AE">
        <w:trPr>
          <w:trHeight w:val="499"/>
        </w:trPr>
        <w:tc>
          <w:tcPr>
            <w:tcW w:w="654" w:type="dxa"/>
            <w:tcBorders>
              <w:top w:val="nil"/>
              <w:left w:val="single" w:sz="4" w:space="0" w:color="auto"/>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指标名称</w:t>
            </w:r>
          </w:p>
        </w:tc>
        <w:tc>
          <w:tcPr>
            <w:tcW w:w="646"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计量单位</w:t>
            </w:r>
          </w:p>
        </w:tc>
        <w:tc>
          <w:tcPr>
            <w:tcW w:w="643" w:type="dxa"/>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指标性质</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指标值</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全年完成值</w:t>
            </w:r>
          </w:p>
        </w:tc>
        <w:tc>
          <w:tcPr>
            <w:tcW w:w="1184" w:type="dxa"/>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偏离度（%）</w:t>
            </w:r>
          </w:p>
        </w:tc>
        <w:tc>
          <w:tcPr>
            <w:tcW w:w="1107"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得分系数（%）</w:t>
            </w:r>
          </w:p>
        </w:tc>
        <w:tc>
          <w:tcPr>
            <w:tcW w:w="812"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rFonts w:cs="宋体"/>
                <w:b/>
                <w:bCs/>
                <w:color w:val="000000"/>
                <w:sz w:val="22"/>
                <w:szCs w:val="22"/>
              </w:rPr>
              <w:t>指标权重</w:t>
            </w:r>
          </w:p>
        </w:tc>
        <w:tc>
          <w:tcPr>
            <w:tcW w:w="714"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center"/>
              <w:rPr>
                <w:rFonts w:cs="宋体" w:hint="default"/>
                <w:b/>
                <w:bCs/>
                <w:color w:val="000000"/>
                <w:sz w:val="22"/>
                <w:szCs w:val="22"/>
              </w:rPr>
            </w:pPr>
            <w:r>
              <w:rPr>
                <w:b/>
                <w:bCs/>
                <w:color w:val="000000"/>
                <w:sz w:val="22"/>
                <w:szCs w:val="22"/>
              </w:rPr>
              <w:t>指标得分</w:t>
            </w:r>
          </w:p>
        </w:tc>
        <w:tc>
          <w:tcPr>
            <w:tcW w:w="712" w:type="dxa"/>
            <w:tcBorders>
              <w:top w:val="nil"/>
              <w:left w:val="nil"/>
              <w:bottom w:val="single" w:sz="4" w:space="0" w:color="auto"/>
              <w:right w:val="single" w:sz="4" w:space="0" w:color="auto"/>
            </w:tcBorders>
            <w:shd w:val="clear" w:color="auto" w:fill="auto"/>
            <w:vAlign w:val="center"/>
          </w:tcPr>
          <w:p w:rsidR="00EE5E22" w:rsidRDefault="00EE5E22">
            <w:pPr>
              <w:jc w:val="center"/>
              <w:rPr>
                <w:rFonts w:hint="default"/>
                <w:b/>
                <w:bCs/>
                <w:color w:val="000000"/>
                <w:sz w:val="22"/>
                <w:szCs w:val="22"/>
              </w:rPr>
            </w:pPr>
          </w:p>
          <w:p w:rsidR="00EE5E22" w:rsidRDefault="008819A8">
            <w:pPr>
              <w:jc w:val="center"/>
              <w:rPr>
                <w:rFonts w:cs="宋体" w:hint="default"/>
                <w:b/>
                <w:bCs/>
                <w:color w:val="000000"/>
                <w:sz w:val="22"/>
                <w:szCs w:val="22"/>
              </w:rPr>
            </w:pPr>
            <w:r>
              <w:rPr>
                <w:b/>
                <w:bCs/>
                <w:color w:val="000000"/>
                <w:sz w:val="22"/>
                <w:szCs w:val="22"/>
              </w:rPr>
              <w:t>说明</w:t>
            </w:r>
          </w:p>
          <w:p w:rsidR="00EE5E22" w:rsidRDefault="00EE5E22">
            <w:pPr>
              <w:jc w:val="center"/>
              <w:rPr>
                <w:rFonts w:cs="宋体" w:hint="default"/>
                <w:b/>
                <w:bCs/>
                <w:color w:val="000000"/>
                <w:sz w:val="22"/>
                <w:szCs w:val="22"/>
              </w:rPr>
            </w:pPr>
          </w:p>
        </w:tc>
      </w:tr>
      <w:tr w:rsidR="00B004AE" w:rsidTr="00B004AE">
        <w:trPr>
          <w:trHeight w:val="499"/>
        </w:trPr>
        <w:tc>
          <w:tcPr>
            <w:tcW w:w="654" w:type="dxa"/>
            <w:tcBorders>
              <w:top w:val="nil"/>
              <w:left w:val="single" w:sz="4" w:space="0" w:color="auto"/>
              <w:bottom w:val="single" w:sz="4" w:space="0" w:color="auto"/>
              <w:right w:val="single" w:sz="4" w:space="0" w:color="auto"/>
            </w:tcBorders>
            <w:shd w:val="clear" w:color="auto" w:fill="auto"/>
            <w:noWrap/>
            <w:vAlign w:val="center"/>
          </w:tcPr>
          <w:p w:rsidR="00EE5E22" w:rsidRDefault="008819A8">
            <w:pPr>
              <w:rPr>
                <w:rFonts w:cs="宋体" w:hint="default"/>
                <w:color w:val="000000"/>
                <w:sz w:val="22"/>
                <w:szCs w:val="22"/>
              </w:rPr>
            </w:pPr>
            <w:r>
              <w:rPr>
                <w:rFonts w:cs="宋体"/>
                <w:color w:val="000000"/>
                <w:sz w:val="22"/>
                <w:szCs w:val="22"/>
              </w:rPr>
              <w:t>补贴企业</w:t>
            </w:r>
          </w:p>
        </w:tc>
        <w:tc>
          <w:tcPr>
            <w:tcW w:w="646"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个</w:t>
            </w:r>
          </w:p>
        </w:tc>
        <w:tc>
          <w:tcPr>
            <w:tcW w:w="643"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5</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25</w:t>
            </w:r>
          </w:p>
        </w:tc>
        <w:tc>
          <w:tcPr>
            <w:tcW w:w="1184"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400</w:t>
            </w:r>
          </w:p>
        </w:tc>
        <w:tc>
          <w:tcPr>
            <w:tcW w:w="1107"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100</w:t>
            </w:r>
          </w:p>
        </w:tc>
        <w:tc>
          <w:tcPr>
            <w:tcW w:w="812"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w:t>
            </w:r>
          </w:p>
        </w:tc>
        <w:tc>
          <w:tcPr>
            <w:tcW w:w="714"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color w:val="000000"/>
                <w:sz w:val="22"/>
                <w:szCs w:val="22"/>
              </w:rPr>
            </w:pPr>
            <w:r>
              <w:rPr>
                <w:rFonts w:cs="宋体"/>
                <w:color w:val="000000"/>
                <w:sz w:val="22"/>
                <w:szCs w:val="22"/>
              </w:rPr>
              <w:t>10</w:t>
            </w:r>
          </w:p>
        </w:tc>
        <w:tc>
          <w:tcPr>
            <w:tcW w:w="712" w:type="dxa"/>
            <w:tcBorders>
              <w:top w:val="nil"/>
              <w:left w:val="nil"/>
              <w:bottom w:val="single" w:sz="4" w:space="0" w:color="auto"/>
              <w:right w:val="single" w:sz="4" w:space="0" w:color="auto"/>
            </w:tcBorders>
            <w:shd w:val="clear" w:color="auto" w:fill="auto"/>
            <w:vAlign w:val="center"/>
          </w:tcPr>
          <w:p w:rsidR="00EE5E22" w:rsidRDefault="00EE5E22">
            <w:pPr>
              <w:jc w:val="right"/>
              <w:rPr>
                <w:rFonts w:cs="宋体" w:hint="default"/>
                <w:color w:val="000000"/>
                <w:sz w:val="22"/>
                <w:szCs w:val="22"/>
              </w:rPr>
            </w:pPr>
          </w:p>
        </w:tc>
      </w:tr>
      <w:tr w:rsidR="00B004AE" w:rsidTr="00B004AE">
        <w:trPr>
          <w:trHeight w:val="499"/>
        </w:trPr>
        <w:tc>
          <w:tcPr>
            <w:tcW w:w="654" w:type="dxa"/>
            <w:tcBorders>
              <w:top w:val="nil"/>
              <w:left w:val="single" w:sz="4" w:space="0" w:color="auto"/>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项目达</w:t>
            </w:r>
            <w:r>
              <w:rPr>
                <w:rFonts w:cs="宋体"/>
                <w:color w:val="000000"/>
                <w:sz w:val="22"/>
                <w:szCs w:val="22"/>
              </w:rPr>
              <w:lastRenderedPageBreak/>
              <w:t>标率</w:t>
            </w:r>
          </w:p>
        </w:tc>
        <w:tc>
          <w:tcPr>
            <w:tcW w:w="646"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lastRenderedPageBreak/>
              <w:t>%</w:t>
            </w:r>
          </w:p>
        </w:tc>
        <w:tc>
          <w:tcPr>
            <w:tcW w:w="643"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100</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100</w:t>
            </w:r>
          </w:p>
        </w:tc>
        <w:tc>
          <w:tcPr>
            <w:tcW w:w="1184"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0</w:t>
            </w:r>
          </w:p>
        </w:tc>
        <w:tc>
          <w:tcPr>
            <w:tcW w:w="1107"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100</w:t>
            </w:r>
          </w:p>
        </w:tc>
        <w:tc>
          <w:tcPr>
            <w:tcW w:w="812"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w:t>
            </w:r>
          </w:p>
        </w:tc>
        <w:tc>
          <w:tcPr>
            <w:tcW w:w="714"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color w:val="000000"/>
                <w:sz w:val="22"/>
                <w:szCs w:val="22"/>
              </w:rPr>
            </w:pPr>
            <w:r>
              <w:rPr>
                <w:rFonts w:cs="宋体"/>
                <w:color w:val="000000"/>
                <w:sz w:val="22"/>
                <w:szCs w:val="22"/>
              </w:rPr>
              <w:t>10</w:t>
            </w:r>
          </w:p>
        </w:tc>
        <w:tc>
          <w:tcPr>
            <w:tcW w:w="712" w:type="dxa"/>
            <w:tcBorders>
              <w:top w:val="nil"/>
              <w:left w:val="nil"/>
              <w:bottom w:val="single" w:sz="4" w:space="0" w:color="auto"/>
              <w:right w:val="single" w:sz="4" w:space="0" w:color="auto"/>
            </w:tcBorders>
            <w:shd w:val="clear" w:color="auto" w:fill="auto"/>
            <w:vAlign w:val="center"/>
          </w:tcPr>
          <w:p w:rsidR="00EE5E22" w:rsidRDefault="00EE5E22">
            <w:pPr>
              <w:jc w:val="right"/>
              <w:rPr>
                <w:rFonts w:cs="宋体" w:hint="default"/>
                <w:color w:val="000000"/>
                <w:sz w:val="22"/>
                <w:szCs w:val="22"/>
              </w:rPr>
            </w:pPr>
          </w:p>
        </w:tc>
      </w:tr>
      <w:tr w:rsidR="00B004AE" w:rsidTr="00B004AE">
        <w:trPr>
          <w:trHeight w:val="499"/>
        </w:trPr>
        <w:tc>
          <w:tcPr>
            <w:tcW w:w="654" w:type="dxa"/>
            <w:tcBorders>
              <w:top w:val="nil"/>
              <w:left w:val="single" w:sz="4" w:space="0" w:color="auto"/>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lastRenderedPageBreak/>
              <w:t>项目完成进度</w:t>
            </w:r>
          </w:p>
        </w:tc>
        <w:tc>
          <w:tcPr>
            <w:tcW w:w="646"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年</w:t>
            </w:r>
          </w:p>
        </w:tc>
        <w:tc>
          <w:tcPr>
            <w:tcW w:w="643"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2</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2</w:t>
            </w:r>
          </w:p>
        </w:tc>
        <w:tc>
          <w:tcPr>
            <w:tcW w:w="1184"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0</w:t>
            </w:r>
          </w:p>
        </w:tc>
        <w:tc>
          <w:tcPr>
            <w:tcW w:w="1107"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100</w:t>
            </w:r>
          </w:p>
        </w:tc>
        <w:tc>
          <w:tcPr>
            <w:tcW w:w="812"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20</w:t>
            </w:r>
          </w:p>
        </w:tc>
        <w:tc>
          <w:tcPr>
            <w:tcW w:w="714"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color w:val="000000"/>
                <w:sz w:val="22"/>
                <w:szCs w:val="22"/>
              </w:rPr>
            </w:pPr>
            <w:r>
              <w:rPr>
                <w:rFonts w:cs="宋体"/>
                <w:color w:val="000000"/>
                <w:sz w:val="22"/>
                <w:szCs w:val="22"/>
              </w:rPr>
              <w:t>20</w:t>
            </w:r>
          </w:p>
        </w:tc>
        <w:tc>
          <w:tcPr>
            <w:tcW w:w="712" w:type="dxa"/>
            <w:tcBorders>
              <w:top w:val="nil"/>
              <w:left w:val="nil"/>
              <w:bottom w:val="single" w:sz="4" w:space="0" w:color="auto"/>
              <w:right w:val="single" w:sz="4" w:space="0" w:color="auto"/>
            </w:tcBorders>
            <w:shd w:val="clear" w:color="auto" w:fill="auto"/>
            <w:vAlign w:val="center"/>
          </w:tcPr>
          <w:p w:rsidR="00EE5E22" w:rsidRDefault="00EE5E22">
            <w:pPr>
              <w:jc w:val="right"/>
              <w:rPr>
                <w:rFonts w:cs="宋体" w:hint="default"/>
                <w:color w:val="000000"/>
                <w:sz w:val="22"/>
                <w:szCs w:val="22"/>
              </w:rPr>
            </w:pPr>
          </w:p>
        </w:tc>
      </w:tr>
      <w:tr w:rsidR="00B004AE" w:rsidTr="00B004AE">
        <w:trPr>
          <w:trHeight w:val="499"/>
        </w:trPr>
        <w:tc>
          <w:tcPr>
            <w:tcW w:w="654" w:type="dxa"/>
            <w:tcBorders>
              <w:top w:val="nil"/>
              <w:left w:val="single" w:sz="4" w:space="0" w:color="auto"/>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项目补助金额</w:t>
            </w:r>
          </w:p>
        </w:tc>
        <w:tc>
          <w:tcPr>
            <w:tcW w:w="646"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万元</w:t>
            </w:r>
          </w:p>
        </w:tc>
        <w:tc>
          <w:tcPr>
            <w:tcW w:w="643"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1211.84</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1211.84</w:t>
            </w:r>
          </w:p>
        </w:tc>
        <w:tc>
          <w:tcPr>
            <w:tcW w:w="1184"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0</w:t>
            </w:r>
          </w:p>
        </w:tc>
        <w:tc>
          <w:tcPr>
            <w:tcW w:w="1107"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100</w:t>
            </w:r>
          </w:p>
        </w:tc>
        <w:tc>
          <w:tcPr>
            <w:tcW w:w="812"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w:t>
            </w:r>
          </w:p>
        </w:tc>
        <w:tc>
          <w:tcPr>
            <w:tcW w:w="714"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color w:val="000000"/>
                <w:sz w:val="22"/>
                <w:szCs w:val="22"/>
              </w:rPr>
            </w:pPr>
            <w:r>
              <w:rPr>
                <w:rFonts w:cs="宋体"/>
                <w:color w:val="000000"/>
                <w:sz w:val="22"/>
                <w:szCs w:val="22"/>
              </w:rPr>
              <w:t>10</w:t>
            </w:r>
          </w:p>
        </w:tc>
        <w:tc>
          <w:tcPr>
            <w:tcW w:w="712" w:type="dxa"/>
            <w:tcBorders>
              <w:top w:val="nil"/>
              <w:left w:val="nil"/>
              <w:bottom w:val="single" w:sz="4" w:space="0" w:color="auto"/>
              <w:right w:val="single" w:sz="4" w:space="0" w:color="auto"/>
            </w:tcBorders>
            <w:shd w:val="clear" w:color="auto" w:fill="auto"/>
            <w:vAlign w:val="center"/>
          </w:tcPr>
          <w:p w:rsidR="00EE5E22" w:rsidRDefault="00EE5E22">
            <w:pPr>
              <w:jc w:val="right"/>
              <w:rPr>
                <w:rFonts w:cs="宋体" w:hint="default"/>
                <w:color w:val="000000"/>
                <w:sz w:val="22"/>
                <w:szCs w:val="22"/>
              </w:rPr>
            </w:pPr>
          </w:p>
        </w:tc>
      </w:tr>
      <w:tr w:rsidR="00B004AE" w:rsidTr="00B004AE">
        <w:trPr>
          <w:trHeight w:val="499"/>
        </w:trPr>
        <w:tc>
          <w:tcPr>
            <w:tcW w:w="654" w:type="dxa"/>
            <w:tcBorders>
              <w:top w:val="nil"/>
              <w:left w:val="single" w:sz="4" w:space="0" w:color="auto"/>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拓展企业发展</w:t>
            </w:r>
          </w:p>
        </w:tc>
        <w:tc>
          <w:tcPr>
            <w:tcW w:w="646"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 xml:space="preserve">　</w:t>
            </w:r>
          </w:p>
        </w:tc>
        <w:tc>
          <w:tcPr>
            <w:tcW w:w="643" w:type="dxa"/>
            <w:tcBorders>
              <w:top w:val="nil"/>
              <w:left w:val="nil"/>
              <w:bottom w:val="single" w:sz="4" w:space="0" w:color="auto"/>
              <w:right w:val="single" w:sz="4" w:space="0" w:color="auto"/>
            </w:tcBorders>
            <w:shd w:val="clear" w:color="auto" w:fill="auto"/>
            <w:noWrap/>
            <w:vAlign w:val="center"/>
          </w:tcPr>
          <w:p w:rsidR="00EE5E22" w:rsidRDefault="008819A8">
            <w:pPr>
              <w:rPr>
                <w:rFonts w:cs="宋体" w:hint="default"/>
                <w:color w:val="000000"/>
                <w:sz w:val="22"/>
                <w:szCs w:val="22"/>
              </w:rPr>
            </w:pPr>
            <w:r>
              <w:rPr>
                <w:rFonts w:cs="宋体"/>
                <w:color w:val="000000"/>
                <w:sz w:val="22"/>
                <w:szCs w:val="22"/>
              </w:rPr>
              <w:t>定性</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有效提升</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w:t>
            </w:r>
          </w:p>
        </w:tc>
        <w:tc>
          <w:tcPr>
            <w:tcW w:w="1184"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0</w:t>
            </w:r>
          </w:p>
        </w:tc>
        <w:tc>
          <w:tcPr>
            <w:tcW w:w="1107"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100</w:t>
            </w:r>
          </w:p>
        </w:tc>
        <w:tc>
          <w:tcPr>
            <w:tcW w:w="812"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30</w:t>
            </w:r>
          </w:p>
        </w:tc>
        <w:tc>
          <w:tcPr>
            <w:tcW w:w="714"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color w:val="000000"/>
                <w:sz w:val="22"/>
                <w:szCs w:val="22"/>
              </w:rPr>
            </w:pPr>
            <w:r>
              <w:rPr>
                <w:rFonts w:cs="宋体"/>
                <w:color w:val="000000"/>
                <w:sz w:val="22"/>
                <w:szCs w:val="22"/>
              </w:rPr>
              <w:t>30</w:t>
            </w:r>
          </w:p>
        </w:tc>
        <w:tc>
          <w:tcPr>
            <w:tcW w:w="712" w:type="dxa"/>
            <w:tcBorders>
              <w:top w:val="nil"/>
              <w:left w:val="nil"/>
              <w:bottom w:val="single" w:sz="4" w:space="0" w:color="auto"/>
              <w:right w:val="single" w:sz="4" w:space="0" w:color="auto"/>
            </w:tcBorders>
            <w:shd w:val="clear" w:color="auto" w:fill="auto"/>
            <w:vAlign w:val="center"/>
          </w:tcPr>
          <w:p w:rsidR="00EE5E22" w:rsidRDefault="00EE5E22">
            <w:pPr>
              <w:jc w:val="right"/>
              <w:rPr>
                <w:rFonts w:cs="宋体" w:hint="default"/>
                <w:color w:val="000000"/>
                <w:sz w:val="22"/>
                <w:szCs w:val="22"/>
              </w:rPr>
            </w:pPr>
          </w:p>
        </w:tc>
      </w:tr>
      <w:tr w:rsidR="00B004AE" w:rsidTr="00B004AE">
        <w:trPr>
          <w:trHeight w:val="499"/>
        </w:trPr>
        <w:tc>
          <w:tcPr>
            <w:tcW w:w="654" w:type="dxa"/>
            <w:tcBorders>
              <w:top w:val="nil"/>
              <w:left w:val="single" w:sz="4" w:space="0" w:color="auto"/>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服务对象满意度</w:t>
            </w:r>
          </w:p>
        </w:tc>
        <w:tc>
          <w:tcPr>
            <w:tcW w:w="646"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w:t>
            </w:r>
          </w:p>
        </w:tc>
        <w:tc>
          <w:tcPr>
            <w:tcW w:w="643"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rPr>
                <w:rFonts w:cs="宋体" w:hint="default"/>
                <w:color w:val="000000"/>
                <w:sz w:val="22"/>
                <w:szCs w:val="22"/>
              </w:rPr>
            </w:pPr>
            <w:r>
              <w:rPr>
                <w:rFonts w:cs="宋体"/>
                <w:color w:val="000000"/>
                <w:sz w:val="22"/>
                <w:szCs w:val="22"/>
              </w:rPr>
              <w:t>≥</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85</w:t>
            </w:r>
          </w:p>
        </w:tc>
        <w:tc>
          <w:tcPr>
            <w:tcW w:w="984"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90</w:t>
            </w:r>
          </w:p>
        </w:tc>
        <w:tc>
          <w:tcPr>
            <w:tcW w:w="1184" w:type="dxa"/>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5.88</w:t>
            </w:r>
          </w:p>
        </w:tc>
        <w:tc>
          <w:tcPr>
            <w:tcW w:w="1107"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100</w:t>
            </w:r>
          </w:p>
        </w:tc>
        <w:tc>
          <w:tcPr>
            <w:tcW w:w="812" w:type="dxa"/>
            <w:gridSpan w:val="2"/>
            <w:tcBorders>
              <w:top w:val="nil"/>
              <w:left w:val="nil"/>
              <w:bottom w:val="single" w:sz="4" w:space="0" w:color="auto"/>
              <w:right w:val="single" w:sz="4" w:space="0" w:color="auto"/>
            </w:tcBorders>
            <w:shd w:val="clear" w:color="auto" w:fill="auto"/>
            <w:noWrap/>
            <w:vAlign w:val="center"/>
          </w:tcPr>
          <w:p w:rsidR="00EE5E22" w:rsidRDefault="008819A8">
            <w:pPr>
              <w:ind w:firstLineChars="100" w:firstLine="220"/>
              <w:jc w:val="right"/>
              <w:rPr>
                <w:rFonts w:cs="宋体" w:hint="default"/>
                <w:color w:val="000000"/>
                <w:sz w:val="22"/>
                <w:szCs w:val="22"/>
              </w:rPr>
            </w:pPr>
            <w:r>
              <w:rPr>
                <w:rFonts w:cs="宋体"/>
                <w:color w:val="000000"/>
                <w:sz w:val="22"/>
                <w:szCs w:val="22"/>
              </w:rPr>
              <w:t>10</w:t>
            </w:r>
          </w:p>
        </w:tc>
        <w:tc>
          <w:tcPr>
            <w:tcW w:w="714" w:type="dxa"/>
            <w:gridSpan w:val="2"/>
            <w:tcBorders>
              <w:top w:val="nil"/>
              <w:left w:val="nil"/>
              <w:bottom w:val="single" w:sz="4" w:space="0" w:color="auto"/>
              <w:right w:val="single" w:sz="4" w:space="0" w:color="auto"/>
            </w:tcBorders>
            <w:shd w:val="clear" w:color="auto" w:fill="auto"/>
            <w:noWrap/>
            <w:vAlign w:val="center"/>
          </w:tcPr>
          <w:p w:rsidR="00EE5E22" w:rsidRDefault="008819A8">
            <w:pPr>
              <w:jc w:val="right"/>
              <w:rPr>
                <w:rFonts w:cs="宋体" w:hint="default"/>
                <w:color w:val="000000"/>
                <w:sz w:val="22"/>
                <w:szCs w:val="22"/>
              </w:rPr>
            </w:pPr>
            <w:r>
              <w:rPr>
                <w:rFonts w:cs="宋体"/>
                <w:color w:val="000000"/>
                <w:sz w:val="22"/>
                <w:szCs w:val="22"/>
              </w:rPr>
              <w:t>10</w:t>
            </w:r>
          </w:p>
        </w:tc>
        <w:tc>
          <w:tcPr>
            <w:tcW w:w="712" w:type="dxa"/>
            <w:tcBorders>
              <w:top w:val="nil"/>
              <w:left w:val="nil"/>
              <w:bottom w:val="single" w:sz="4" w:space="0" w:color="auto"/>
              <w:right w:val="single" w:sz="4" w:space="0" w:color="auto"/>
            </w:tcBorders>
            <w:shd w:val="clear" w:color="auto" w:fill="auto"/>
            <w:vAlign w:val="center"/>
          </w:tcPr>
          <w:p w:rsidR="00EE5E22" w:rsidRDefault="00EE5E22">
            <w:pPr>
              <w:jc w:val="right"/>
              <w:rPr>
                <w:rFonts w:cs="宋体" w:hint="default"/>
                <w:color w:val="000000"/>
                <w:sz w:val="22"/>
                <w:szCs w:val="22"/>
              </w:rPr>
            </w:pPr>
          </w:p>
        </w:tc>
      </w:tr>
    </w:tbl>
    <w:p w:rsidR="00EE5E22" w:rsidRDefault="008819A8">
      <w:pPr>
        <w:pStyle w:val="1"/>
        <w:autoSpaceDE w:val="0"/>
        <w:ind w:firstLine="643"/>
        <w:rPr>
          <w:rFonts w:ascii="方正仿宋_GBK" w:eastAsia="方正仿宋_GBK" w:hAnsi="方正仿宋_GBK" w:cs="方正仿宋_GBK"/>
          <w:sz w:val="32"/>
          <w:szCs w:val="32"/>
          <w:shd w:val="clear" w:color="auto" w:fill="FFFFFF"/>
        </w:rPr>
      </w:pPr>
      <w:r>
        <w:rPr>
          <w:rFonts w:ascii="楷体" w:eastAsia="楷体" w:hAnsi="楷体" w:cs="楷体" w:hint="eastAsia"/>
          <w:b/>
          <w:bCs/>
          <w:sz w:val="32"/>
          <w:szCs w:val="32"/>
          <w:shd w:val="clear" w:color="auto" w:fill="FFFFFF"/>
        </w:rPr>
        <w:t>（二）单位绩效评价情况</w:t>
      </w:r>
    </w:p>
    <w:p w:rsidR="00EE5E22" w:rsidRDefault="008819A8">
      <w:pPr>
        <w:pStyle w:val="2"/>
        <w:autoSpaceDE w:val="0"/>
        <w:ind w:firstLineChars="300" w:firstLine="96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我单位未组织开展绩效评价。</w:t>
      </w:r>
    </w:p>
    <w:p w:rsidR="00EE5E22" w:rsidRDefault="008819A8">
      <w:pPr>
        <w:shd w:val="clear" w:color="auto" w:fill="FFFFFF"/>
        <w:spacing w:before="100" w:beforeAutospacing="1" w:after="100" w:afterAutospacing="1" w:line="560" w:lineRule="exact"/>
        <w:ind w:firstLineChars="200" w:firstLine="643"/>
        <w:rPr>
          <w:rFonts w:ascii="方正仿宋_GBK" w:eastAsia="方正仿宋_GBK" w:cs="宋体" w:hint="default"/>
          <w:sz w:val="32"/>
          <w:szCs w:val="32"/>
          <w:shd w:val="clear" w:color="auto" w:fill="FFFFFF"/>
        </w:rPr>
      </w:pPr>
      <w:r>
        <w:rPr>
          <w:rFonts w:ascii="楷体" w:eastAsia="楷体" w:hAnsi="楷体" w:cs="楷体"/>
          <w:b/>
          <w:bCs/>
          <w:sz w:val="32"/>
          <w:szCs w:val="32"/>
          <w:shd w:val="clear" w:color="auto" w:fill="FFFFFF"/>
        </w:rPr>
        <w:t>（三）财政绩效评价情况</w:t>
      </w:r>
    </w:p>
    <w:p w:rsidR="00EE5E22" w:rsidRDefault="008819A8">
      <w:pPr>
        <w:pStyle w:val="1"/>
        <w:autoSpaceDE w:val="0"/>
        <w:ind w:firstLine="640"/>
        <w:rPr>
          <w:rFonts w:asciiTheme="minorHAnsi" w:eastAsia="方正仿宋_GBK" w:hAnsiTheme="minorHAnsi" w:cs="宋体"/>
          <w:sz w:val="32"/>
          <w:szCs w:val="32"/>
          <w:shd w:val="clear" w:color="auto" w:fill="FFFFFF"/>
        </w:rPr>
      </w:pPr>
      <w:r>
        <w:rPr>
          <w:rFonts w:ascii="方正仿宋_GBK" w:eastAsia="方正仿宋_GBK" w:cs="宋体" w:hint="eastAsia"/>
          <w:sz w:val="32"/>
          <w:szCs w:val="32"/>
          <w:shd w:val="clear" w:color="auto" w:fill="FFFFFF"/>
        </w:rPr>
        <w:t>县财政局未委托第三方对我单位开展绩效评价。</w:t>
      </w:r>
    </w:p>
    <w:p w:rsidR="00EE5E22" w:rsidRDefault="008819A8">
      <w:pPr>
        <w:pStyle w:val="a5"/>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 xml:space="preserve">  </w:t>
      </w:r>
      <w:r>
        <w:rPr>
          <w:rStyle w:val="a7"/>
          <w:rFonts w:ascii="黑体" w:eastAsia="黑体" w:hAnsi="黑体" w:cs="黑体"/>
          <w:sz w:val="32"/>
          <w:szCs w:val="32"/>
          <w:shd w:val="clear" w:color="auto" w:fill="FFFFFF"/>
        </w:rPr>
        <w:t>六、专业名词解释</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Fonts w:ascii="方正仿宋_GBK" w:eastAsia="方正仿宋_GBK" w:hAnsi="方正仿宋_GBK" w:cs="方正仿宋_GBK"/>
          <w:b/>
          <w:bCs/>
          <w:sz w:val="32"/>
          <w:szCs w:val="32"/>
          <w:shd w:val="clear" w:color="auto" w:fill="FFFFFF"/>
        </w:rPr>
        <w:lastRenderedPageBreak/>
        <w:t> </w:t>
      </w:r>
      <w:r>
        <w:rPr>
          <w:rFonts w:ascii="楷体" w:eastAsia="楷体" w:hAnsi="楷体" w:cs="楷体"/>
          <w:b/>
          <w:bCs/>
          <w:sz w:val="32"/>
          <w:szCs w:val="32"/>
          <w:shd w:val="clear" w:color="auto" w:fill="FFFFFF"/>
        </w:rPr>
        <w:t>（一）财政拨款收入：</w:t>
      </w:r>
      <w:r>
        <w:rPr>
          <w:rFonts w:ascii="方正仿宋_GBK" w:eastAsia="方正仿宋_GBK" w:hAnsi="方正仿宋_GBK" w:cs="方正仿宋_GBK"/>
          <w:sz w:val="32"/>
          <w:szCs w:val="32"/>
          <w:shd w:val="clear" w:color="auto" w:fill="FFFFFF"/>
        </w:rPr>
        <w:t>指本年度从本级财政部门取得的财政拨款，包括一般公共预算财政拨款和政府性基金预算财政拨款。</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（二）事业收入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指事业单位开展专业业务活动及其辅助活动取得的现金流入；事业单位收到的财政专户实际核拨的教育收费等资金在此反映。</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（三）经营收入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指事业单位在专业业务活动及其辅助活动之外开展非独立核算经营活动取得的现金流入。</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（四）其他收入</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（五）使用非财政拨款结余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（六）年初结转和结余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指单位上年结转本年使用的基本支出结转、项目支出结转和结余、经营结余。</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lastRenderedPageBreak/>
        <w:t> </w:t>
      </w:r>
      <w:r>
        <w:rPr>
          <w:rStyle w:val="a7"/>
          <w:rFonts w:ascii="楷体" w:eastAsia="楷体" w:hAnsi="楷体" w:cs="楷体"/>
          <w:sz w:val="32"/>
          <w:szCs w:val="32"/>
          <w:shd w:val="clear" w:color="auto" w:fill="FFFFFF"/>
        </w:rPr>
        <w:t>（七）结余分配</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指单位按照国家有关规定，缴纳所得税、提取专用基金、转入非财政拨款结余等当年结余的分配情况。</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（八）年末结转和结余</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指单位结转下年的基本支出结转、项目支出结转和结余、经营结余。</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（九）基本支出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（十）项目支出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指在基本支出之外为完成特定行政任务和事业发展目标所发生的支出。</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（十一）经营支出</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指事业单位在专业业务活动及其辅助活动之外开展非独立核算经营活动发生的支出。</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（十二）“三公”经费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lastRenderedPageBreak/>
        <w:t> </w:t>
      </w:r>
      <w:r>
        <w:rPr>
          <w:rStyle w:val="a7"/>
          <w:rFonts w:ascii="楷体" w:eastAsia="楷体" w:hAnsi="楷体" w:cs="楷体"/>
          <w:sz w:val="32"/>
          <w:szCs w:val="32"/>
          <w:shd w:val="clear" w:color="auto" w:fill="FFFFFF"/>
        </w:rPr>
        <w:t>（十三）机关运行经费</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（十四）工资福利支出（支出经济分类科目类级）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反映单位开支的在职职工和编制外长期聘用人员的各类劳动报酬，以及为上述人员缴纳的各项社会保险费等。</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（十五）商品和服务支出（支出经济分类科目类级）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反映单位购买商品和服务的支出（不包括用于购置固定资产的支出、战略性和应急储备支出）。</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楷体" w:eastAsia="楷体" w:hAnsi="楷体" w:cs="楷体"/>
          <w:sz w:val="32"/>
          <w:szCs w:val="32"/>
          <w:shd w:val="clear" w:color="auto" w:fill="FFFFFF"/>
        </w:rPr>
        <w:t> （十六）对个人和家庭的补助（支出经济分类科目类级）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反映用于对个人和家庭的补助支出。</w:t>
      </w:r>
    </w:p>
    <w:p w:rsidR="00EE5E22" w:rsidRDefault="008819A8">
      <w:pPr>
        <w:pStyle w:val="a5"/>
        <w:snapToGrid w:val="0"/>
        <w:spacing w:before="0" w:beforeAutospacing="0" w:after="0" w:afterAutospacing="0" w:line="600" w:lineRule="exact"/>
        <w:ind w:firstLineChars="200" w:firstLine="643"/>
        <w:jc w:val="both"/>
        <w:rPr>
          <w:rFonts w:ascii="方正仿宋_GBK" w:eastAsia="方正仿宋_GBK" w:hAnsi="方正仿宋_GBK" w:cs="方正仿宋_GBK" w:hint="default"/>
          <w:sz w:val="32"/>
          <w:szCs w:val="32"/>
        </w:rPr>
      </w:pPr>
      <w:r>
        <w:rPr>
          <w:rStyle w:val="a7"/>
          <w:rFonts w:ascii="方正仿宋_GBK" w:eastAsia="方正仿宋_GBK" w:hAnsi="方正仿宋_GBK" w:cs="方正仿宋_GBK"/>
          <w:sz w:val="32"/>
          <w:szCs w:val="32"/>
          <w:shd w:val="clear" w:color="auto" w:fill="FFFFFF"/>
        </w:rPr>
        <w:t> </w:t>
      </w:r>
      <w:r>
        <w:rPr>
          <w:rStyle w:val="a7"/>
          <w:rFonts w:ascii="楷体" w:eastAsia="楷体" w:hAnsi="楷体" w:cs="楷体"/>
          <w:sz w:val="32"/>
          <w:szCs w:val="32"/>
          <w:shd w:val="clear" w:color="auto" w:fill="FFFFFF"/>
        </w:rPr>
        <w:t>（十七）其他资本性支出（支出经济分类科目类级）</w:t>
      </w:r>
      <w:r>
        <w:rPr>
          <w:rFonts w:ascii="楷体" w:eastAsia="楷体"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rsidR="00EE5E22" w:rsidRDefault="008819A8">
      <w:pPr>
        <w:pStyle w:val="a5"/>
        <w:shd w:val="clear" w:color="auto" w:fill="FFFFFF"/>
        <w:rPr>
          <w:rStyle w:val="a7"/>
          <w:rFonts w:ascii="方正仿宋_GBK" w:eastAsia="方正仿宋_GBK" w:hAnsi="方正仿宋_GBK" w:cs="方正仿宋_GBK" w:hint="default"/>
          <w:sz w:val="32"/>
          <w:szCs w:val="32"/>
          <w:shd w:val="clear" w:color="auto" w:fill="FFFFFF"/>
        </w:rPr>
      </w:pPr>
      <w:r>
        <w:rPr>
          <w:rStyle w:val="a7"/>
          <w:rFonts w:ascii="方正仿宋_GBK" w:eastAsia="方正仿宋_GBK" w:hAnsi="方正仿宋_GBK" w:cs="方正仿宋_GBK"/>
          <w:sz w:val="32"/>
          <w:szCs w:val="32"/>
          <w:shd w:val="clear" w:color="auto" w:fill="FFFFFF"/>
        </w:rPr>
        <w:t xml:space="preserve">  </w:t>
      </w:r>
      <w:r>
        <w:rPr>
          <w:rStyle w:val="a7"/>
          <w:rFonts w:ascii="黑体" w:eastAsia="黑体" w:hAnsi="黑体" w:cs="黑体"/>
          <w:sz w:val="32"/>
          <w:szCs w:val="32"/>
          <w:shd w:val="clear" w:color="auto" w:fill="FFFFFF"/>
        </w:rPr>
        <w:t>七、决算公开联系方式及信息反馈渠道</w:t>
      </w:r>
    </w:p>
    <w:p w:rsidR="00EE5E22" w:rsidRDefault="008819A8">
      <w:pPr>
        <w:pStyle w:val="a5"/>
        <w:snapToGrid w:val="0"/>
        <w:spacing w:before="0" w:beforeAutospacing="0" w:after="0" w:afterAutospacing="0" w:line="600" w:lineRule="exact"/>
        <w:ind w:leftChars="200" w:left="800" w:hangingChars="100" w:hanging="32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 xml:space="preserve">本单位决算公开信息反馈和联系方式：            </w:t>
      </w:r>
    </w:p>
    <w:p w:rsidR="00EE5E22" w:rsidRDefault="008819A8">
      <w:pPr>
        <w:pStyle w:val="a5"/>
        <w:snapToGrid w:val="0"/>
        <w:spacing w:before="0" w:beforeAutospacing="0" w:after="0" w:afterAutospacing="0" w:line="600" w:lineRule="exact"/>
        <w:ind w:leftChars="300" w:left="720" w:firstLineChars="600" w:firstLine="1920"/>
        <w:jc w:val="both"/>
        <w:rPr>
          <w:rStyle w:val="a7"/>
          <w:rFonts w:ascii="方正仿宋_GBK" w:eastAsia="方正仿宋_GBK" w:hAnsi="方正仿宋_GBK" w:cs="方正仿宋_GBK" w:hint="default"/>
          <w:sz w:val="32"/>
          <w:szCs w:val="32"/>
          <w:shd w:val="clear" w:color="auto" w:fill="FFFF00"/>
        </w:rPr>
      </w:pPr>
      <w:r>
        <w:rPr>
          <w:rFonts w:ascii="方正仿宋_GBK" w:eastAsia="方正仿宋_GBK" w:hAnsi="方正仿宋_GBK" w:cs="方正仿宋_GBK"/>
          <w:sz w:val="32"/>
          <w:szCs w:val="32"/>
          <w:shd w:val="clear" w:color="auto" w:fill="FFFFFF"/>
        </w:rPr>
        <w:t xml:space="preserve"> 吴</w:t>
      </w:r>
      <w:r>
        <w:rPr>
          <w:rFonts w:asciiTheme="minorHAnsi" w:eastAsia="方正仿宋_GBK" w:hAnsiTheme="minorHAnsi" w:cs="方正仿宋_GBK"/>
          <w:sz w:val="32"/>
          <w:szCs w:val="32"/>
          <w:shd w:val="clear" w:color="auto" w:fill="FFFFFF"/>
        </w:rPr>
        <w:t>老师</w:t>
      </w:r>
      <w:r>
        <w:rPr>
          <w:rFonts w:ascii="方正仿宋_GBK" w:eastAsia="方正仿宋_GBK" w:hAnsi="方正仿宋_GBK" w:cs="方正仿宋_GBK"/>
          <w:sz w:val="32"/>
          <w:szCs w:val="32"/>
          <w:shd w:val="clear" w:color="auto" w:fill="FFFFFF"/>
        </w:rPr>
        <w:t xml:space="preserve">       023-74517931</w:t>
      </w:r>
    </w:p>
    <w:p w:rsidR="00EE5E22" w:rsidRDefault="00EE5E22">
      <w:pPr>
        <w:pStyle w:val="1"/>
        <w:autoSpaceDE w:val="0"/>
        <w:ind w:firstLineChars="0" w:firstLine="0"/>
        <w:rPr>
          <w:rStyle w:val="a7"/>
          <w:rFonts w:ascii="方正仿宋_GBK" w:eastAsia="方正仿宋_GBK" w:hAnsi="方正仿宋_GBK" w:cs="方正仿宋_GBK"/>
          <w:sz w:val="32"/>
          <w:szCs w:val="32"/>
          <w:shd w:val="clear" w:color="auto" w:fill="FFFF00"/>
        </w:rPr>
        <w:sectPr w:rsidR="00EE5E22">
          <w:footerReference w:type="default" r:id="rId9"/>
          <w:pgSz w:w="11915" w:h="16840"/>
          <w:pgMar w:top="1440" w:right="1800" w:bottom="1440" w:left="1800" w:header="851" w:footer="992" w:gutter="0"/>
          <w:pgNumType w:fmt="numberInDash"/>
          <w:cols w:space="720"/>
          <w:docGrid w:type="lines" w:linePitch="312"/>
        </w:sectPr>
      </w:pPr>
      <w:bookmarkStart w:id="6" w:name="_GoBack"/>
      <w:bookmarkEnd w:id="6"/>
    </w:p>
    <w:p w:rsidR="00EE5E22" w:rsidRDefault="00EE5E22">
      <w:pPr>
        <w:rPr>
          <w:rFonts w:cs="宋体" w:hint="default"/>
          <w:sz w:val="21"/>
          <w:szCs w:val="21"/>
        </w:rPr>
      </w:pPr>
    </w:p>
    <w:tbl>
      <w:tblPr>
        <w:tblW w:w="22292" w:type="dxa"/>
        <w:tblLayout w:type="fixed"/>
        <w:tblCellMar>
          <w:left w:w="0" w:type="dxa"/>
          <w:right w:w="0" w:type="dxa"/>
        </w:tblCellMar>
        <w:tblLook w:val="04A0" w:firstRow="1" w:lastRow="0" w:firstColumn="1" w:lastColumn="0" w:noHBand="0" w:noVBand="1"/>
      </w:tblPr>
      <w:tblGrid>
        <w:gridCol w:w="6581"/>
        <w:gridCol w:w="4358"/>
        <w:gridCol w:w="7536"/>
        <w:gridCol w:w="3817"/>
      </w:tblGrid>
      <w:tr w:rsidR="00EE5E22">
        <w:trPr>
          <w:trHeight w:val="565"/>
        </w:trPr>
        <w:tc>
          <w:tcPr>
            <w:tcW w:w="22292" w:type="dxa"/>
            <w:gridSpan w:val="4"/>
            <w:tcBorders>
              <w:top w:val="nil"/>
              <w:left w:val="nil"/>
              <w:bottom w:val="nil"/>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40"/>
                <w:szCs w:val="40"/>
              </w:rPr>
            </w:pPr>
            <w:r>
              <w:rPr>
                <w:rFonts w:cs="宋体"/>
                <w:b/>
                <w:color w:val="000000"/>
                <w:sz w:val="44"/>
                <w:szCs w:val="44"/>
              </w:rPr>
              <w:t>收入支出决算总表</w:t>
            </w:r>
          </w:p>
        </w:tc>
      </w:tr>
      <w:tr w:rsidR="00EE5E22">
        <w:trPr>
          <w:trHeight w:val="289"/>
        </w:trPr>
        <w:tc>
          <w:tcPr>
            <w:tcW w:w="6581"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4358" w:type="dxa"/>
            <w:tcBorders>
              <w:top w:val="nil"/>
              <w:left w:val="nil"/>
              <w:bottom w:val="nil"/>
              <w:right w:val="nil"/>
            </w:tcBorders>
            <w:shd w:val="clear" w:color="auto" w:fill="auto"/>
            <w:noWrap/>
            <w:tcMar>
              <w:top w:w="15" w:type="dxa"/>
              <w:left w:w="15" w:type="dxa"/>
              <w:right w:w="15" w:type="dxa"/>
            </w:tcMar>
            <w:vAlign w:val="bottom"/>
          </w:tcPr>
          <w:p w:rsidR="00EE5E22" w:rsidRDefault="00EE5E22">
            <w:pPr>
              <w:jc w:val="right"/>
              <w:rPr>
                <w:rFonts w:ascii="Arial" w:hAnsi="Arial" w:cs="Arial" w:hint="default"/>
                <w:color w:val="000000"/>
                <w:sz w:val="20"/>
                <w:szCs w:val="20"/>
              </w:rPr>
            </w:pPr>
          </w:p>
        </w:tc>
        <w:tc>
          <w:tcPr>
            <w:tcW w:w="7536"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817"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公开01表</w:t>
            </w:r>
          </w:p>
        </w:tc>
      </w:tr>
      <w:tr w:rsidR="00EE5E22">
        <w:trPr>
          <w:trHeight w:val="289"/>
        </w:trPr>
        <w:tc>
          <w:tcPr>
            <w:tcW w:w="6581" w:type="dxa"/>
            <w:tcBorders>
              <w:top w:val="nil"/>
              <w:left w:val="nil"/>
              <w:bottom w:val="nil"/>
              <w:right w:val="nil"/>
            </w:tcBorders>
            <w:shd w:val="clear" w:color="auto" w:fill="auto"/>
            <w:noWrap/>
            <w:tcMar>
              <w:top w:w="15" w:type="dxa"/>
              <w:left w:w="15" w:type="dxa"/>
              <w:right w:w="15" w:type="dxa"/>
            </w:tcMar>
            <w:vAlign w:val="bottom"/>
          </w:tcPr>
          <w:p w:rsidR="00EE5E22" w:rsidRDefault="008819A8">
            <w:pPr>
              <w:textAlignment w:val="bottom"/>
              <w:rPr>
                <w:rFonts w:cs="宋体" w:hint="default"/>
                <w:color w:val="000000"/>
              </w:rPr>
            </w:pPr>
            <w:r>
              <w:rPr>
                <w:rFonts w:cs="宋体"/>
              </w:rPr>
              <w:t>公开单位：垫江县商务委员会(本级)</w:t>
            </w:r>
          </w:p>
        </w:tc>
        <w:tc>
          <w:tcPr>
            <w:tcW w:w="4358" w:type="dxa"/>
            <w:tcBorders>
              <w:top w:val="nil"/>
              <w:left w:val="nil"/>
              <w:bottom w:val="nil"/>
              <w:right w:val="nil"/>
            </w:tcBorders>
            <w:shd w:val="clear" w:color="auto" w:fill="auto"/>
            <w:noWrap/>
            <w:tcMar>
              <w:top w:w="15" w:type="dxa"/>
              <w:left w:w="15" w:type="dxa"/>
              <w:right w:w="15" w:type="dxa"/>
            </w:tcMar>
            <w:vAlign w:val="bottom"/>
          </w:tcPr>
          <w:p w:rsidR="00EE5E22" w:rsidRDefault="00EE5E22">
            <w:pPr>
              <w:jc w:val="right"/>
              <w:rPr>
                <w:rFonts w:ascii="Arial" w:hAnsi="Arial" w:cs="Arial" w:hint="default"/>
                <w:color w:val="000000"/>
                <w:sz w:val="22"/>
                <w:szCs w:val="22"/>
              </w:rPr>
            </w:pPr>
          </w:p>
        </w:tc>
        <w:tc>
          <w:tcPr>
            <w:tcW w:w="7536"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3817"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单位：</w:t>
            </w:r>
            <w:r>
              <w:rPr>
                <w:rFonts w:cs="宋体"/>
              </w:rPr>
              <w:t>万元</w:t>
            </w:r>
          </w:p>
        </w:tc>
      </w:tr>
      <w:tr w:rsidR="00EE5E22">
        <w:trPr>
          <w:trHeight w:val="298"/>
        </w:trPr>
        <w:tc>
          <w:tcPr>
            <w:tcW w:w="10939"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收入</w:t>
            </w:r>
          </w:p>
        </w:tc>
        <w:tc>
          <w:tcPr>
            <w:tcW w:w="11353" w:type="dxa"/>
            <w:gridSpan w:val="2"/>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支出</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项目</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决算数</w:t>
            </w: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功能分类科目</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决算数</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一、一般公共预算财政拨款收入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3,421.29</w:t>
            </w: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一、一般公共服务支出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1,204.42</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二、政府性基金预算财政拨款收入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二、外交支出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三、国有资本经营预算财政拨款收入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三、国防支出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四、上级补助收入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四、公共安全支出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五、事业收入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五、教育支出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0.16</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六、经营收入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六、科学技术支出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七、附属单位上缴收入</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七、文化旅游体育与传媒支出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8.84</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八、其他收入</w:t>
            </w:r>
          </w:p>
        </w:tc>
        <w:tc>
          <w:tcPr>
            <w:tcW w:w="4358" w:type="dxa"/>
            <w:tcBorders>
              <w:top w:val="nil"/>
              <w:left w:val="nil"/>
              <w:bottom w:val="nil"/>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八、社会保障和就业支出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479.83</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jc w:val="right"/>
              <w:rPr>
                <w:rFonts w:ascii="Arial" w:hAnsi="Arial" w:cs="Arial" w:hint="default"/>
                <w:sz w:val="20"/>
                <w:szCs w:val="20"/>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九、卫生健康支出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1,287.98</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jc w:val="right"/>
              <w:rPr>
                <w:rFonts w:ascii="Arial" w:hAnsi="Arial" w:cs="Arial" w:hint="default"/>
                <w:sz w:val="20"/>
                <w:szCs w:val="20"/>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十、节能环保支出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jc w:val="right"/>
              <w:rPr>
                <w:rFonts w:ascii="Arial" w:hAnsi="Arial" w:cs="Arial" w:hint="default"/>
                <w:sz w:val="20"/>
                <w:szCs w:val="20"/>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十一、城乡社区支出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jc w:val="right"/>
              <w:rPr>
                <w:rFonts w:ascii="Arial" w:hAnsi="Arial" w:cs="Arial" w:hint="default"/>
                <w:sz w:val="20"/>
                <w:szCs w:val="20"/>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十二、农林水支出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50.44</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十三、交通运输支出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十四、资源勘探工业信息等支出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十五、商业服务业等支出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963.86</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十六、金融支出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十七、援助其他地区支出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十八、自然资源海洋气象等支出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十九、住房保障支出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7.75</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二十、粮油物资储备支出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二十一、国有资本经营预算支出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二十二、灾害防治及应急管理支出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二十三、其他支出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center"/>
              <w:rPr>
                <w:rFonts w:cs="宋体" w:hint="default"/>
                <w:b/>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二十四、债务还本支出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二十五、债务付息支出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sz w:val="22"/>
                <w:szCs w:val="22"/>
              </w:rPr>
            </w:pP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二十六、抗疫特别国债安排的支出</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本年收入合计</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3,421.29</w:t>
            </w: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本年支出合计</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4,003.29</w:t>
            </w: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使用非财政拨款结余和专用结余</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结余分配</w:t>
            </w:r>
          </w:p>
        </w:tc>
        <w:tc>
          <w:tcPr>
            <w:tcW w:w="3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sz w:val="22"/>
                <w:szCs w:val="22"/>
              </w:rPr>
            </w:pPr>
          </w:p>
        </w:tc>
      </w:tr>
      <w:tr w:rsidR="00EE5E22">
        <w:trPr>
          <w:trHeight w:val="298"/>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年初结转和结余</w:t>
            </w:r>
          </w:p>
        </w:tc>
        <w:tc>
          <w:tcPr>
            <w:tcW w:w="43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614.21</w:t>
            </w:r>
          </w:p>
        </w:tc>
        <w:tc>
          <w:tcPr>
            <w:tcW w:w="75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sz w:val="22"/>
                <w:szCs w:val="22"/>
              </w:rPr>
            </w:pPr>
            <w:r>
              <w:rPr>
                <w:rFonts w:cs="宋体"/>
                <w:sz w:val="22"/>
                <w:szCs w:val="22"/>
              </w:rPr>
              <w:t>年末结转和结余</w:t>
            </w:r>
          </w:p>
        </w:tc>
        <w:tc>
          <w:tcPr>
            <w:tcW w:w="3817" w:type="dxa"/>
            <w:tcBorders>
              <w:top w:val="nil"/>
              <w:left w:val="nil"/>
              <w:bottom w:val="single" w:sz="4" w:space="0" w:color="auto"/>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32.22</w:t>
            </w:r>
          </w:p>
        </w:tc>
      </w:tr>
      <w:tr w:rsidR="00EE5E22">
        <w:trPr>
          <w:trHeight w:val="307"/>
        </w:trPr>
        <w:tc>
          <w:tcPr>
            <w:tcW w:w="658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总计</w:t>
            </w:r>
          </w:p>
        </w:tc>
        <w:tc>
          <w:tcPr>
            <w:tcW w:w="435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2"/>
                <w:szCs w:val="22"/>
              </w:rPr>
            </w:pPr>
            <w:r>
              <w:rPr>
                <w:rFonts w:cs="宋体"/>
                <w:sz w:val="21"/>
                <w:szCs w:val="21"/>
              </w:rPr>
              <w:t>4,035.51</w:t>
            </w:r>
          </w:p>
        </w:tc>
        <w:tc>
          <w:tcPr>
            <w:tcW w:w="7536" w:type="dxa"/>
            <w:tcBorders>
              <w:top w:val="nil"/>
              <w:left w:val="nil"/>
              <w:bottom w:val="single" w:sz="4" w:space="0" w:color="000000"/>
              <w:right w:val="single" w:sz="4" w:space="0" w:color="auto"/>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sz w:val="22"/>
                <w:szCs w:val="22"/>
              </w:rPr>
            </w:pPr>
            <w:r>
              <w:rPr>
                <w:rFonts w:cs="宋体"/>
                <w:b/>
                <w:sz w:val="22"/>
                <w:szCs w:val="22"/>
              </w:rPr>
              <w:t>总计</w:t>
            </w:r>
          </w:p>
        </w:tc>
        <w:tc>
          <w:tcPr>
            <w:tcW w:w="3817"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sz w:val="20"/>
                <w:szCs w:val="20"/>
              </w:rPr>
            </w:pPr>
            <w:r>
              <w:rPr>
                <w:rFonts w:cs="宋体"/>
                <w:sz w:val="21"/>
                <w:szCs w:val="21"/>
              </w:rPr>
              <w:t>4,035.51</w:t>
            </w:r>
          </w:p>
        </w:tc>
      </w:tr>
    </w:tbl>
    <w:p w:rsidR="00EE5E22" w:rsidRDefault="008819A8">
      <w:pPr>
        <w:rPr>
          <w:rFonts w:cs="宋体" w:hint="default"/>
          <w:sz w:val="21"/>
          <w:szCs w:val="21"/>
        </w:rPr>
      </w:pPr>
      <w:r>
        <w:rPr>
          <w:rFonts w:cs="宋体"/>
          <w:sz w:val="21"/>
          <w:szCs w:val="21"/>
        </w:rPr>
        <w:t>备注：1.本表反映单位本年度的总收支和年末结转结余情况。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E5E22" w:rsidRDefault="008819A8">
      <w:pPr>
        <w:rPr>
          <w:rFonts w:cs="宋体" w:hint="default"/>
          <w:sz w:val="21"/>
          <w:szCs w:val="21"/>
        </w:rPr>
      </w:pPr>
      <w:r>
        <w:rPr>
          <w:rFonts w:cs="宋体"/>
          <w:sz w:val="21"/>
          <w:szCs w:val="21"/>
        </w:rPr>
        <w:br w:type="page"/>
      </w:r>
    </w:p>
    <w:p w:rsidR="00EE5E22" w:rsidRDefault="00EE5E22">
      <w:pPr>
        <w:rPr>
          <w:rFonts w:cs="宋体" w:hint="default"/>
          <w:sz w:val="21"/>
          <w:szCs w:val="21"/>
        </w:rPr>
      </w:pPr>
    </w:p>
    <w:tbl>
      <w:tblPr>
        <w:tblW w:w="22220" w:type="dxa"/>
        <w:tblLayout w:type="fixed"/>
        <w:tblCellMar>
          <w:left w:w="0" w:type="dxa"/>
          <w:right w:w="0" w:type="dxa"/>
        </w:tblCellMar>
        <w:tblLook w:val="04A0" w:firstRow="1" w:lastRow="0" w:firstColumn="1" w:lastColumn="0" w:noHBand="0" w:noVBand="1"/>
      </w:tblPr>
      <w:tblGrid>
        <w:gridCol w:w="1941"/>
        <w:gridCol w:w="3317"/>
        <w:gridCol w:w="2412"/>
        <w:gridCol w:w="2399"/>
        <w:gridCol w:w="1963"/>
        <w:gridCol w:w="1963"/>
        <w:gridCol w:w="1963"/>
        <w:gridCol w:w="1963"/>
        <w:gridCol w:w="1963"/>
        <w:gridCol w:w="2336"/>
      </w:tblGrid>
      <w:tr w:rsidR="00EE5E22">
        <w:trPr>
          <w:trHeight w:val="641"/>
        </w:trPr>
        <w:tc>
          <w:tcPr>
            <w:tcW w:w="22220" w:type="dxa"/>
            <w:gridSpan w:val="10"/>
            <w:tcBorders>
              <w:top w:val="nil"/>
              <w:left w:val="nil"/>
              <w:bottom w:val="nil"/>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40"/>
                <w:szCs w:val="40"/>
              </w:rPr>
            </w:pPr>
            <w:r>
              <w:rPr>
                <w:rFonts w:cs="宋体"/>
                <w:b/>
                <w:color w:val="000000"/>
                <w:sz w:val="44"/>
                <w:szCs w:val="44"/>
              </w:rPr>
              <w:t>收入决算表</w:t>
            </w:r>
          </w:p>
        </w:tc>
      </w:tr>
      <w:tr w:rsidR="00EE5E22">
        <w:trPr>
          <w:trHeight w:val="328"/>
        </w:trPr>
        <w:tc>
          <w:tcPr>
            <w:tcW w:w="5258" w:type="dxa"/>
            <w:gridSpan w:val="2"/>
            <w:vMerge w:val="restart"/>
            <w:tcBorders>
              <w:top w:val="nil"/>
              <w:left w:val="nil"/>
              <w:right w:val="nil"/>
            </w:tcBorders>
            <w:shd w:val="clear" w:color="auto" w:fill="auto"/>
            <w:noWrap/>
            <w:tcMar>
              <w:top w:w="15" w:type="dxa"/>
              <w:left w:w="15" w:type="dxa"/>
              <w:right w:w="15" w:type="dxa"/>
            </w:tcMar>
            <w:vAlign w:val="bottom"/>
          </w:tcPr>
          <w:p w:rsidR="00EE5E22" w:rsidRDefault="008819A8">
            <w:pPr>
              <w:rPr>
                <w:rFonts w:ascii="Arial" w:hAnsi="Arial" w:cs="Arial" w:hint="default"/>
                <w:color w:val="000000"/>
                <w:sz w:val="22"/>
                <w:szCs w:val="22"/>
              </w:rPr>
            </w:pPr>
            <w:r>
              <w:rPr>
                <w:rFonts w:cs="宋体"/>
              </w:rPr>
              <w:t>公开单位：垫江县商务委员会(本级)</w:t>
            </w:r>
          </w:p>
        </w:tc>
        <w:tc>
          <w:tcPr>
            <w:tcW w:w="241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399"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336"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公开02表</w:t>
            </w:r>
          </w:p>
        </w:tc>
      </w:tr>
      <w:tr w:rsidR="00EE5E22">
        <w:trPr>
          <w:trHeight w:val="328"/>
        </w:trPr>
        <w:tc>
          <w:tcPr>
            <w:tcW w:w="5258" w:type="dxa"/>
            <w:gridSpan w:val="2"/>
            <w:vMerge/>
            <w:tcBorders>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41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399"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336"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单位：</w:t>
            </w:r>
            <w:r>
              <w:rPr>
                <w:rFonts w:cs="宋体"/>
              </w:rPr>
              <w:t>万元</w:t>
            </w:r>
          </w:p>
        </w:tc>
      </w:tr>
      <w:tr w:rsidR="00EE5E22">
        <w:trPr>
          <w:trHeight w:val="431"/>
        </w:trPr>
        <w:tc>
          <w:tcPr>
            <w:tcW w:w="5258" w:type="dxa"/>
            <w:gridSpan w:val="2"/>
            <w:tcBorders>
              <w:top w:val="single" w:sz="4" w:space="0" w:color="000000"/>
              <w:left w:val="single" w:sz="4" w:space="0" w:color="000000"/>
              <w:bottom w:val="single" w:sz="4" w:space="0" w:color="000000"/>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22"/>
                <w:szCs w:val="22"/>
              </w:rPr>
            </w:pPr>
            <w:r>
              <w:rPr>
                <w:rFonts w:cs="宋体"/>
                <w:b/>
                <w:color w:val="000000"/>
                <w:sz w:val="22"/>
                <w:szCs w:val="22"/>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上级补助收入</w:t>
            </w:r>
          </w:p>
        </w:tc>
        <w:tc>
          <w:tcPr>
            <w:tcW w:w="392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22"/>
                <w:szCs w:val="22"/>
              </w:rPr>
            </w:pPr>
            <w:r>
              <w:rPr>
                <w:rFonts w:cs="宋体"/>
                <w:b/>
                <w:color w:val="000000"/>
                <w:sz w:val="22"/>
                <w:szCs w:val="22"/>
              </w:rPr>
              <w:t>事业收入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经营收入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附属单位上缴收入</w:t>
            </w:r>
          </w:p>
        </w:tc>
        <w:tc>
          <w:tcPr>
            <w:tcW w:w="2336"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其他收入</w:t>
            </w:r>
          </w:p>
        </w:tc>
      </w:tr>
      <w:tr w:rsidR="00EE5E22">
        <w:trPr>
          <w:trHeight w:val="334"/>
        </w:trPr>
        <w:tc>
          <w:tcPr>
            <w:tcW w:w="1941" w:type="dxa"/>
            <w:vMerge w:val="restart"/>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功能分类科目编码</w:t>
            </w:r>
          </w:p>
        </w:tc>
        <w:tc>
          <w:tcPr>
            <w:tcW w:w="3317" w:type="dxa"/>
            <w:vMerge w:val="restart"/>
            <w:tcBorders>
              <w:top w:val="nil"/>
              <w:left w:val="nil"/>
              <w:bottom w:val="single" w:sz="4" w:space="0" w:color="000000"/>
              <w:right w:val="nil"/>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小计</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其中：教育收费</w:t>
            </w: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4"/>
        </w:trPr>
        <w:tc>
          <w:tcPr>
            <w:tcW w:w="1941" w:type="dxa"/>
            <w:vMerge/>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4"/>
        </w:trPr>
        <w:tc>
          <w:tcPr>
            <w:tcW w:w="1941" w:type="dxa"/>
            <w:vMerge/>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4"/>
        </w:trPr>
        <w:tc>
          <w:tcPr>
            <w:tcW w:w="1941" w:type="dxa"/>
            <w:vMerge/>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合计</w:t>
            </w:r>
          </w:p>
        </w:tc>
        <w:tc>
          <w:tcPr>
            <w:tcW w:w="241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bCs/>
                <w:color w:val="000000"/>
                <w:sz w:val="21"/>
                <w:szCs w:val="21"/>
              </w:rPr>
              <w:t>3,421.29</w:t>
            </w:r>
          </w:p>
        </w:tc>
        <w:tc>
          <w:tcPr>
            <w:tcW w:w="239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bCs/>
                <w:color w:val="000000"/>
                <w:sz w:val="21"/>
                <w:szCs w:val="21"/>
              </w:rPr>
              <w:t>3,421.29</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23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一般公共服务支出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622.43</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622.43</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20113</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商贸事务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618.44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618.44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2011301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行政运行</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251.26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251.26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2011302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121.07</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121.07</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2011399</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其他商贸事务支出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246.11</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246.11</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20132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组织事务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3.82</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3.82</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2013202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3.82</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3.82</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20136</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其他共产党事务支出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0.17</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0.17</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2013699</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其他共产党事务支出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0.17</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0.17</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教育支出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20508</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进修及培训</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2050803</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培训支出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0.16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0.16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207</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文化旅游体育与传媒支出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8.84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8.84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20701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文化和旅游</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8.84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8.84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2070102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8.84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8.84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社会保障和就业支出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479.83</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479.83</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人力资源和社会保障管理事务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0.48</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0.48</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2080102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0.48</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0.48</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337.89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337.89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2080505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机关事业单位基本养老保险缴费支出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24.07</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24.07</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2080506</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机关事业单位职业年金缴费支出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10.41</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10.41</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2080599</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303.41</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303.41</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20808</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抚恤</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141.46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141.46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2080801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死亡抚恤</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127.07</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127.07</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2080803</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在乡复员、退伍军人生活补助</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14.39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14.39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210</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卫生健康支出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1,287.98</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1,287.98</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21004</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公共卫生</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1,277.82</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1,277.82</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2100410</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突发公共卫生事件应急处理</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1,277.82</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1,277.82</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21011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行政事业单位医疗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10.16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10.16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2101101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行政单位医疗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10.16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10.16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lastRenderedPageBreak/>
              <w:t>213</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农林水支出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50.44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50.44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21301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农业农村</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45.44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45.44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2130199</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其他农业农村支出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45.44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45.44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21305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巩固脱贫攻坚成果衔接乡村振兴</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5.00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5.00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2130599</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其他巩固脱贫攻坚成果衔接乡村振兴支出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5.00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5.00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216</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商业服务业等支出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963.86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963.86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21602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商业流通事务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963.86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963.86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2160202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100.86</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100.86</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2160299</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其他商业流通事务支出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863.00</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863.00</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221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住房保障支出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7.75</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7.75</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22102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住房改革支出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7.75</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7.75</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2210201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住房公积金</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7.75</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7.75</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bl>
    <w:p w:rsidR="00EE5E22" w:rsidRDefault="008819A8">
      <w:pPr>
        <w:ind w:left="630" w:hangingChars="300" w:hanging="630"/>
        <w:rPr>
          <w:rFonts w:cs="宋体" w:hint="default"/>
          <w:sz w:val="21"/>
          <w:szCs w:val="21"/>
        </w:rPr>
      </w:pPr>
      <w:r>
        <w:rPr>
          <w:rFonts w:cs="宋体"/>
          <w:sz w:val="21"/>
          <w:szCs w:val="21"/>
        </w:rPr>
        <w:t>备注：1.本表反映单位本年度取得的各项收入情况。</w:t>
      </w:r>
      <w:r>
        <w:rPr>
          <w:rFonts w:cs="宋体"/>
          <w:sz w:val="21"/>
          <w:szCs w:val="21"/>
        </w:rPr>
        <w:br/>
        <w:t>2.本套报表金额单位转换时可能存在尾数误差。</w:t>
      </w:r>
      <w:r>
        <w:rPr>
          <w:rFonts w:cs="宋体"/>
          <w:sz w:val="21"/>
          <w:szCs w:val="21"/>
        </w:rPr>
        <w:br/>
      </w:r>
      <w:r>
        <w:rPr>
          <w:rFonts w:cs="宋体"/>
          <w:sz w:val="21"/>
          <w:szCs w:val="21"/>
        </w:rPr>
        <w:br/>
      </w:r>
    </w:p>
    <w:p w:rsidR="00EE5E22" w:rsidRDefault="008819A8">
      <w:pPr>
        <w:rPr>
          <w:rFonts w:cs="宋体" w:hint="default"/>
          <w:sz w:val="21"/>
          <w:szCs w:val="21"/>
        </w:rPr>
      </w:pPr>
      <w:r>
        <w:rPr>
          <w:rFonts w:cs="宋体"/>
          <w:sz w:val="21"/>
          <w:szCs w:val="21"/>
        </w:rPr>
        <w:br w:type="page"/>
      </w:r>
    </w:p>
    <w:p w:rsidR="00EE5E22" w:rsidRDefault="00EE5E22">
      <w:pPr>
        <w:ind w:left="630" w:hangingChars="300" w:hanging="630"/>
        <w:rPr>
          <w:rFonts w:cs="宋体" w:hint="default"/>
          <w:sz w:val="21"/>
          <w:szCs w:val="21"/>
        </w:rPr>
      </w:pPr>
    </w:p>
    <w:tbl>
      <w:tblPr>
        <w:tblW w:w="22180" w:type="dxa"/>
        <w:tblLayout w:type="fixed"/>
        <w:tblCellMar>
          <w:left w:w="0" w:type="dxa"/>
          <w:right w:w="0" w:type="dxa"/>
        </w:tblCellMar>
        <w:tblLook w:val="04A0" w:firstRow="1" w:lastRow="0" w:firstColumn="1" w:lastColumn="0" w:noHBand="0" w:noVBand="1"/>
      </w:tblPr>
      <w:tblGrid>
        <w:gridCol w:w="2082"/>
        <w:gridCol w:w="3528"/>
        <w:gridCol w:w="2760"/>
        <w:gridCol w:w="2760"/>
        <w:gridCol w:w="2760"/>
        <w:gridCol w:w="2760"/>
        <w:gridCol w:w="2760"/>
        <w:gridCol w:w="2770"/>
      </w:tblGrid>
      <w:tr w:rsidR="00EE5E22">
        <w:trPr>
          <w:trHeight w:val="654"/>
        </w:trPr>
        <w:tc>
          <w:tcPr>
            <w:tcW w:w="22180" w:type="dxa"/>
            <w:gridSpan w:val="8"/>
            <w:tcBorders>
              <w:top w:val="nil"/>
              <w:left w:val="nil"/>
              <w:bottom w:val="nil"/>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40"/>
                <w:szCs w:val="40"/>
              </w:rPr>
            </w:pPr>
            <w:r>
              <w:rPr>
                <w:rFonts w:cs="宋体"/>
                <w:b/>
                <w:color w:val="000000"/>
                <w:sz w:val="44"/>
                <w:szCs w:val="44"/>
              </w:rPr>
              <w:t>支出决算表</w:t>
            </w:r>
          </w:p>
        </w:tc>
      </w:tr>
      <w:tr w:rsidR="00EE5E22">
        <w:trPr>
          <w:trHeight w:val="342"/>
        </w:trPr>
        <w:tc>
          <w:tcPr>
            <w:tcW w:w="5610" w:type="dxa"/>
            <w:gridSpan w:val="2"/>
            <w:vMerge w:val="restart"/>
            <w:tcBorders>
              <w:top w:val="nil"/>
              <w:left w:val="nil"/>
              <w:right w:val="nil"/>
            </w:tcBorders>
            <w:shd w:val="clear" w:color="auto" w:fill="auto"/>
            <w:noWrap/>
            <w:tcMar>
              <w:top w:w="15" w:type="dxa"/>
              <w:left w:w="15" w:type="dxa"/>
              <w:right w:w="15" w:type="dxa"/>
            </w:tcMar>
            <w:vAlign w:val="bottom"/>
          </w:tcPr>
          <w:p w:rsidR="00EE5E22" w:rsidRDefault="008819A8">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垫江县商务委员会(本级)</w:t>
            </w: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770"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公开03表</w:t>
            </w:r>
          </w:p>
        </w:tc>
      </w:tr>
      <w:tr w:rsidR="00EE5E22">
        <w:trPr>
          <w:trHeight w:val="342"/>
        </w:trPr>
        <w:tc>
          <w:tcPr>
            <w:tcW w:w="5610" w:type="dxa"/>
            <w:gridSpan w:val="2"/>
            <w:vMerge/>
            <w:tcBorders>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770"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单位：</w:t>
            </w:r>
            <w:r>
              <w:rPr>
                <w:rFonts w:cs="宋体"/>
              </w:rPr>
              <w:t>万元</w:t>
            </w:r>
          </w:p>
        </w:tc>
      </w:tr>
      <w:tr w:rsidR="00EE5E22">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22"/>
                <w:szCs w:val="22"/>
              </w:rPr>
            </w:pPr>
            <w:r>
              <w:rPr>
                <w:rFonts w:cs="宋体"/>
                <w:b/>
                <w:color w:val="000000"/>
                <w:sz w:val="22"/>
                <w:szCs w:val="22"/>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上缴上级支出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经营支出</w:t>
            </w:r>
          </w:p>
        </w:tc>
        <w:tc>
          <w:tcPr>
            <w:tcW w:w="2770"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对附属单位补助支出</w:t>
            </w:r>
          </w:p>
        </w:tc>
      </w:tr>
      <w:tr w:rsidR="00EE5E22">
        <w:trPr>
          <w:trHeight w:val="338"/>
        </w:trPr>
        <w:tc>
          <w:tcPr>
            <w:tcW w:w="2082" w:type="dxa"/>
            <w:vMerge w:val="restart"/>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功能分类科目编码</w:t>
            </w:r>
          </w:p>
        </w:tc>
        <w:tc>
          <w:tcPr>
            <w:tcW w:w="3528" w:type="dxa"/>
            <w:vMerge w:val="restart"/>
            <w:tcBorders>
              <w:top w:val="nil"/>
              <w:left w:val="nil"/>
              <w:bottom w:val="single" w:sz="4" w:space="0" w:color="000000"/>
              <w:right w:val="nil"/>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8"/>
        </w:trPr>
        <w:tc>
          <w:tcPr>
            <w:tcW w:w="2082" w:type="dxa"/>
            <w:vMerge/>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8"/>
        </w:trPr>
        <w:tc>
          <w:tcPr>
            <w:tcW w:w="2082" w:type="dxa"/>
            <w:vMerge/>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8"/>
        </w:trPr>
        <w:tc>
          <w:tcPr>
            <w:tcW w:w="2082" w:type="dxa"/>
            <w:vMerge/>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合计</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bCs/>
                <w:color w:val="000000"/>
                <w:sz w:val="21"/>
                <w:szCs w:val="21"/>
              </w:rPr>
              <w:t>4,003.29</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bCs/>
                <w:color w:val="000000"/>
                <w:sz w:val="21"/>
                <w:szCs w:val="21"/>
              </w:rPr>
              <w:t>744.02</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bCs/>
                <w:color w:val="000000"/>
                <w:sz w:val="21"/>
                <w:szCs w:val="21"/>
              </w:rPr>
              <w:t>3,259.28</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277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一般公共服务支出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1,204.42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260.98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943.44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20113</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商贸事务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1,200.44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260.98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939.45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2011301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行政运行</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260.98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260.98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2011302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141.07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141.07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2011399</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其他商贸事务支出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798.39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798.39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20132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组织事务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3.82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3.82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2013202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3.82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3.82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20136</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其他共产党事务支出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2013699</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其他共产党事务支出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0.17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0.17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教育支出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20508</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进修及培训</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2050803</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培训支出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207</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文化旅游体育与传媒支出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8.84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8.84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20701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文化和旅游</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8.84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8.84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2070102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8.84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8.84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社会保障和就业支出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479.83</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464.96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14.87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人力资源和社会保障管理事务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2080102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0.48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337.89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337.89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2080505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机关事业单位基本养老保险缴费支出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24.07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24.07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2080506</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机关事业单位职业年金缴费支出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10.41</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10.41</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2080599</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303.41</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303.41</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20808</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抚恤</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141.46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127.07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14.39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2080801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死亡抚恤</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127.07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127.07</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2080803</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在乡复员、退伍军人生活补助</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14.39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14.39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210</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卫生健康支出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1,287.98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1,277.82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21004</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公共卫生</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1,277.82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1,277.82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2100410</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突发公共卫生事件应急处理</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1,277.82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1,277.82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lastRenderedPageBreak/>
              <w:t>21011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行政事业单位医疗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10.16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2101101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行政单位医疗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10.16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213</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农林水支出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50.44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50.44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21301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农业农村</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45.44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45.44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2130199</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其他农业农村支出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45.44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45.44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21305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巩固脱贫攻坚成果衔接乡村振兴</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5.00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5.00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2130599</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其他巩固脱贫攻坚成果衔接乡村振兴支出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5.00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5.00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216</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商业服务业等支出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963.86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963.86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21602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商业流通事务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963.86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963.86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2160202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100.86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100.86</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2160299</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其他商业流通事务支出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863.00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863.00</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221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住房保障支出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7.75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7.75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22102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住房改革支出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7.75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b/>
                <w:color w:val="000000"/>
                <w:sz w:val="21"/>
                <w:szCs w:val="21"/>
              </w:rPr>
              <w:t>7.75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r w:rsidR="00EE5E22">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2210201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住房公积金</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7.75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18"/>
                <w:szCs w:val="18"/>
              </w:rPr>
            </w:pPr>
            <w:r>
              <w:rPr>
                <w:rFonts w:cs="宋体"/>
                <w:color w:val="000000"/>
                <w:sz w:val="21"/>
                <w:szCs w:val="21"/>
              </w:rPr>
              <w:t>7.75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18"/>
                <w:szCs w:val="18"/>
              </w:rPr>
            </w:pPr>
          </w:p>
        </w:tc>
      </w:tr>
    </w:tbl>
    <w:p w:rsidR="00EE5E22" w:rsidRDefault="008819A8">
      <w:pPr>
        <w:rPr>
          <w:rFonts w:cs="宋体" w:hint="default"/>
          <w:sz w:val="21"/>
          <w:szCs w:val="21"/>
        </w:rPr>
      </w:pPr>
      <w:r>
        <w:rPr>
          <w:rFonts w:cs="宋体"/>
          <w:sz w:val="21"/>
          <w:szCs w:val="21"/>
        </w:rPr>
        <w:t>备注：1.本表反映单位本年度各项支出情况。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E5E22" w:rsidRDefault="008819A8">
      <w:pPr>
        <w:rPr>
          <w:rFonts w:cs="宋体" w:hint="default"/>
          <w:sz w:val="21"/>
          <w:szCs w:val="21"/>
        </w:rPr>
      </w:pPr>
      <w:r>
        <w:rPr>
          <w:rFonts w:cs="宋体"/>
          <w:sz w:val="21"/>
          <w:szCs w:val="21"/>
        </w:rPr>
        <w:br w:type="page"/>
      </w:r>
    </w:p>
    <w:p w:rsidR="00EE5E22" w:rsidRDefault="00EE5E22">
      <w:pPr>
        <w:rPr>
          <w:rFonts w:cs="宋体" w:hint="default"/>
          <w:sz w:val="21"/>
          <w:szCs w:val="21"/>
        </w:rPr>
      </w:pPr>
    </w:p>
    <w:tbl>
      <w:tblPr>
        <w:tblW w:w="22360" w:type="dxa"/>
        <w:tblLayout w:type="fixed"/>
        <w:tblCellMar>
          <w:left w:w="0" w:type="dxa"/>
          <w:right w:w="0" w:type="dxa"/>
        </w:tblCellMar>
        <w:tblLook w:val="04A0" w:firstRow="1" w:lastRow="0" w:firstColumn="1" w:lastColumn="0" w:noHBand="0" w:noVBand="1"/>
      </w:tblPr>
      <w:tblGrid>
        <w:gridCol w:w="4068"/>
        <w:gridCol w:w="2674"/>
        <w:gridCol w:w="3752"/>
        <w:gridCol w:w="2952"/>
        <w:gridCol w:w="2952"/>
        <w:gridCol w:w="2952"/>
        <w:gridCol w:w="3010"/>
      </w:tblGrid>
      <w:tr w:rsidR="00EE5E22">
        <w:trPr>
          <w:trHeight w:val="90"/>
        </w:trPr>
        <w:tc>
          <w:tcPr>
            <w:tcW w:w="22360" w:type="dxa"/>
            <w:gridSpan w:val="7"/>
            <w:tcBorders>
              <w:top w:val="nil"/>
              <w:left w:val="nil"/>
              <w:bottom w:val="nil"/>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40"/>
                <w:szCs w:val="40"/>
              </w:rPr>
            </w:pPr>
            <w:r>
              <w:rPr>
                <w:rFonts w:cs="宋体"/>
                <w:b/>
                <w:color w:val="000000"/>
                <w:sz w:val="44"/>
                <w:szCs w:val="44"/>
              </w:rPr>
              <w:t>财政拨款收入支出决算总表</w:t>
            </w:r>
          </w:p>
        </w:tc>
      </w:tr>
      <w:tr w:rsidR="00EE5E22">
        <w:trPr>
          <w:trHeight w:val="90"/>
        </w:trPr>
        <w:tc>
          <w:tcPr>
            <w:tcW w:w="6742" w:type="dxa"/>
            <w:gridSpan w:val="2"/>
            <w:vMerge w:val="restart"/>
            <w:tcBorders>
              <w:top w:val="nil"/>
              <w:left w:val="nil"/>
              <w:right w:val="nil"/>
            </w:tcBorders>
            <w:shd w:val="clear" w:color="auto" w:fill="auto"/>
            <w:noWrap/>
            <w:tcMar>
              <w:top w:w="15" w:type="dxa"/>
              <w:left w:w="15" w:type="dxa"/>
              <w:right w:w="15" w:type="dxa"/>
            </w:tcMar>
            <w:vAlign w:val="bottom"/>
          </w:tcPr>
          <w:p w:rsidR="00EE5E22" w:rsidRDefault="008819A8">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垫江县商务委员会(本级)</w:t>
            </w:r>
          </w:p>
        </w:tc>
        <w:tc>
          <w:tcPr>
            <w:tcW w:w="375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010"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公开04表</w:t>
            </w:r>
          </w:p>
        </w:tc>
      </w:tr>
      <w:tr w:rsidR="00EE5E22">
        <w:trPr>
          <w:trHeight w:val="90"/>
        </w:trPr>
        <w:tc>
          <w:tcPr>
            <w:tcW w:w="6742" w:type="dxa"/>
            <w:gridSpan w:val="2"/>
            <w:vMerge/>
            <w:tcBorders>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375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3010"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单位：</w:t>
            </w:r>
            <w:r>
              <w:rPr>
                <w:rFonts w:cs="宋体"/>
              </w:rPr>
              <w:t>万元</w:t>
            </w:r>
          </w:p>
        </w:tc>
      </w:tr>
      <w:tr w:rsidR="00EE5E22">
        <w:trPr>
          <w:trHeight w:val="90"/>
        </w:trPr>
        <w:tc>
          <w:tcPr>
            <w:tcW w:w="6742"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收     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支     出</w:t>
            </w:r>
          </w:p>
        </w:tc>
      </w:tr>
      <w:tr w:rsidR="00EE5E22">
        <w:trPr>
          <w:trHeight w:val="90"/>
        </w:trPr>
        <w:tc>
          <w:tcPr>
            <w:tcW w:w="4068"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w:t>
            </w:r>
          </w:p>
        </w:tc>
        <w:tc>
          <w:tcPr>
            <w:tcW w:w="2674"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决算数</w:t>
            </w:r>
          </w:p>
        </w:tc>
        <w:tc>
          <w:tcPr>
            <w:tcW w:w="3752"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功能分类科目</w:t>
            </w:r>
          </w:p>
        </w:tc>
        <w:tc>
          <w:tcPr>
            <w:tcW w:w="11866" w:type="dxa"/>
            <w:gridSpan w:val="4"/>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决算数</w:t>
            </w:r>
          </w:p>
        </w:tc>
      </w:tr>
      <w:tr w:rsidR="00EE5E22">
        <w:trPr>
          <w:trHeight w:val="90"/>
        </w:trPr>
        <w:tc>
          <w:tcPr>
            <w:tcW w:w="4068"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674"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3752"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小计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国有资本经营预算财政拨款</w:t>
            </w: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一、一般公共预算财政拨款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3,421.29</w:t>
            </w: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一、一般公共服务支出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1,204.42</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1,204.42</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二、外交支出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三、国有资本经营预算财政拨款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三、国防支出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四、公共安全支出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五、教育支出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0.16</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0.16</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六、科学技术支出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8.84</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8.84</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八、社会保障和就业支出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479.83</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479.83</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九、卫生健康支出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1,287.98</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1,287.98</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十、节能环保支出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十一、城乡社区支出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十二、农林水支出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50.44</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50.44</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十三、交通运输支出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十五、商业服务业等支出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963.86</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963.86</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十六、金融支出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十七、援助其他地区支出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十九、住房保障支出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7.75</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7.75</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二十、粮油物资储备支出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二十三、其他支出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二十四、债务还本支出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二十五、债务付息支出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本年收入合计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3,421.29</w:t>
            </w: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本年支出合计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4,003.29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4,003.29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年初财政拨款结转和结余</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614.21</w:t>
            </w: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32.22</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32.22</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614.21</w:t>
            </w: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r>
      <w:tr w:rsidR="00EE5E2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总计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4,035.51</w:t>
            </w:r>
          </w:p>
        </w:tc>
        <w:tc>
          <w:tcPr>
            <w:tcW w:w="37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总计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0"/>
                <w:szCs w:val="20"/>
              </w:rPr>
            </w:pPr>
            <w:r>
              <w:rPr>
                <w:rFonts w:cs="宋体"/>
                <w:color w:val="000000"/>
                <w:sz w:val="21"/>
                <w:szCs w:val="21"/>
              </w:rPr>
              <w:t>4,035.51</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0"/>
                <w:szCs w:val="20"/>
              </w:rPr>
            </w:pPr>
            <w:r>
              <w:rPr>
                <w:rFonts w:cs="宋体"/>
                <w:color w:val="000000"/>
                <w:sz w:val="21"/>
                <w:szCs w:val="21"/>
              </w:rPr>
              <w:t>4,035.51</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bl>
    <w:p w:rsidR="00EE5E22" w:rsidRDefault="008819A8">
      <w:pPr>
        <w:rPr>
          <w:rFonts w:cs="宋体" w:hint="default"/>
          <w:sz w:val="21"/>
          <w:szCs w:val="21"/>
        </w:rPr>
      </w:pPr>
      <w:r>
        <w:rPr>
          <w:rFonts w:cs="宋体"/>
          <w:sz w:val="21"/>
          <w:szCs w:val="21"/>
        </w:rPr>
        <w:t>备注：1.本表反映单位本年度一般公共预算财政拨款、政府性基金预算财政拨款及国有资本经营预算财政拨款的总收支和年末结转结余情况。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E5E22" w:rsidRDefault="008819A8">
      <w:pPr>
        <w:rPr>
          <w:rFonts w:cs="宋体" w:hint="default"/>
          <w:sz w:val="21"/>
          <w:szCs w:val="21"/>
        </w:rPr>
      </w:pPr>
      <w:r>
        <w:rPr>
          <w:rFonts w:cs="宋体"/>
          <w:sz w:val="21"/>
          <w:szCs w:val="21"/>
        </w:rPr>
        <w:br w:type="page"/>
      </w:r>
    </w:p>
    <w:tbl>
      <w:tblPr>
        <w:tblW w:w="22300" w:type="dxa"/>
        <w:tblLayout w:type="fixed"/>
        <w:tblCellMar>
          <w:left w:w="0" w:type="dxa"/>
          <w:right w:w="0" w:type="dxa"/>
        </w:tblCellMar>
        <w:tblLook w:val="04A0" w:firstRow="1" w:lastRow="0" w:firstColumn="1" w:lastColumn="0" w:noHBand="0" w:noVBand="1"/>
      </w:tblPr>
      <w:tblGrid>
        <w:gridCol w:w="2694"/>
        <w:gridCol w:w="5151"/>
        <w:gridCol w:w="4817"/>
        <w:gridCol w:w="4817"/>
        <w:gridCol w:w="4821"/>
      </w:tblGrid>
      <w:tr w:rsidR="00EE5E22">
        <w:trPr>
          <w:trHeight w:val="510"/>
        </w:trPr>
        <w:tc>
          <w:tcPr>
            <w:tcW w:w="22300" w:type="dxa"/>
            <w:gridSpan w:val="5"/>
            <w:tcBorders>
              <w:top w:val="nil"/>
              <w:left w:val="nil"/>
              <w:bottom w:val="nil"/>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40"/>
                <w:szCs w:val="40"/>
              </w:rPr>
            </w:pPr>
            <w:r>
              <w:rPr>
                <w:rFonts w:cs="宋体"/>
                <w:b/>
                <w:color w:val="000000"/>
                <w:sz w:val="44"/>
                <w:szCs w:val="44"/>
              </w:rPr>
              <w:lastRenderedPageBreak/>
              <w:t>一般公共预算财政拨款支出决算表</w:t>
            </w:r>
          </w:p>
        </w:tc>
      </w:tr>
      <w:tr w:rsidR="00EE5E22">
        <w:trPr>
          <w:trHeight w:val="255"/>
        </w:trPr>
        <w:tc>
          <w:tcPr>
            <w:tcW w:w="7845" w:type="dxa"/>
            <w:gridSpan w:val="2"/>
            <w:vMerge w:val="restart"/>
            <w:tcBorders>
              <w:top w:val="nil"/>
              <w:left w:val="nil"/>
              <w:right w:val="nil"/>
            </w:tcBorders>
            <w:shd w:val="clear" w:color="auto" w:fill="auto"/>
            <w:noWrap/>
            <w:tcMar>
              <w:top w:w="15" w:type="dxa"/>
              <w:left w:w="15" w:type="dxa"/>
              <w:right w:w="15" w:type="dxa"/>
            </w:tcMar>
            <w:vAlign w:val="bottom"/>
          </w:tcPr>
          <w:p w:rsidR="00EE5E22" w:rsidRDefault="008819A8">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垫江县商务委员会(本级)</w:t>
            </w:r>
          </w:p>
        </w:tc>
        <w:tc>
          <w:tcPr>
            <w:tcW w:w="4817"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4821"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公开05表</w:t>
            </w:r>
          </w:p>
        </w:tc>
      </w:tr>
      <w:tr w:rsidR="00EE5E22">
        <w:trPr>
          <w:trHeight w:val="285"/>
        </w:trPr>
        <w:tc>
          <w:tcPr>
            <w:tcW w:w="7845" w:type="dxa"/>
            <w:gridSpan w:val="2"/>
            <w:vMerge/>
            <w:tcBorders>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4821"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单位：</w:t>
            </w:r>
            <w:r>
              <w:rPr>
                <w:rFonts w:cs="宋体"/>
              </w:rPr>
              <w:t>万元</w:t>
            </w:r>
          </w:p>
        </w:tc>
      </w:tr>
      <w:tr w:rsidR="00EE5E22">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w:t>
            </w:r>
          </w:p>
        </w:tc>
        <w:tc>
          <w:tcPr>
            <w:tcW w:w="14455" w:type="dxa"/>
            <w:gridSpan w:val="3"/>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本年支出</w:t>
            </w:r>
          </w:p>
        </w:tc>
      </w:tr>
      <w:tr w:rsidR="00EE5E22">
        <w:trPr>
          <w:trHeight w:val="312"/>
        </w:trPr>
        <w:tc>
          <w:tcPr>
            <w:tcW w:w="2694" w:type="dxa"/>
            <w:vMerge w:val="restart"/>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功能分类科目编码</w:t>
            </w:r>
          </w:p>
        </w:tc>
        <w:tc>
          <w:tcPr>
            <w:tcW w:w="5151"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项目（按“项”级功能分类科目）</w:t>
            </w:r>
          </w:p>
        </w:tc>
        <w:tc>
          <w:tcPr>
            <w:tcW w:w="4817"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合计</w:t>
            </w:r>
          </w:p>
        </w:tc>
        <w:tc>
          <w:tcPr>
            <w:tcW w:w="4817"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基本支出</w:t>
            </w:r>
          </w:p>
        </w:tc>
        <w:tc>
          <w:tcPr>
            <w:tcW w:w="4821"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项目支出</w:t>
            </w:r>
          </w:p>
        </w:tc>
      </w:tr>
      <w:tr w:rsidR="00EE5E22">
        <w:trPr>
          <w:trHeight w:val="312"/>
        </w:trPr>
        <w:tc>
          <w:tcPr>
            <w:tcW w:w="2694"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615"/>
        </w:trPr>
        <w:tc>
          <w:tcPr>
            <w:tcW w:w="2694"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08"/>
        </w:trPr>
        <w:tc>
          <w:tcPr>
            <w:tcW w:w="7845" w:type="dxa"/>
            <w:gridSpan w:val="2"/>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合计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bCs/>
                <w:color w:val="000000"/>
                <w:sz w:val="21"/>
                <w:szCs w:val="21"/>
              </w:rPr>
              <w:t>4,003.29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bCs/>
                <w:color w:val="000000"/>
                <w:sz w:val="21"/>
                <w:szCs w:val="21"/>
              </w:rPr>
              <w:t>744.02</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bCs/>
                <w:color w:val="000000"/>
                <w:sz w:val="21"/>
                <w:szCs w:val="21"/>
              </w:rPr>
              <w:t>3,259.28</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一般公共服务支出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1,204.42</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260.98</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943.44</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20113</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商贸事务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1,200.44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260.98</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939.45</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2011301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行政运行</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260.98</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260.98</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2011302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141.07</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141.07</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2011399</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其他商贸事务支出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798.39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798.39</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20132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组织事务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3.82</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3.82</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2013202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3.82</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3.82</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20136</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其他共产党事务支出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0.17</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0.17</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2013699</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其他共产党事务支出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0.17</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0.17</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教育支出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0.16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0.16</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20508</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进修及培训</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0.16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0.16</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2050803</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培训支出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0.16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0.16</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207</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文化旅游体育与传媒支出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8.84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8.84</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20701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文化和旅游</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8.84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8.84</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2070102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8.84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8.84</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社会保障和就业支出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479.83</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464.96</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14.87</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人力资源和社会保障管理事务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0.48</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0.48</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2080102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0.48</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0.48</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行政事业单位养老支出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337.89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337.89</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2080505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机关事业单位基本养老保险缴费支出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24.07</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24.07</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2080506</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机关事业单位职业年金缴费支出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10.41</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10.41</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2080599</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其他行政事业单位养老支出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303.41</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303.41</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20808</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抚恤</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141.46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127.07</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14.39</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2080801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死亡抚恤</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127.07</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127.07</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2080803</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在乡复员、退伍军人生活补助</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14.39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14.39</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210</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卫生健康支出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1,287.98</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10.16</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1,277.82</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21004</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公共卫生</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1,277.82</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1,277.82</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2100410</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突发公共卫生事件应急处理</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1,277.82</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1,277.82</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21011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行政事业单位医疗</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10.16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10.16</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2101101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行政单位医疗</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10.16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10.16</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213</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农林水支出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50.44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50.44</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21301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农业农村</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45.44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45.44</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2130199</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其他农业农村支出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45.44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45.44</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21305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巩固脱贫攻坚成果衔接乡村振兴</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5.00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5.00</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2130599</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其他巩固脱贫攻坚成果衔接乡村振兴支出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5.00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5.00</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216</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商业服务业等支出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963.86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963.86</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21602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商业流通事务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963.86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963.86</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2160202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一般行政管理事务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100.86</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100.86</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lastRenderedPageBreak/>
              <w:t>2160299</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其他商业流通事务支出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863.00</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863.00</w:t>
            </w: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221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住房保障支出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7.75</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7.75</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22102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b/>
                <w:color w:val="000000"/>
                <w:sz w:val="21"/>
                <w:szCs w:val="21"/>
              </w:rPr>
              <w:t>住房改革支出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7.75</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b/>
                <w:color w:val="000000"/>
                <w:sz w:val="21"/>
                <w:szCs w:val="21"/>
              </w:rPr>
              <w:t>7.75</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r w:rsidR="00EE5E22">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2210201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1"/>
                <w:szCs w:val="21"/>
              </w:rPr>
              <w:t>住房公积金</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7.75</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b/>
                <w:color w:val="000000"/>
                <w:sz w:val="22"/>
                <w:szCs w:val="22"/>
              </w:rPr>
            </w:pPr>
            <w:r>
              <w:rPr>
                <w:rFonts w:cs="宋体"/>
                <w:color w:val="000000"/>
                <w:sz w:val="21"/>
                <w:szCs w:val="21"/>
              </w:rPr>
              <w:t>7.75</w:t>
            </w:r>
          </w:p>
        </w:tc>
        <w:tc>
          <w:tcPr>
            <w:tcW w:w="482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bl>
    <w:p w:rsidR="00EE5E22" w:rsidRDefault="008819A8">
      <w:pPr>
        <w:rPr>
          <w:rFonts w:cs="宋体" w:hint="default"/>
          <w:sz w:val="21"/>
          <w:szCs w:val="21"/>
        </w:rPr>
      </w:pPr>
      <w:r>
        <w:rPr>
          <w:rFonts w:cs="宋体"/>
          <w:sz w:val="21"/>
          <w:szCs w:val="21"/>
        </w:rPr>
        <w:t>备注：1.本表反映单位本年度一般公共预算财政拨款支出情况。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E5E22" w:rsidRDefault="008819A8">
      <w:pPr>
        <w:ind w:firstLineChars="300" w:firstLine="630"/>
        <w:rPr>
          <w:rFonts w:cs="宋体" w:hint="default"/>
          <w:sz w:val="21"/>
          <w:szCs w:val="21"/>
        </w:rPr>
      </w:pPr>
      <w:r>
        <w:rPr>
          <w:rFonts w:cs="宋体"/>
          <w:sz w:val="21"/>
          <w:szCs w:val="21"/>
        </w:rPr>
        <w:br w:type="page"/>
      </w:r>
    </w:p>
    <w:tbl>
      <w:tblPr>
        <w:tblW w:w="22280" w:type="dxa"/>
        <w:tblLayout w:type="fixed"/>
        <w:tblCellMar>
          <w:left w:w="0" w:type="dxa"/>
          <w:right w:w="0" w:type="dxa"/>
        </w:tblCellMar>
        <w:tblLook w:val="04A0" w:firstRow="1" w:lastRow="0" w:firstColumn="1" w:lastColumn="0" w:noHBand="0" w:noVBand="1"/>
      </w:tblPr>
      <w:tblGrid>
        <w:gridCol w:w="1289"/>
        <w:gridCol w:w="3495"/>
        <w:gridCol w:w="2829"/>
        <w:gridCol w:w="1122"/>
        <w:gridCol w:w="2330"/>
        <w:gridCol w:w="2747"/>
        <w:gridCol w:w="1509"/>
        <w:gridCol w:w="4465"/>
        <w:gridCol w:w="2494"/>
      </w:tblGrid>
      <w:tr w:rsidR="00EE5E22">
        <w:trPr>
          <w:trHeight w:val="590"/>
        </w:trPr>
        <w:tc>
          <w:tcPr>
            <w:tcW w:w="22280" w:type="dxa"/>
            <w:gridSpan w:val="9"/>
            <w:tcBorders>
              <w:top w:val="nil"/>
              <w:left w:val="nil"/>
              <w:bottom w:val="nil"/>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40"/>
                <w:szCs w:val="40"/>
              </w:rPr>
            </w:pPr>
            <w:r>
              <w:rPr>
                <w:rFonts w:cs="宋体"/>
                <w:b/>
                <w:color w:val="000000"/>
                <w:sz w:val="44"/>
                <w:szCs w:val="44"/>
              </w:rPr>
              <w:lastRenderedPageBreak/>
              <w:t>一般公共预算财政拨款基本支出决算表</w:t>
            </w:r>
          </w:p>
        </w:tc>
      </w:tr>
      <w:tr w:rsidR="00EE5E22">
        <w:trPr>
          <w:trHeight w:val="302"/>
        </w:trPr>
        <w:tc>
          <w:tcPr>
            <w:tcW w:w="4784" w:type="dxa"/>
            <w:gridSpan w:val="2"/>
            <w:vMerge w:val="restart"/>
            <w:tcBorders>
              <w:top w:val="nil"/>
              <w:left w:val="nil"/>
              <w:right w:val="nil"/>
            </w:tcBorders>
            <w:shd w:val="clear" w:color="auto" w:fill="auto"/>
            <w:noWrap/>
            <w:tcMar>
              <w:top w:w="15" w:type="dxa"/>
              <w:left w:w="15" w:type="dxa"/>
              <w:right w:w="15" w:type="dxa"/>
            </w:tcMar>
            <w:vAlign w:val="bottom"/>
          </w:tcPr>
          <w:p w:rsidR="00EE5E22" w:rsidRDefault="008819A8">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垫江县商务委员会(本级)</w:t>
            </w:r>
          </w:p>
        </w:tc>
        <w:tc>
          <w:tcPr>
            <w:tcW w:w="2829"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12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33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747"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4465"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494"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公开06表</w:t>
            </w:r>
          </w:p>
        </w:tc>
      </w:tr>
      <w:tr w:rsidR="00EE5E22">
        <w:trPr>
          <w:trHeight w:val="302"/>
        </w:trPr>
        <w:tc>
          <w:tcPr>
            <w:tcW w:w="4784" w:type="dxa"/>
            <w:gridSpan w:val="2"/>
            <w:vMerge/>
            <w:tcBorders>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829"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112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330"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747"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4465"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494"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单位：</w:t>
            </w:r>
            <w:r>
              <w:rPr>
                <w:rFonts w:cs="宋体"/>
              </w:rPr>
              <w:t>万元</w:t>
            </w:r>
          </w:p>
        </w:tc>
      </w:tr>
      <w:tr w:rsidR="00EE5E22">
        <w:trPr>
          <w:trHeight w:val="311"/>
        </w:trPr>
        <w:tc>
          <w:tcPr>
            <w:tcW w:w="7613" w:type="dxa"/>
            <w:gridSpan w:val="3"/>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人员经费</w:t>
            </w:r>
          </w:p>
        </w:tc>
        <w:tc>
          <w:tcPr>
            <w:tcW w:w="14667" w:type="dxa"/>
            <w:gridSpan w:val="6"/>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公用经费</w:t>
            </w:r>
          </w:p>
        </w:tc>
      </w:tr>
      <w:tr w:rsidR="00EE5E22">
        <w:trPr>
          <w:trHeight w:val="312"/>
        </w:trPr>
        <w:tc>
          <w:tcPr>
            <w:tcW w:w="1289" w:type="dxa"/>
            <w:vMerge w:val="restart"/>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经济分类科目编码</w:t>
            </w:r>
          </w:p>
        </w:tc>
        <w:tc>
          <w:tcPr>
            <w:tcW w:w="3495"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829"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金额</w:t>
            </w:r>
          </w:p>
        </w:tc>
        <w:tc>
          <w:tcPr>
            <w:tcW w:w="1122" w:type="dxa"/>
            <w:vMerge w:val="restart"/>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经济分类科目编码</w:t>
            </w:r>
          </w:p>
        </w:tc>
        <w:tc>
          <w:tcPr>
            <w:tcW w:w="2330"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747"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金额</w:t>
            </w:r>
          </w:p>
        </w:tc>
        <w:tc>
          <w:tcPr>
            <w:tcW w:w="1509" w:type="dxa"/>
            <w:vMerge w:val="restart"/>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经济分类科目编码</w:t>
            </w:r>
          </w:p>
        </w:tc>
        <w:tc>
          <w:tcPr>
            <w:tcW w:w="4465"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494"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金额</w:t>
            </w:r>
          </w:p>
        </w:tc>
      </w:tr>
      <w:tr w:rsidR="00EE5E22">
        <w:trPr>
          <w:trHeight w:val="799"/>
        </w:trPr>
        <w:tc>
          <w:tcPr>
            <w:tcW w:w="1289"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3495"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829"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122"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330"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747"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1509"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465"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94"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236.59</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68.21</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30101</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31.42</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30201</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9.10</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31001</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房屋建筑物购建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30102</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35.01</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30202</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4.56</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31002</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办公设备购置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30103</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107.67</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30203</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31003</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专用设备购置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30106</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30204</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31005</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基础设施建设</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30107</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30205</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0.21</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31006</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大型修缮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33"/>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30108</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24.07</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30206</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1.95</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31007</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信息网络及软件购置更新</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30109</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10.41</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30207</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3.15</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31008</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物资储备</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64"/>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30110</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10.16</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30208</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31009</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土地补偿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30111</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30209</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31010</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安置补助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33"/>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30112</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0.54</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30211</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5.18</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31011</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地上附着物和青苗补偿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30113</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7.75</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30212</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31012</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拆迁补偿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30114</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2.76</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30213</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0.71</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31013</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公务用车购置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30199</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6.79</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30214</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31019</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其他交通工具购置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439.22</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30215</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31021</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文物和陈列品购置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30301</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30216</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0.16</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31022</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无形资产购置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30302</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30217</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3.79</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31099</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其他资本性支出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30303</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30218</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312</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30304</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135.81</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30224</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31201</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资本金注入</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30305</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276.53</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30225</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31203</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政府投资基金股权投资</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30306</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30226</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31204</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费用补贴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30307</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20.60</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30227</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31205</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利息补贴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30308</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30228</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11.06</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31299</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其他对企业补助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30309</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6.27</w:t>
            </w: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30229</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9.84</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399</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30310</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30231</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4.46</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39907</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国家赔偿费用支出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30311</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30239</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7.59</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39908</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对民间非营利组织和群众性自治组织补贴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30399</w:t>
            </w: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30240</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39909</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经常性赠与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30299</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6.45</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39910</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资本性赠与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307</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39999</w:t>
            </w: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30701</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30702</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30703</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r>
      <w:tr w:rsidR="00EE5E2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30704</w:t>
            </w:r>
          </w:p>
        </w:tc>
        <w:tc>
          <w:tcPr>
            <w:tcW w:w="233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color w:val="000000"/>
                <w:sz w:val="22"/>
                <w:szCs w:val="22"/>
              </w:rPr>
            </w:pPr>
          </w:p>
        </w:tc>
      </w:tr>
      <w:tr w:rsidR="00EE5E22">
        <w:trPr>
          <w:trHeight w:val="321"/>
        </w:trPr>
        <w:tc>
          <w:tcPr>
            <w:tcW w:w="4784" w:type="dxa"/>
            <w:gridSpan w:val="2"/>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人员经费合计</w:t>
            </w:r>
          </w:p>
        </w:tc>
        <w:tc>
          <w:tcPr>
            <w:tcW w:w="2829"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675.81</w:t>
            </w:r>
          </w:p>
        </w:tc>
        <w:tc>
          <w:tcPr>
            <w:tcW w:w="12173" w:type="dxa"/>
            <w:gridSpan w:val="5"/>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公用经费合计</w:t>
            </w:r>
          </w:p>
        </w:tc>
        <w:tc>
          <w:tcPr>
            <w:tcW w:w="2494"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wordWrap w:val="0"/>
              <w:jc w:val="right"/>
              <w:textAlignment w:val="center"/>
              <w:rPr>
                <w:rFonts w:cs="宋体" w:hint="default"/>
                <w:color w:val="000000"/>
                <w:sz w:val="22"/>
                <w:szCs w:val="22"/>
              </w:rPr>
            </w:pPr>
            <w:r>
              <w:rPr>
                <w:rFonts w:cs="宋体"/>
                <w:color w:val="000000"/>
                <w:sz w:val="21"/>
                <w:szCs w:val="21"/>
              </w:rPr>
              <w:t>68.21</w:t>
            </w:r>
          </w:p>
        </w:tc>
      </w:tr>
    </w:tbl>
    <w:p w:rsidR="00EE5E22" w:rsidRDefault="008819A8">
      <w:pPr>
        <w:rPr>
          <w:rFonts w:cs="宋体" w:hint="default"/>
          <w:sz w:val="21"/>
          <w:szCs w:val="21"/>
        </w:rPr>
      </w:pPr>
      <w:r>
        <w:rPr>
          <w:rFonts w:cs="宋体"/>
          <w:sz w:val="21"/>
          <w:szCs w:val="21"/>
        </w:rPr>
        <w:t>备注：1.本表反映单位本年度一般公共预算财政拨款基本支出明细情况。</w:t>
      </w:r>
      <w:r>
        <w:rPr>
          <w:rFonts w:cs="宋体"/>
          <w:sz w:val="21"/>
          <w:szCs w:val="21"/>
        </w:rPr>
        <w:br/>
        <w:t xml:space="preserve">      2.本套报表金额单位转换时可能存在尾数误差。</w:t>
      </w:r>
      <w:r>
        <w:rPr>
          <w:rFonts w:cs="宋体"/>
          <w:sz w:val="21"/>
          <w:szCs w:val="21"/>
        </w:rPr>
        <w:br/>
      </w:r>
      <w:r>
        <w:rPr>
          <w:rFonts w:cs="宋体"/>
          <w:sz w:val="21"/>
          <w:szCs w:val="21"/>
        </w:rPr>
        <w:br/>
      </w:r>
      <w:r>
        <w:rPr>
          <w:rFonts w:cs="宋体"/>
          <w:sz w:val="21"/>
          <w:szCs w:val="21"/>
        </w:rPr>
        <w:br w:type="page"/>
      </w:r>
    </w:p>
    <w:tbl>
      <w:tblPr>
        <w:tblW w:w="22240" w:type="dxa"/>
        <w:tblLayout w:type="fixed"/>
        <w:tblCellMar>
          <w:left w:w="0" w:type="dxa"/>
          <w:right w:w="0" w:type="dxa"/>
        </w:tblCellMar>
        <w:tblLook w:val="04A0" w:firstRow="1" w:lastRow="0" w:firstColumn="1" w:lastColumn="0" w:noHBand="0" w:noVBand="1"/>
      </w:tblPr>
      <w:tblGrid>
        <w:gridCol w:w="2686"/>
        <w:gridCol w:w="4465"/>
        <w:gridCol w:w="2473"/>
        <w:gridCol w:w="2473"/>
        <w:gridCol w:w="2473"/>
        <w:gridCol w:w="2473"/>
        <w:gridCol w:w="2558"/>
        <w:gridCol w:w="2639"/>
      </w:tblGrid>
      <w:tr w:rsidR="00EE5E22">
        <w:trPr>
          <w:trHeight w:val="644"/>
        </w:trPr>
        <w:tc>
          <w:tcPr>
            <w:tcW w:w="22240" w:type="dxa"/>
            <w:gridSpan w:val="8"/>
            <w:tcBorders>
              <w:top w:val="nil"/>
              <w:left w:val="nil"/>
              <w:bottom w:val="nil"/>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40"/>
                <w:szCs w:val="40"/>
              </w:rPr>
            </w:pPr>
            <w:r>
              <w:rPr>
                <w:rFonts w:cs="宋体"/>
                <w:b/>
                <w:color w:val="000000"/>
                <w:sz w:val="44"/>
                <w:szCs w:val="44"/>
              </w:rPr>
              <w:lastRenderedPageBreak/>
              <w:t>政府性基金预算财政拨款收入支出决算表</w:t>
            </w:r>
          </w:p>
        </w:tc>
      </w:tr>
      <w:tr w:rsidR="00EE5E22">
        <w:trPr>
          <w:trHeight w:val="329"/>
        </w:trPr>
        <w:tc>
          <w:tcPr>
            <w:tcW w:w="7151" w:type="dxa"/>
            <w:gridSpan w:val="2"/>
            <w:vMerge w:val="restart"/>
            <w:tcBorders>
              <w:top w:val="nil"/>
              <w:left w:val="nil"/>
              <w:right w:val="nil"/>
            </w:tcBorders>
            <w:shd w:val="clear" w:color="auto" w:fill="auto"/>
            <w:noWrap/>
            <w:tcMar>
              <w:top w:w="15" w:type="dxa"/>
              <w:left w:w="15" w:type="dxa"/>
              <w:right w:w="15" w:type="dxa"/>
            </w:tcMar>
            <w:vAlign w:val="bottom"/>
          </w:tcPr>
          <w:p w:rsidR="00EE5E22" w:rsidRDefault="008819A8">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垫江县商务委员会(本级)</w:t>
            </w:r>
          </w:p>
        </w:tc>
        <w:tc>
          <w:tcPr>
            <w:tcW w:w="247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558"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2639"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公开07表</w:t>
            </w:r>
          </w:p>
        </w:tc>
      </w:tr>
      <w:tr w:rsidR="00EE5E22">
        <w:trPr>
          <w:trHeight w:val="329"/>
        </w:trPr>
        <w:tc>
          <w:tcPr>
            <w:tcW w:w="7151" w:type="dxa"/>
            <w:gridSpan w:val="2"/>
            <w:vMerge/>
            <w:tcBorders>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558"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2639"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单位：</w:t>
            </w:r>
            <w:r>
              <w:rPr>
                <w:rFonts w:cs="宋体"/>
              </w:rPr>
              <w:t>万元</w:t>
            </w:r>
          </w:p>
        </w:tc>
      </w:tr>
      <w:tr w:rsidR="00EE5E22">
        <w:trPr>
          <w:trHeight w:val="339"/>
        </w:trPr>
        <w:tc>
          <w:tcPr>
            <w:tcW w:w="7151" w:type="dxa"/>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w:t>
            </w:r>
          </w:p>
        </w:tc>
        <w:tc>
          <w:tcPr>
            <w:tcW w:w="2473" w:type="dxa"/>
            <w:vMerge w:val="restart"/>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本年收入</w:t>
            </w:r>
          </w:p>
        </w:tc>
        <w:tc>
          <w:tcPr>
            <w:tcW w:w="7504" w:type="dxa"/>
            <w:gridSpan w:val="3"/>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本年支出</w:t>
            </w:r>
          </w:p>
        </w:tc>
        <w:tc>
          <w:tcPr>
            <w:tcW w:w="2639"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年末结转和结余</w:t>
            </w:r>
          </w:p>
        </w:tc>
      </w:tr>
      <w:tr w:rsidR="00EE5E22">
        <w:trPr>
          <w:trHeight w:val="335"/>
        </w:trPr>
        <w:tc>
          <w:tcPr>
            <w:tcW w:w="2686"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合计</w:t>
            </w:r>
          </w:p>
        </w:tc>
        <w:tc>
          <w:tcPr>
            <w:tcW w:w="2473"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基本支出</w:t>
            </w:r>
          </w:p>
        </w:tc>
        <w:tc>
          <w:tcPr>
            <w:tcW w:w="2558"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项目支出</w:t>
            </w:r>
          </w:p>
        </w:tc>
        <w:tc>
          <w:tcPr>
            <w:tcW w:w="263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5"/>
        </w:trPr>
        <w:tc>
          <w:tcPr>
            <w:tcW w:w="26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9"/>
        </w:trPr>
        <w:tc>
          <w:tcPr>
            <w:tcW w:w="7151" w:type="dxa"/>
            <w:gridSpan w:val="2"/>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合计</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255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263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bl>
    <w:p w:rsidR="00EE5E22" w:rsidRDefault="008819A8">
      <w:pPr>
        <w:rPr>
          <w:rFonts w:cs="宋体" w:hint="default"/>
          <w:sz w:val="21"/>
          <w:szCs w:val="21"/>
        </w:rPr>
      </w:pPr>
      <w:r>
        <w:rPr>
          <w:rFonts w:cs="宋体"/>
          <w:sz w:val="21"/>
          <w:szCs w:val="21"/>
        </w:rPr>
        <w:t>备注：本表反映单位本年度政府性基金预算财政拨款收入支出及结转和结余情况。本单位无政府性基金收支，故本表无数据。</w:t>
      </w:r>
      <w:r>
        <w:rPr>
          <w:rFonts w:cs="宋体"/>
          <w:sz w:val="21"/>
          <w:szCs w:val="21"/>
        </w:rPr>
        <w:br/>
      </w:r>
      <w:r>
        <w:rPr>
          <w:rFonts w:cs="宋体"/>
          <w:sz w:val="21"/>
          <w:szCs w:val="21"/>
        </w:rPr>
        <w:br/>
      </w:r>
    </w:p>
    <w:p w:rsidR="00EE5E22" w:rsidRDefault="008819A8">
      <w:pPr>
        <w:rPr>
          <w:rFonts w:cs="宋体" w:hint="default"/>
          <w:sz w:val="21"/>
          <w:szCs w:val="21"/>
        </w:rPr>
      </w:pPr>
      <w:r>
        <w:rPr>
          <w:rFonts w:cs="宋体"/>
          <w:sz w:val="21"/>
          <w:szCs w:val="21"/>
        </w:rPr>
        <w:br w:type="page"/>
      </w:r>
    </w:p>
    <w:tbl>
      <w:tblPr>
        <w:tblW w:w="22220" w:type="dxa"/>
        <w:tblLayout w:type="fixed"/>
        <w:tblCellMar>
          <w:left w:w="0" w:type="dxa"/>
          <w:right w:w="0" w:type="dxa"/>
        </w:tblCellMar>
        <w:tblLook w:val="04A0" w:firstRow="1" w:lastRow="0" w:firstColumn="1" w:lastColumn="0" w:noHBand="0" w:noVBand="1"/>
      </w:tblPr>
      <w:tblGrid>
        <w:gridCol w:w="2729"/>
        <w:gridCol w:w="4420"/>
        <w:gridCol w:w="4736"/>
        <w:gridCol w:w="5423"/>
        <w:gridCol w:w="4912"/>
      </w:tblGrid>
      <w:tr w:rsidR="00EE5E22">
        <w:trPr>
          <w:trHeight w:val="650"/>
        </w:trPr>
        <w:tc>
          <w:tcPr>
            <w:tcW w:w="22220" w:type="dxa"/>
            <w:gridSpan w:val="5"/>
            <w:tcBorders>
              <w:top w:val="nil"/>
              <w:left w:val="nil"/>
              <w:bottom w:val="nil"/>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40"/>
                <w:szCs w:val="40"/>
              </w:rPr>
            </w:pPr>
            <w:r>
              <w:rPr>
                <w:rFonts w:cs="宋体"/>
                <w:b/>
                <w:color w:val="000000"/>
                <w:sz w:val="44"/>
                <w:szCs w:val="44"/>
              </w:rPr>
              <w:lastRenderedPageBreak/>
              <w:t>国有资本经营预算财政拨款支出决算表</w:t>
            </w:r>
          </w:p>
        </w:tc>
      </w:tr>
      <w:tr w:rsidR="00EE5E22">
        <w:trPr>
          <w:trHeight w:val="332"/>
        </w:trPr>
        <w:tc>
          <w:tcPr>
            <w:tcW w:w="7149" w:type="dxa"/>
            <w:gridSpan w:val="2"/>
            <w:vMerge w:val="restart"/>
            <w:tcBorders>
              <w:top w:val="nil"/>
              <w:left w:val="nil"/>
              <w:right w:val="nil"/>
            </w:tcBorders>
            <w:shd w:val="clear" w:color="auto" w:fill="auto"/>
            <w:noWrap/>
            <w:tcMar>
              <w:top w:w="15" w:type="dxa"/>
              <w:left w:w="15" w:type="dxa"/>
              <w:right w:w="15" w:type="dxa"/>
            </w:tcMar>
            <w:vAlign w:val="bottom"/>
          </w:tcPr>
          <w:p w:rsidR="00EE5E22" w:rsidRDefault="008819A8">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垫江县商务委员会(本级)</w:t>
            </w:r>
          </w:p>
        </w:tc>
        <w:tc>
          <w:tcPr>
            <w:tcW w:w="4736"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542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4912"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公开08表</w:t>
            </w:r>
          </w:p>
        </w:tc>
      </w:tr>
      <w:tr w:rsidR="00EE5E22">
        <w:trPr>
          <w:trHeight w:val="332"/>
        </w:trPr>
        <w:tc>
          <w:tcPr>
            <w:tcW w:w="7149" w:type="dxa"/>
            <w:gridSpan w:val="2"/>
            <w:vMerge/>
            <w:tcBorders>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4736"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5423"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4912"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单位：</w:t>
            </w:r>
            <w:r>
              <w:rPr>
                <w:rFonts w:cs="宋体"/>
              </w:rPr>
              <w:t>万元</w:t>
            </w:r>
          </w:p>
        </w:tc>
      </w:tr>
      <w:tr w:rsidR="00EE5E22">
        <w:trPr>
          <w:trHeight w:val="422"/>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22"/>
                <w:szCs w:val="22"/>
              </w:rPr>
            </w:pPr>
            <w:r>
              <w:rPr>
                <w:rFonts w:cs="宋体"/>
                <w:b/>
                <w:color w:val="000000"/>
                <w:sz w:val="22"/>
                <w:szCs w:val="22"/>
              </w:rPr>
              <w:t>项目</w:t>
            </w:r>
          </w:p>
        </w:tc>
        <w:tc>
          <w:tcPr>
            <w:tcW w:w="15071" w:type="dxa"/>
            <w:gridSpan w:val="3"/>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22"/>
                <w:szCs w:val="22"/>
              </w:rPr>
            </w:pPr>
            <w:r>
              <w:rPr>
                <w:rFonts w:cs="宋体"/>
                <w:b/>
                <w:color w:val="000000"/>
                <w:sz w:val="22"/>
                <w:szCs w:val="22"/>
              </w:rPr>
              <w:t>本年支出</w:t>
            </w:r>
          </w:p>
        </w:tc>
      </w:tr>
      <w:tr w:rsidR="00EE5E22">
        <w:trPr>
          <w:trHeight w:val="339"/>
        </w:trPr>
        <w:tc>
          <w:tcPr>
            <w:tcW w:w="2729" w:type="dxa"/>
            <w:vMerge w:val="restart"/>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功能分类科目编码</w:t>
            </w:r>
          </w:p>
        </w:tc>
        <w:tc>
          <w:tcPr>
            <w:tcW w:w="4420"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科目名称</w:t>
            </w:r>
          </w:p>
        </w:tc>
        <w:tc>
          <w:tcPr>
            <w:tcW w:w="4736" w:type="dxa"/>
            <w:vMerge w:val="restart"/>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合计</w:t>
            </w:r>
          </w:p>
        </w:tc>
        <w:tc>
          <w:tcPr>
            <w:tcW w:w="5423"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基本支出</w:t>
            </w:r>
          </w:p>
        </w:tc>
        <w:tc>
          <w:tcPr>
            <w:tcW w:w="4912" w:type="dxa"/>
            <w:vMerge w:val="restart"/>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项目支出</w:t>
            </w:r>
          </w:p>
        </w:tc>
      </w:tr>
      <w:tr w:rsidR="00EE5E22">
        <w:trPr>
          <w:trHeight w:val="339"/>
        </w:trPr>
        <w:tc>
          <w:tcPr>
            <w:tcW w:w="2729"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39"/>
        </w:trPr>
        <w:tc>
          <w:tcPr>
            <w:tcW w:w="2729"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312"/>
        </w:trPr>
        <w:tc>
          <w:tcPr>
            <w:tcW w:w="2729"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EE5E22" w:rsidRDefault="00EE5E22">
            <w:pPr>
              <w:jc w:val="center"/>
              <w:rPr>
                <w:rFonts w:cs="宋体" w:hint="default"/>
                <w:b/>
                <w:color w:val="000000"/>
                <w:sz w:val="22"/>
                <w:szCs w:val="22"/>
              </w:rPr>
            </w:pPr>
          </w:p>
        </w:tc>
      </w:tr>
      <w:tr w:rsidR="00EE5E22">
        <w:trPr>
          <w:trHeight w:val="611"/>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合计</w:t>
            </w:r>
          </w:p>
        </w:tc>
        <w:tc>
          <w:tcPr>
            <w:tcW w:w="47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c>
          <w:tcPr>
            <w:tcW w:w="542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jc w:val="right"/>
              <w:rPr>
                <w:rFonts w:cs="宋体" w:hint="default"/>
                <w:b/>
                <w:color w:val="000000"/>
                <w:sz w:val="22"/>
                <w:szCs w:val="22"/>
              </w:rPr>
            </w:pPr>
          </w:p>
        </w:tc>
        <w:tc>
          <w:tcPr>
            <w:tcW w:w="491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wordWrap w:val="0"/>
              <w:jc w:val="right"/>
              <w:textAlignment w:val="center"/>
              <w:rPr>
                <w:rFonts w:cs="宋体" w:hint="default"/>
                <w:b/>
                <w:color w:val="000000"/>
                <w:sz w:val="22"/>
                <w:szCs w:val="22"/>
              </w:rPr>
            </w:pPr>
          </w:p>
        </w:tc>
      </w:tr>
    </w:tbl>
    <w:p w:rsidR="00EE5E22" w:rsidRDefault="008819A8">
      <w:pPr>
        <w:rPr>
          <w:rFonts w:cs="宋体" w:hint="default"/>
          <w:sz w:val="21"/>
          <w:szCs w:val="21"/>
        </w:rPr>
      </w:pPr>
      <w:r>
        <w:rPr>
          <w:rFonts w:cs="宋体"/>
          <w:sz w:val="21"/>
          <w:szCs w:val="21"/>
        </w:rPr>
        <w:t>备注：本表反映单位本年度国有资本经营预算财政拨款支出情况。本单位无国有资本经营收支，故本表无数据。</w:t>
      </w:r>
      <w:r>
        <w:rPr>
          <w:rFonts w:cs="宋体"/>
          <w:sz w:val="21"/>
          <w:szCs w:val="21"/>
        </w:rPr>
        <w:br/>
      </w:r>
      <w:r>
        <w:rPr>
          <w:rFonts w:cs="宋体"/>
          <w:sz w:val="21"/>
          <w:szCs w:val="21"/>
        </w:rPr>
        <w:br/>
      </w:r>
    </w:p>
    <w:p w:rsidR="00EE5E22" w:rsidRDefault="008819A8">
      <w:pPr>
        <w:rPr>
          <w:rFonts w:cs="宋体" w:hint="default"/>
          <w:sz w:val="21"/>
          <w:szCs w:val="21"/>
        </w:rPr>
      </w:pPr>
      <w:r>
        <w:rPr>
          <w:rFonts w:cs="宋体"/>
          <w:sz w:val="21"/>
          <w:szCs w:val="21"/>
        </w:rPr>
        <w:br w:type="page"/>
      </w:r>
    </w:p>
    <w:tbl>
      <w:tblPr>
        <w:tblW w:w="22168" w:type="dxa"/>
        <w:tblLayout w:type="fixed"/>
        <w:tblCellMar>
          <w:left w:w="0" w:type="dxa"/>
          <w:right w:w="0" w:type="dxa"/>
        </w:tblCellMar>
        <w:tblLook w:val="04A0" w:firstRow="1" w:lastRow="0" w:firstColumn="1" w:lastColumn="0" w:noHBand="0" w:noVBand="1"/>
      </w:tblPr>
      <w:tblGrid>
        <w:gridCol w:w="5159"/>
        <w:gridCol w:w="3822"/>
        <w:gridCol w:w="3281"/>
        <w:gridCol w:w="6581"/>
        <w:gridCol w:w="3325"/>
      </w:tblGrid>
      <w:tr w:rsidR="00EE5E22">
        <w:trPr>
          <w:trHeight w:val="510"/>
        </w:trPr>
        <w:tc>
          <w:tcPr>
            <w:tcW w:w="22168" w:type="dxa"/>
            <w:gridSpan w:val="5"/>
            <w:tcBorders>
              <w:top w:val="nil"/>
              <w:left w:val="nil"/>
              <w:bottom w:val="nil"/>
              <w:right w:val="nil"/>
            </w:tcBorders>
            <w:shd w:val="clear" w:color="auto" w:fill="auto"/>
            <w:noWrap/>
            <w:tcMar>
              <w:top w:w="15" w:type="dxa"/>
              <w:left w:w="15" w:type="dxa"/>
              <w:right w:w="15" w:type="dxa"/>
            </w:tcMar>
            <w:vAlign w:val="bottom"/>
          </w:tcPr>
          <w:p w:rsidR="00EE5E22" w:rsidRDefault="008819A8">
            <w:pPr>
              <w:jc w:val="center"/>
              <w:textAlignment w:val="bottom"/>
              <w:rPr>
                <w:rFonts w:cs="宋体" w:hint="default"/>
                <w:b/>
                <w:color w:val="000000"/>
                <w:sz w:val="40"/>
                <w:szCs w:val="40"/>
              </w:rPr>
            </w:pPr>
            <w:r>
              <w:rPr>
                <w:rFonts w:cs="宋体"/>
                <w:b/>
                <w:color w:val="000000"/>
                <w:sz w:val="44"/>
                <w:szCs w:val="44"/>
              </w:rPr>
              <w:lastRenderedPageBreak/>
              <w:t>机构运行信息表</w:t>
            </w:r>
          </w:p>
        </w:tc>
      </w:tr>
      <w:tr w:rsidR="00EE5E22">
        <w:trPr>
          <w:trHeight w:val="255"/>
        </w:trPr>
        <w:tc>
          <w:tcPr>
            <w:tcW w:w="5159"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82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jc w:val="center"/>
              <w:rPr>
                <w:rFonts w:ascii="Arial" w:hAnsi="Arial" w:cs="Arial" w:hint="default"/>
                <w:color w:val="000000"/>
                <w:sz w:val="20"/>
                <w:szCs w:val="20"/>
              </w:rPr>
            </w:pPr>
          </w:p>
        </w:tc>
        <w:tc>
          <w:tcPr>
            <w:tcW w:w="3281" w:type="dxa"/>
            <w:tcBorders>
              <w:top w:val="nil"/>
              <w:left w:val="nil"/>
              <w:bottom w:val="nil"/>
              <w:right w:val="nil"/>
            </w:tcBorders>
            <w:shd w:val="clear" w:color="auto" w:fill="auto"/>
            <w:noWrap/>
            <w:tcMar>
              <w:top w:w="15" w:type="dxa"/>
              <w:left w:w="15" w:type="dxa"/>
              <w:right w:w="15" w:type="dxa"/>
            </w:tcMar>
            <w:vAlign w:val="bottom"/>
          </w:tcPr>
          <w:p w:rsidR="00EE5E22" w:rsidRDefault="00EE5E22">
            <w:pPr>
              <w:jc w:val="right"/>
              <w:rPr>
                <w:rFonts w:ascii="Arial" w:hAnsi="Arial" w:cs="Arial" w:hint="default"/>
                <w:color w:val="000000"/>
                <w:sz w:val="20"/>
                <w:szCs w:val="20"/>
              </w:rPr>
            </w:pPr>
          </w:p>
        </w:tc>
        <w:tc>
          <w:tcPr>
            <w:tcW w:w="6581"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0"/>
                <w:szCs w:val="20"/>
              </w:rPr>
            </w:pPr>
          </w:p>
        </w:tc>
        <w:tc>
          <w:tcPr>
            <w:tcW w:w="3325"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公开09表</w:t>
            </w:r>
          </w:p>
        </w:tc>
      </w:tr>
      <w:tr w:rsidR="00EE5E22">
        <w:trPr>
          <w:trHeight w:val="285"/>
        </w:trPr>
        <w:tc>
          <w:tcPr>
            <w:tcW w:w="5159" w:type="dxa"/>
            <w:tcBorders>
              <w:top w:val="nil"/>
              <w:left w:val="nil"/>
              <w:bottom w:val="nil"/>
              <w:right w:val="nil"/>
            </w:tcBorders>
            <w:shd w:val="clear" w:color="auto" w:fill="auto"/>
            <w:noWrap/>
            <w:tcMar>
              <w:top w:w="15" w:type="dxa"/>
              <w:left w:w="15" w:type="dxa"/>
              <w:right w:w="15" w:type="dxa"/>
            </w:tcMar>
            <w:vAlign w:val="bottom"/>
          </w:tcPr>
          <w:p w:rsidR="00EE5E22" w:rsidRDefault="008819A8">
            <w:pPr>
              <w:textAlignment w:val="bottom"/>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 xml:space="preserve">： </w:t>
            </w:r>
            <w:r>
              <w:rPr>
                <w:color w:val="000000"/>
              </w:rPr>
              <w:t>垫江县商务委员会(本级)</w:t>
            </w:r>
          </w:p>
        </w:tc>
        <w:tc>
          <w:tcPr>
            <w:tcW w:w="3822" w:type="dxa"/>
            <w:tcBorders>
              <w:top w:val="nil"/>
              <w:left w:val="nil"/>
              <w:bottom w:val="nil"/>
              <w:right w:val="nil"/>
            </w:tcBorders>
            <w:shd w:val="clear" w:color="auto" w:fill="auto"/>
            <w:noWrap/>
            <w:tcMar>
              <w:top w:w="15" w:type="dxa"/>
              <w:left w:w="15" w:type="dxa"/>
              <w:right w:w="15" w:type="dxa"/>
            </w:tcMar>
            <w:vAlign w:val="bottom"/>
          </w:tcPr>
          <w:p w:rsidR="00EE5E22" w:rsidRDefault="00EE5E22">
            <w:pPr>
              <w:jc w:val="center"/>
              <w:rPr>
                <w:rFonts w:cs="宋体" w:hint="default"/>
                <w:color w:val="000000"/>
                <w:sz w:val="22"/>
                <w:szCs w:val="22"/>
              </w:rPr>
            </w:pPr>
          </w:p>
        </w:tc>
        <w:tc>
          <w:tcPr>
            <w:tcW w:w="3281" w:type="dxa"/>
            <w:tcBorders>
              <w:top w:val="nil"/>
              <w:left w:val="nil"/>
              <w:bottom w:val="nil"/>
              <w:right w:val="nil"/>
            </w:tcBorders>
            <w:shd w:val="clear" w:color="auto" w:fill="auto"/>
            <w:noWrap/>
            <w:tcMar>
              <w:top w:w="15" w:type="dxa"/>
              <w:left w:w="15" w:type="dxa"/>
              <w:right w:w="15" w:type="dxa"/>
            </w:tcMar>
            <w:vAlign w:val="bottom"/>
          </w:tcPr>
          <w:p w:rsidR="00EE5E22" w:rsidRDefault="00EE5E22">
            <w:pPr>
              <w:jc w:val="right"/>
              <w:rPr>
                <w:rFonts w:ascii="Arial" w:hAnsi="Arial" w:cs="Arial" w:hint="default"/>
                <w:color w:val="000000"/>
                <w:sz w:val="22"/>
                <w:szCs w:val="22"/>
              </w:rPr>
            </w:pPr>
          </w:p>
        </w:tc>
        <w:tc>
          <w:tcPr>
            <w:tcW w:w="6581" w:type="dxa"/>
            <w:tcBorders>
              <w:top w:val="nil"/>
              <w:left w:val="nil"/>
              <w:bottom w:val="nil"/>
              <w:right w:val="nil"/>
            </w:tcBorders>
            <w:shd w:val="clear" w:color="auto" w:fill="auto"/>
            <w:noWrap/>
            <w:tcMar>
              <w:top w:w="15" w:type="dxa"/>
              <w:left w:w="15" w:type="dxa"/>
              <w:right w:w="15" w:type="dxa"/>
            </w:tcMar>
            <w:vAlign w:val="bottom"/>
          </w:tcPr>
          <w:p w:rsidR="00EE5E22" w:rsidRDefault="00EE5E22">
            <w:pPr>
              <w:rPr>
                <w:rFonts w:ascii="Arial" w:hAnsi="Arial" w:cs="Arial" w:hint="default"/>
                <w:color w:val="000000"/>
                <w:sz w:val="22"/>
                <w:szCs w:val="22"/>
              </w:rPr>
            </w:pPr>
          </w:p>
        </w:tc>
        <w:tc>
          <w:tcPr>
            <w:tcW w:w="3325" w:type="dxa"/>
            <w:tcBorders>
              <w:top w:val="nil"/>
              <w:left w:val="nil"/>
              <w:bottom w:val="nil"/>
              <w:right w:val="nil"/>
            </w:tcBorders>
            <w:shd w:val="clear" w:color="auto" w:fill="auto"/>
            <w:noWrap/>
            <w:tcMar>
              <w:top w:w="15" w:type="dxa"/>
              <w:left w:w="15" w:type="dxa"/>
              <w:right w:w="15" w:type="dxa"/>
            </w:tcMar>
            <w:vAlign w:val="bottom"/>
          </w:tcPr>
          <w:p w:rsidR="00EE5E22" w:rsidRDefault="008819A8">
            <w:pPr>
              <w:jc w:val="right"/>
              <w:textAlignment w:val="bottom"/>
              <w:rPr>
                <w:rFonts w:cs="宋体" w:hint="default"/>
                <w:color w:val="000000"/>
              </w:rPr>
            </w:pPr>
            <w:r>
              <w:rPr>
                <w:rFonts w:cs="宋体"/>
                <w:color w:val="000000"/>
              </w:rPr>
              <w:t>单位：</w:t>
            </w:r>
            <w:r>
              <w:rPr>
                <w:rFonts w:cs="宋体"/>
              </w:rPr>
              <w:t>万元</w:t>
            </w:r>
          </w:p>
        </w:tc>
      </w:tr>
      <w:tr w:rsidR="00EE5E22">
        <w:trPr>
          <w:trHeight w:val="308"/>
        </w:trPr>
        <w:tc>
          <w:tcPr>
            <w:tcW w:w="5159" w:type="dxa"/>
            <w:tcBorders>
              <w:top w:val="single" w:sz="4" w:space="0" w:color="000000"/>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  目</w:t>
            </w:r>
          </w:p>
        </w:tc>
        <w:tc>
          <w:tcPr>
            <w:tcW w:w="382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预算数</w:t>
            </w:r>
          </w:p>
        </w:tc>
        <w:tc>
          <w:tcPr>
            <w:tcW w:w="3281" w:type="dxa"/>
            <w:tcBorders>
              <w:top w:val="single" w:sz="4" w:space="0" w:color="000000"/>
              <w:left w:val="nil"/>
              <w:bottom w:val="nil"/>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决算数</w:t>
            </w:r>
          </w:p>
        </w:tc>
        <w:tc>
          <w:tcPr>
            <w:tcW w:w="65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项  目</w:t>
            </w:r>
          </w:p>
        </w:tc>
        <w:tc>
          <w:tcPr>
            <w:tcW w:w="3325" w:type="dxa"/>
            <w:tcBorders>
              <w:top w:val="single" w:sz="4" w:space="0" w:color="000000"/>
              <w:left w:val="nil"/>
              <w:bottom w:val="nil"/>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b/>
                <w:color w:val="000000"/>
                <w:sz w:val="22"/>
                <w:szCs w:val="22"/>
              </w:rPr>
            </w:pPr>
            <w:r>
              <w:rPr>
                <w:rFonts w:cs="宋体"/>
                <w:b/>
                <w:color w:val="000000"/>
                <w:sz w:val="22"/>
                <w:szCs w:val="22"/>
              </w:rPr>
              <w:t>决算数</w:t>
            </w: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一、“三公”经费支出</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四、机关运行经费</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68.21</w:t>
            </w: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（一）支出合计</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8.24</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8.24</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（一）行政单位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68.21</w:t>
            </w: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1．因公出国（境）费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（二）参照公务员法管理事业单位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2．公务用车购置及运行维护费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4.46</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4.46</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五、资产信息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（1）公务用车购置费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（一）车辆数合计（辆）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1</w:t>
            </w: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（2）公务用车运行维护费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4.46</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4.46</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1．副部（省）级及以上领导用车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3．公务接待费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3.79</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3.79</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2．主要领导干部用车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（1）国内接待费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3.79</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3．机要通信用车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其中：外事接待费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4．应急保障用车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1</w:t>
            </w: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（2）国（境）外接待费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5．执法执勤用车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（二）相关统计数</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6．特种专业技术用车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1．因公出国（境）团组数（个）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7．离退休干部用车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2．因公出国（境）人次数（人）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8．其他用车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3．公务用车购置数（辆）</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（二）单价100万元（含）以上设备（不含车辆）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4．公务用车保有量（辆）</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1</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六、政府采购支出信息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5．国内公务接待批次（个）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85</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（一）政府采购支出合计</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182.80</w:t>
            </w: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其中：外事接待批次（个）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1．政府采购货物支出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6．国内公务接待人次（人）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408</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2．政府采购工程支出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其中：外事接待人次（人）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3．政府采购服务支出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182.80</w:t>
            </w: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7．国（境）外公务接待批次（个）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（二）政府采购授予中小企业合同金额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8．国（境）外公务接待人次（人）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 xml:space="preserve">        其中：授予小微企业合同金额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wordWrap w:val="0"/>
              <w:jc w:val="right"/>
              <w:textAlignment w:val="bottom"/>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二、会议费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1.75</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jc w:val="right"/>
              <w:rPr>
                <w:rFonts w:ascii="Arial" w:hAnsi="Arial" w:cs="Arial" w:hint="default"/>
                <w:color w:val="000000"/>
                <w:sz w:val="20"/>
                <w:szCs w:val="20"/>
              </w:rPr>
            </w:pPr>
          </w:p>
        </w:tc>
      </w:tr>
      <w:tr w:rsidR="00EE5E22">
        <w:trPr>
          <w:trHeight w:val="308"/>
        </w:trPr>
        <w:tc>
          <w:tcPr>
            <w:tcW w:w="5159" w:type="dxa"/>
            <w:tcBorders>
              <w:top w:val="nil"/>
              <w:left w:val="single" w:sz="4" w:space="0" w:color="000000"/>
              <w:bottom w:val="single" w:sz="4" w:space="0" w:color="000000"/>
              <w:right w:val="nil"/>
            </w:tcBorders>
            <w:shd w:val="clear" w:color="auto" w:fill="auto"/>
            <w:noWrap/>
            <w:tcMar>
              <w:top w:w="15" w:type="dxa"/>
              <w:left w:w="15" w:type="dxa"/>
              <w:right w:w="15" w:type="dxa"/>
            </w:tcMar>
            <w:vAlign w:val="center"/>
          </w:tcPr>
          <w:p w:rsidR="00EE5E22" w:rsidRDefault="008819A8">
            <w:pPr>
              <w:textAlignment w:val="center"/>
              <w:rPr>
                <w:rFonts w:cs="宋体" w:hint="default"/>
                <w:color w:val="000000"/>
                <w:sz w:val="22"/>
                <w:szCs w:val="22"/>
              </w:rPr>
            </w:pPr>
            <w:r>
              <w:rPr>
                <w:rFonts w:cs="宋体"/>
                <w:color w:val="000000"/>
                <w:sz w:val="22"/>
                <w:szCs w:val="22"/>
              </w:rPr>
              <w:t>三、培训费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8819A8">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EE5E22" w:rsidRDefault="008819A8">
            <w:pPr>
              <w:wordWrap w:val="0"/>
              <w:jc w:val="right"/>
              <w:textAlignment w:val="bottom"/>
              <w:rPr>
                <w:rFonts w:ascii="Arial" w:hAnsi="Arial" w:cs="Arial" w:hint="default"/>
                <w:color w:val="000000"/>
                <w:sz w:val="20"/>
                <w:szCs w:val="20"/>
              </w:rPr>
            </w:pPr>
            <w:r>
              <w:rPr>
                <w:rFonts w:cs="宋体"/>
                <w:color w:val="000000"/>
                <w:sz w:val="21"/>
                <w:szCs w:val="21"/>
              </w:rPr>
              <w:t>0.16</w:t>
            </w:r>
          </w:p>
        </w:tc>
        <w:tc>
          <w:tcPr>
            <w:tcW w:w="658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EE5E22" w:rsidRDefault="00EE5E22">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EE5E22" w:rsidRDefault="00EE5E22">
            <w:pPr>
              <w:jc w:val="right"/>
              <w:rPr>
                <w:rFonts w:ascii="Arial" w:hAnsi="Arial" w:cs="Arial" w:hint="default"/>
                <w:color w:val="000000"/>
                <w:sz w:val="20"/>
                <w:szCs w:val="20"/>
              </w:rPr>
            </w:pPr>
          </w:p>
        </w:tc>
      </w:tr>
    </w:tbl>
    <w:p w:rsidR="00EE5E22" w:rsidRDefault="008819A8">
      <w:pPr>
        <w:rPr>
          <w:rFonts w:cs="宋体" w:hint="default"/>
          <w:sz w:val="21"/>
          <w:szCs w:val="21"/>
        </w:rPr>
      </w:pPr>
      <w:r>
        <w:rPr>
          <w:rFonts w:cs="宋体"/>
          <w:sz w:val="21"/>
          <w:szCs w:val="21"/>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rPr>
        <w:br/>
        <w:t xml:space="preserve">      2.本套报表金额单位转换时可能存在尾数误差。</w:t>
      </w:r>
      <w:r>
        <w:rPr>
          <w:rFonts w:cs="宋体"/>
          <w:sz w:val="21"/>
          <w:szCs w:val="21"/>
        </w:rPr>
        <w:br/>
      </w:r>
      <w:r>
        <w:rPr>
          <w:rFonts w:cs="宋体"/>
          <w:sz w:val="21"/>
          <w:szCs w:val="21"/>
        </w:rPr>
        <w:br/>
      </w:r>
    </w:p>
    <w:p w:rsidR="00EE5E22" w:rsidRDefault="00EE5E22">
      <w:pPr>
        <w:rPr>
          <w:rFonts w:cs="宋体" w:hint="default"/>
          <w:color w:val="000000"/>
          <w:sz w:val="21"/>
          <w:szCs w:val="21"/>
        </w:rPr>
      </w:pPr>
    </w:p>
    <w:p w:rsidR="00EE5E22" w:rsidRDefault="00EE5E22">
      <w:pPr>
        <w:rPr>
          <w:rFonts w:cs="宋体" w:hint="default"/>
          <w:color w:val="000000"/>
          <w:sz w:val="21"/>
          <w:szCs w:val="21"/>
        </w:rPr>
      </w:pPr>
    </w:p>
    <w:p w:rsidR="00EE5E22" w:rsidRDefault="00EE5E22">
      <w:pPr>
        <w:rPr>
          <w:rFonts w:cs="宋体" w:hint="default"/>
          <w:color w:val="000000"/>
          <w:sz w:val="21"/>
          <w:szCs w:val="21"/>
        </w:rPr>
      </w:pPr>
    </w:p>
    <w:p w:rsidR="00EE5E22" w:rsidRDefault="00EE5E22">
      <w:pPr>
        <w:rPr>
          <w:rFonts w:cs="宋体" w:hint="default"/>
          <w:color w:val="000000"/>
          <w:sz w:val="21"/>
          <w:szCs w:val="21"/>
        </w:rPr>
      </w:pPr>
    </w:p>
    <w:p w:rsidR="00EE5E22" w:rsidRDefault="00EE5E22">
      <w:pPr>
        <w:rPr>
          <w:rFonts w:cs="宋体" w:hint="default"/>
          <w:color w:val="000000"/>
          <w:sz w:val="21"/>
          <w:szCs w:val="21"/>
        </w:rPr>
      </w:pPr>
    </w:p>
    <w:p w:rsidR="00EE5E22" w:rsidRDefault="00EE5E22">
      <w:pPr>
        <w:rPr>
          <w:rFonts w:cs="宋体" w:hint="default"/>
          <w:color w:val="000000"/>
          <w:sz w:val="21"/>
          <w:szCs w:val="21"/>
        </w:rPr>
      </w:pPr>
    </w:p>
    <w:p w:rsidR="00EE5E22" w:rsidRDefault="00EE5E22">
      <w:pPr>
        <w:rPr>
          <w:rFonts w:cs="宋体" w:hint="default"/>
          <w:color w:val="000000"/>
          <w:sz w:val="21"/>
          <w:szCs w:val="21"/>
        </w:rPr>
      </w:pPr>
    </w:p>
    <w:p w:rsidR="00EE5E22" w:rsidRDefault="00EE5E22">
      <w:pPr>
        <w:rPr>
          <w:rFonts w:cs="宋体" w:hint="default"/>
          <w:color w:val="000000"/>
          <w:sz w:val="21"/>
          <w:szCs w:val="21"/>
        </w:rPr>
      </w:pPr>
    </w:p>
    <w:p w:rsidR="00EE5E22" w:rsidRDefault="00EE5E22">
      <w:pPr>
        <w:rPr>
          <w:rFonts w:cs="宋体" w:hint="default"/>
          <w:color w:val="000000"/>
          <w:sz w:val="21"/>
          <w:szCs w:val="21"/>
        </w:rPr>
      </w:pPr>
    </w:p>
    <w:p w:rsidR="00EE5E22" w:rsidRDefault="00EE5E22">
      <w:pPr>
        <w:pStyle w:val="1"/>
        <w:autoSpaceDE w:val="0"/>
        <w:ind w:firstLineChars="0" w:firstLine="0"/>
        <w:rPr>
          <w:rFonts w:cs="宋体"/>
          <w:sz w:val="21"/>
          <w:szCs w:val="21"/>
        </w:rPr>
      </w:pPr>
    </w:p>
    <w:sectPr w:rsidR="00EE5E22" w:rsidSect="00EE5E22">
      <w:headerReference w:type="default" r:id="rId10"/>
      <w:footerReference w:type="default" r:id="rId11"/>
      <w:pgSz w:w="23811" w:h="16838" w:orient="landscape"/>
      <w:pgMar w:top="567" w:right="454" w:bottom="567" w:left="1037" w:header="0" w:footer="283"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263F" w:rsidRDefault="007D263F" w:rsidP="00EE5E22">
      <w:pPr>
        <w:rPr>
          <w:rFonts w:hint="default"/>
        </w:rPr>
      </w:pPr>
      <w:r>
        <w:separator/>
      </w:r>
    </w:p>
  </w:endnote>
  <w:endnote w:type="continuationSeparator" w:id="0">
    <w:p w:rsidR="007D263F" w:rsidRDefault="007D263F" w:rsidP="00EE5E22">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方正小标宋简体">
    <w:altName w:val="Arial Unicode MS"/>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0931" w:rsidRDefault="00B40931">
    <w:pPr>
      <w:pStyle w:val="a3"/>
      <w:rPr>
        <w:rFonts w:hint="default"/>
      </w:rPr>
    </w:pPr>
    <w:r>
      <w:rPr>
        <w:rFonts w:hint="default"/>
      </w:rPr>
      <w:pict>
        <v:shapetype id="_x0000_t202" coordsize="21600,21600" o:spt="202" path="m,l,21600r21600,l21600,xe">
          <v:stroke joinstyle="miter"/>
          <v:path gradientshapeok="t" o:connecttype="rect"/>
        </v:shapetype>
        <v:shape id="_x0000_s2050" type="#_x0000_t202" style="position:absolute;margin-left:0;margin-top:0;width:2in;height:2in;z-index:251661312;mso-wrap-style:none;mso-position-horizontal:center;mso-position-horizontal-relative:margin" filled="f" stroked="f" strokeweight=".5pt">
          <v:textbox style="mso-fit-shape-to-text:t" inset="0,0,0,0">
            <w:txbxContent>
              <w:p w:rsidR="00B40931" w:rsidRDefault="00B40931">
                <w:pPr>
                  <w:pStyle w:val="a3"/>
                  <w:rPr>
                    <w:rFonts w:hint="default"/>
                  </w:rPr>
                </w:pPr>
                <w:r>
                  <w:fldChar w:fldCharType="begin"/>
                </w:r>
                <w:r>
                  <w:instrText xml:space="preserve"> PAGE  \* MERGEFORMAT </w:instrText>
                </w:r>
                <w:r>
                  <w:fldChar w:fldCharType="separate"/>
                </w:r>
                <w:r w:rsidR="00943BC5">
                  <w:rPr>
                    <w:rFonts w:hint="default"/>
                    <w:noProof/>
                  </w:rPr>
                  <w:t>- 16 -</w:t>
                </w:r>
                <w:r>
                  <w:rPr>
                    <w:noProof/>
                  </w:rPr>
                  <w:fldChar w:fldCharType="end"/>
                </w:r>
              </w:p>
            </w:txbxContent>
          </v:textbox>
          <w10:wrap anchorx="margin"/>
        </v:shape>
      </w:pic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0931" w:rsidRDefault="00B40931">
    <w:pPr>
      <w:pStyle w:val="a3"/>
      <w:jc w:val="both"/>
      <w:rPr>
        <w:rFonts w:hint="default"/>
      </w:rPr>
    </w:pPr>
    <w:r>
      <w:rPr>
        <w:rFonts w:hint="default"/>
      </w:rPr>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0288;mso-wrap-style:none;mso-position-horizontal:center;mso-position-horizontal-relative:margin" o:allowoverlap="f" filled="f" stroked="f" strokeweight=".5pt">
          <v:textbox style="mso-fit-shape-to-text:t" inset="0,0,0,0">
            <w:txbxContent>
              <w:p w:rsidR="00B40931" w:rsidRDefault="00B40931">
                <w:pPr>
                  <w:pStyle w:val="a3"/>
                  <w:rPr>
                    <w:rFonts w:hint="default"/>
                  </w:rPr>
                </w:pPr>
                <w:r>
                  <w:fldChar w:fldCharType="begin"/>
                </w:r>
                <w:r>
                  <w:instrText>PAGE   \* MERGEFORMAT</w:instrText>
                </w:r>
                <w:r>
                  <w:fldChar w:fldCharType="separate"/>
                </w:r>
                <w:r w:rsidR="00943BC5" w:rsidRPr="00943BC5">
                  <w:rPr>
                    <w:rFonts w:hint="default"/>
                    <w:noProof/>
                    <w:lang w:val="zh-CN"/>
                  </w:rPr>
                  <w:t>-</w:t>
                </w:r>
                <w:r w:rsidR="00943BC5">
                  <w:rPr>
                    <w:rFonts w:hint="default"/>
                    <w:noProof/>
                  </w:rPr>
                  <w:t xml:space="preserve"> 17 -</w:t>
                </w:r>
                <w:r>
                  <w:rPr>
                    <w:noProof/>
                  </w:rPr>
                  <w:fldChar w:fldCharType="end"/>
                </w:r>
              </w:p>
            </w:txbxContent>
          </v:textbox>
          <w10:wrap anchorx="margin"/>
        </v:shape>
      </w:pict>
    </w:r>
    <w:r>
      <w:rPr>
        <w:rFonts w:hint="default"/>
      </w:rPr>
      <w:pict>
        <v:shape id="_x0000_s2051" type="#_x0000_t202" style="position:absolute;left:0;text-align:left;margin-left:0;margin-top:1160.4pt;width:2in;height:17.4pt;z-index:251659264;mso-wrap-style:none;mso-position-horizontal:center;mso-position-horizontal-relative:margin;mso-position-vertical-relative:page" o:allowoverlap="f" filled="f" stroked="f" strokeweight=".5pt">
          <v:textbox inset="0,0,0,0">
            <w:txbxContent>
              <w:p w:rsidR="00B40931" w:rsidRDefault="00B40931">
                <w:pPr>
                  <w:pStyle w:val="a3"/>
                  <w:jc w:val="both"/>
                  <w:rPr>
                    <w:rFonts w:cs="宋体" w:hint="default"/>
                  </w:rPr>
                </w:pPr>
                <w:r>
                  <w:rPr>
                    <w:rFonts w:cs="宋体"/>
                  </w:rPr>
                  <w:t>— 27.1 —</w:t>
                </w:r>
              </w:p>
            </w:txbxContent>
          </v:textbox>
          <w10:wrap anchorx="margin" anchory="page"/>
        </v:shape>
      </w:pic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263F" w:rsidRDefault="007D263F" w:rsidP="00EE5E22">
      <w:pPr>
        <w:rPr>
          <w:rFonts w:hint="default"/>
        </w:rPr>
      </w:pPr>
      <w:r>
        <w:separator/>
      </w:r>
    </w:p>
  </w:footnote>
  <w:footnote w:type="continuationSeparator" w:id="0">
    <w:p w:rsidR="007D263F" w:rsidRDefault="007D263F" w:rsidP="00EE5E22">
      <w:pPr>
        <w:rPr>
          <w:rFonts w:hint="default"/>
        </w:rPr>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0931" w:rsidRDefault="00B40931">
    <w:pPr>
      <w:pStyle w:val="a4"/>
      <w:tabs>
        <w:tab w:val="clear" w:pos="4153"/>
        <w:tab w:val="clear" w:pos="8306"/>
        <w:tab w:val="left" w:pos="1758"/>
      </w:tabs>
      <w:rPr>
        <w:rFonts w:hint="default"/>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5339A02"/>
    <w:multiLevelType w:val="singleLevel"/>
    <w:tmpl w:val="C5339A02"/>
    <w:lvl w:ilvl="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embedSystemFonts/>
  <w:bordersDoNotSurroundHeader/>
  <w:bordersDoNotSurroundFooter/>
  <w:defaultTabStop w:val="420"/>
  <w:drawingGridVerticalSpacing w:val="156"/>
  <w:noPunctuationKerning/>
  <w:characterSpacingControl w:val="compressPunctuation"/>
  <w:hdrShapeDefaults>
    <o:shapedefaults v:ext="edit" spidmax="2053"/>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mZhNWQ5NGUzYWM1NDhiZjNhYWYyMGM3M2VkYjdjY2MifQ=="/>
  </w:docVars>
  <w:rsids>
    <w:rsidRoot w:val="00B03CCD"/>
    <w:rsid w:val="000069B0"/>
    <w:rsid w:val="00014EDD"/>
    <w:rsid w:val="00051747"/>
    <w:rsid w:val="0006693B"/>
    <w:rsid w:val="00073A94"/>
    <w:rsid w:val="00075DEE"/>
    <w:rsid w:val="000A72A8"/>
    <w:rsid w:val="000E08EC"/>
    <w:rsid w:val="000E409A"/>
    <w:rsid w:val="001133BE"/>
    <w:rsid w:val="00125C61"/>
    <w:rsid w:val="00144927"/>
    <w:rsid w:val="00157133"/>
    <w:rsid w:val="0017417C"/>
    <w:rsid w:val="001A17CF"/>
    <w:rsid w:val="001B56C9"/>
    <w:rsid w:val="001D07F8"/>
    <w:rsid w:val="001E7C3E"/>
    <w:rsid w:val="0020204C"/>
    <w:rsid w:val="00221146"/>
    <w:rsid w:val="00223359"/>
    <w:rsid w:val="002B1550"/>
    <w:rsid w:val="002B358E"/>
    <w:rsid w:val="00321072"/>
    <w:rsid w:val="0035625D"/>
    <w:rsid w:val="003670C5"/>
    <w:rsid w:val="003735D8"/>
    <w:rsid w:val="00397511"/>
    <w:rsid w:val="003E11F1"/>
    <w:rsid w:val="00403453"/>
    <w:rsid w:val="00410651"/>
    <w:rsid w:val="00412A5D"/>
    <w:rsid w:val="00417855"/>
    <w:rsid w:val="00423F5A"/>
    <w:rsid w:val="00442A5F"/>
    <w:rsid w:val="00446A29"/>
    <w:rsid w:val="00460785"/>
    <w:rsid w:val="0047287B"/>
    <w:rsid w:val="00473396"/>
    <w:rsid w:val="00484793"/>
    <w:rsid w:val="004A0300"/>
    <w:rsid w:val="004B47C1"/>
    <w:rsid w:val="004C7E41"/>
    <w:rsid w:val="004D6548"/>
    <w:rsid w:val="004F3780"/>
    <w:rsid w:val="00514AB7"/>
    <w:rsid w:val="00533010"/>
    <w:rsid w:val="00550ABE"/>
    <w:rsid w:val="0055120D"/>
    <w:rsid w:val="00564F3D"/>
    <w:rsid w:val="00585D49"/>
    <w:rsid w:val="005B5C03"/>
    <w:rsid w:val="005F4FED"/>
    <w:rsid w:val="00606D97"/>
    <w:rsid w:val="00613B6D"/>
    <w:rsid w:val="00614BF2"/>
    <w:rsid w:val="00643715"/>
    <w:rsid w:val="006A5066"/>
    <w:rsid w:val="006B2612"/>
    <w:rsid w:val="006B44E8"/>
    <w:rsid w:val="006E7C4B"/>
    <w:rsid w:val="00734507"/>
    <w:rsid w:val="007905B2"/>
    <w:rsid w:val="007A3FC2"/>
    <w:rsid w:val="007B419D"/>
    <w:rsid w:val="007C1948"/>
    <w:rsid w:val="007D263F"/>
    <w:rsid w:val="007E3A0D"/>
    <w:rsid w:val="007F3C15"/>
    <w:rsid w:val="0084152F"/>
    <w:rsid w:val="00843313"/>
    <w:rsid w:val="008516DF"/>
    <w:rsid w:val="00863A02"/>
    <w:rsid w:val="008819A8"/>
    <w:rsid w:val="008909DA"/>
    <w:rsid w:val="00897BF2"/>
    <w:rsid w:val="008B7077"/>
    <w:rsid w:val="008B7886"/>
    <w:rsid w:val="008B7CCE"/>
    <w:rsid w:val="008C0BC1"/>
    <w:rsid w:val="008E2A5B"/>
    <w:rsid w:val="009250EC"/>
    <w:rsid w:val="00943BC5"/>
    <w:rsid w:val="00946FD7"/>
    <w:rsid w:val="009B67B8"/>
    <w:rsid w:val="009C077F"/>
    <w:rsid w:val="009F3F5D"/>
    <w:rsid w:val="00A5322F"/>
    <w:rsid w:val="00A73EAF"/>
    <w:rsid w:val="00A92C1E"/>
    <w:rsid w:val="00A9362C"/>
    <w:rsid w:val="00A9593F"/>
    <w:rsid w:val="00AA76AB"/>
    <w:rsid w:val="00AE18BB"/>
    <w:rsid w:val="00AE5DEC"/>
    <w:rsid w:val="00AE710A"/>
    <w:rsid w:val="00B004AE"/>
    <w:rsid w:val="00B03CCD"/>
    <w:rsid w:val="00B40931"/>
    <w:rsid w:val="00B44CBF"/>
    <w:rsid w:val="00B4716D"/>
    <w:rsid w:val="00B52C2D"/>
    <w:rsid w:val="00B54443"/>
    <w:rsid w:val="00B755A0"/>
    <w:rsid w:val="00B95385"/>
    <w:rsid w:val="00BB70D9"/>
    <w:rsid w:val="00BB7C99"/>
    <w:rsid w:val="00BC18F4"/>
    <w:rsid w:val="00BC2775"/>
    <w:rsid w:val="00BC7C4A"/>
    <w:rsid w:val="00BE36E6"/>
    <w:rsid w:val="00BF5C4C"/>
    <w:rsid w:val="00C2275E"/>
    <w:rsid w:val="00C25B34"/>
    <w:rsid w:val="00C62D85"/>
    <w:rsid w:val="00C63A40"/>
    <w:rsid w:val="00C67E8F"/>
    <w:rsid w:val="00C71FC4"/>
    <w:rsid w:val="00C76F0A"/>
    <w:rsid w:val="00C8141F"/>
    <w:rsid w:val="00CA231F"/>
    <w:rsid w:val="00CA4C50"/>
    <w:rsid w:val="00CA5422"/>
    <w:rsid w:val="00CB0DB7"/>
    <w:rsid w:val="00CD5A73"/>
    <w:rsid w:val="00CF6472"/>
    <w:rsid w:val="00D33B8F"/>
    <w:rsid w:val="00D35C0B"/>
    <w:rsid w:val="00D85F15"/>
    <w:rsid w:val="00D95F6D"/>
    <w:rsid w:val="00DA6A00"/>
    <w:rsid w:val="00E027F8"/>
    <w:rsid w:val="00E22ADB"/>
    <w:rsid w:val="00E36590"/>
    <w:rsid w:val="00EC32D5"/>
    <w:rsid w:val="00EC52BF"/>
    <w:rsid w:val="00EE5E22"/>
    <w:rsid w:val="00F076C6"/>
    <w:rsid w:val="00F13F93"/>
    <w:rsid w:val="00F21980"/>
    <w:rsid w:val="00F73F90"/>
    <w:rsid w:val="00FA28A7"/>
    <w:rsid w:val="00FB35F5"/>
    <w:rsid w:val="00FE01D4"/>
    <w:rsid w:val="01474EBF"/>
    <w:rsid w:val="01F3521E"/>
    <w:rsid w:val="03B87EA0"/>
    <w:rsid w:val="03E3214F"/>
    <w:rsid w:val="044C50BA"/>
    <w:rsid w:val="05BC6D49"/>
    <w:rsid w:val="06194FF1"/>
    <w:rsid w:val="06A2550B"/>
    <w:rsid w:val="06F80EE2"/>
    <w:rsid w:val="07001CCA"/>
    <w:rsid w:val="075678DB"/>
    <w:rsid w:val="079D7CC7"/>
    <w:rsid w:val="08051BCA"/>
    <w:rsid w:val="086C12F4"/>
    <w:rsid w:val="08705944"/>
    <w:rsid w:val="08BA052C"/>
    <w:rsid w:val="08DB07BA"/>
    <w:rsid w:val="08E748D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0FA62003"/>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0314D0"/>
    <w:rsid w:val="182E4AB6"/>
    <w:rsid w:val="189079DC"/>
    <w:rsid w:val="189B0D0B"/>
    <w:rsid w:val="18B43F7C"/>
    <w:rsid w:val="194A1770"/>
    <w:rsid w:val="19B906A4"/>
    <w:rsid w:val="1B6F15B6"/>
    <w:rsid w:val="1BAA2EDC"/>
    <w:rsid w:val="1C0D0CFE"/>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55642B"/>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C2362ED"/>
    <w:rsid w:val="4DAC4ACA"/>
    <w:rsid w:val="4DBE01D2"/>
    <w:rsid w:val="4F0C6BA3"/>
    <w:rsid w:val="4F186D58"/>
    <w:rsid w:val="50F06B6E"/>
    <w:rsid w:val="51D21804"/>
    <w:rsid w:val="52234D33"/>
    <w:rsid w:val="522F6E0C"/>
    <w:rsid w:val="52463BA1"/>
    <w:rsid w:val="52D60BC8"/>
    <w:rsid w:val="52F163D4"/>
    <w:rsid w:val="531A2DB4"/>
    <w:rsid w:val="53C0244D"/>
    <w:rsid w:val="53DD4D4E"/>
    <w:rsid w:val="53E578CE"/>
    <w:rsid w:val="541330F0"/>
    <w:rsid w:val="54272666"/>
    <w:rsid w:val="543B029D"/>
    <w:rsid w:val="54861779"/>
    <w:rsid w:val="552256E1"/>
    <w:rsid w:val="552C1C1C"/>
    <w:rsid w:val="554E5773"/>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ecimalSymbol w:val="."/>
  <w:listSeparator w:val=","/>
  <w14:docId w14:val="01CC5201"/>
  <w15:docId w15:val="{7609CD2D-6551-42D3-AEFF-60A6B5B6A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uiPriority="99"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sid w:val="00EE5E22"/>
    <w:rPr>
      <w:rFonts w:ascii="宋体" w:hAnsi="宋体" w:hint="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EE5E22"/>
    <w:pPr>
      <w:tabs>
        <w:tab w:val="center" w:pos="4153"/>
        <w:tab w:val="right" w:pos="8306"/>
      </w:tabs>
      <w:snapToGrid w:val="0"/>
    </w:pPr>
    <w:rPr>
      <w:sz w:val="18"/>
      <w:szCs w:val="18"/>
    </w:rPr>
  </w:style>
  <w:style w:type="paragraph" w:styleId="a4">
    <w:name w:val="header"/>
    <w:basedOn w:val="a"/>
    <w:qFormat/>
    <w:rsid w:val="00EE5E22"/>
    <w:pPr>
      <w:tabs>
        <w:tab w:val="center" w:pos="4153"/>
        <w:tab w:val="right" w:pos="8306"/>
      </w:tabs>
      <w:snapToGrid w:val="0"/>
      <w:jc w:val="center"/>
    </w:pPr>
    <w:rPr>
      <w:sz w:val="18"/>
      <w:szCs w:val="18"/>
    </w:rPr>
  </w:style>
  <w:style w:type="paragraph" w:styleId="HTML">
    <w:name w:val="HTML Preformatted"/>
    <w:basedOn w:val="a"/>
    <w:qFormat/>
    <w:rsid w:val="00EE5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5">
    <w:name w:val="Normal (Web)"/>
    <w:basedOn w:val="a"/>
    <w:uiPriority w:val="99"/>
    <w:unhideWhenUsed/>
    <w:qFormat/>
    <w:rsid w:val="00EE5E22"/>
    <w:pPr>
      <w:spacing w:before="100" w:beforeAutospacing="1" w:after="100" w:afterAutospacing="1"/>
    </w:pPr>
  </w:style>
  <w:style w:type="table" w:styleId="a6">
    <w:name w:val="Table Grid"/>
    <w:basedOn w:val="a1"/>
    <w:qFormat/>
    <w:rsid w:val="00EE5E2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Strong"/>
    <w:qFormat/>
    <w:rsid w:val="00EE5E22"/>
    <w:rPr>
      <w:b/>
    </w:rPr>
  </w:style>
  <w:style w:type="paragraph" w:customStyle="1" w:styleId="1">
    <w:name w:val="列出段落1"/>
    <w:basedOn w:val="a"/>
    <w:uiPriority w:val="99"/>
    <w:qFormat/>
    <w:rsid w:val="00EE5E22"/>
    <w:pPr>
      <w:ind w:firstLineChars="200" w:firstLine="420"/>
    </w:pPr>
    <w:rPr>
      <w:rFonts w:hint="default"/>
    </w:rPr>
  </w:style>
  <w:style w:type="paragraph" w:customStyle="1" w:styleId="Char">
    <w:name w:val="普通(网站) Char"/>
    <w:uiPriority w:val="99"/>
    <w:qFormat/>
    <w:rsid w:val="00EE5E22"/>
    <w:pPr>
      <w:spacing w:before="100" w:beforeAutospacing="1" w:after="100" w:afterAutospacing="1"/>
    </w:pPr>
    <w:rPr>
      <w:rFonts w:ascii="宋体" w:hAnsi="宋体"/>
      <w:sz w:val="24"/>
      <w:szCs w:val="24"/>
    </w:rPr>
  </w:style>
  <w:style w:type="character" w:customStyle="1" w:styleId="21">
    <w:name w:val="21"/>
    <w:qFormat/>
    <w:rsid w:val="00EE5E22"/>
    <w:rPr>
      <w:rFonts w:ascii="Wingdings" w:hAnsi="Wingdings" w:cs="Wingdings" w:hint="default"/>
      <w:b/>
      <w:bCs/>
    </w:rPr>
  </w:style>
  <w:style w:type="paragraph" w:customStyle="1" w:styleId="2">
    <w:name w:val="列出段落2"/>
    <w:uiPriority w:val="99"/>
    <w:qFormat/>
    <w:rsid w:val="00EE5E22"/>
    <w:pPr>
      <w:ind w:firstLineChars="200" w:firstLine="420"/>
    </w:pPr>
    <w:rPr>
      <w:rFonts w:ascii="宋体" w:hAnsi="宋体"/>
      <w:sz w:val="24"/>
      <w:szCs w:val="24"/>
    </w:rPr>
  </w:style>
  <w:style w:type="paragraph" w:styleId="a8">
    <w:name w:val="Balloon Text"/>
    <w:basedOn w:val="a"/>
    <w:link w:val="a9"/>
    <w:rsid w:val="00051747"/>
    <w:rPr>
      <w:sz w:val="18"/>
      <w:szCs w:val="18"/>
    </w:rPr>
  </w:style>
  <w:style w:type="character" w:customStyle="1" w:styleId="a9">
    <w:name w:val="批注框文本 字符"/>
    <w:basedOn w:val="a0"/>
    <w:link w:val="a8"/>
    <w:rsid w:val="00051747"/>
    <w:rPr>
      <w:rFonts w:ascii="宋体" w:hAnsi="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C78EB20-3CF6-4E75-A500-D41AF9031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28</Pages>
  <Words>2713</Words>
  <Characters>15469</Characters>
  <Application>Microsoft Office Word</Application>
  <DocSecurity>0</DocSecurity>
  <Lines>128</Lines>
  <Paragraphs>36</Paragraphs>
  <ScaleCrop>false</ScaleCrop>
  <Company/>
  <LinksUpToDate>false</LinksUpToDate>
  <CharactersWithSpaces>18146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吴幽</cp:lastModifiedBy>
  <cp:revision>112</cp:revision>
  <dcterms:created xsi:type="dcterms:W3CDTF">2024-08-22T07:35:00Z</dcterms:created>
  <dcterms:modified xsi:type="dcterms:W3CDTF">2024-09-04T03:23:00Z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BB46EABDBB2749749395447164B066B3_12</vt:lpwstr>
  </property>
</Properties>
</file>