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rPr>
      </w:pPr>
      <w:bookmarkStart w:id="0" w:name="_GoBack"/>
      <w:bookmarkEnd w:id="0"/>
      <w:r>
        <w:rPr>
          <w:rFonts w:hint="default" w:ascii="Times New Roman" w:hAnsi="Times New Roman" w:eastAsia="方正小标宋_GBK" w:cs="Times New Roman"/>
          <w:sz w:val="44"/>
          <w:szCs w:val="44"/>
        </w:rPr>
        <w:t>垫江县商务委员会</w:t>
      </w:r>
    </w:p>
    <w:p>
      <w:pPr>
        <w:pStyle w:val="6"/>
        <w:keepNext w:val="0"/>
        <w:keepLines w:val="0"/>
        <w:pageBreakBefore w:val="0"/>
        <w:widowControl/>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一、部门基本情况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420"/>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（一）职能职责</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中共垫江县委机构编制委员会关于调整县商务委职责机构的通知》（垫江委编委发〔2024〕99号）精神，加强外资招商、现代服务业招商工作职责；将食糖储备职责划入县发展改革委；将商贸行业安全监督管理职责划入县应急局；县商务行政执法大队撤销后，其承担的商务行政执法职能回归县商务委机关。调整后，共计设置内设机构7个。具体设置及主要职责分别是：</w:t>
      </w:r>
    </w:p>
    <w:p>
      <w:pPr>
        <w:pStyle w:val="6"/>
        <w:keepNext w:val="0"/>
        <w:keepLines w:val="0"/>
        <w:pageBreakBefore w:val="0"/>
        <w:widowControl/>
        <w:kinsoku/>
        <w:overflowPunct/>
        <w:topLinePunct w:val="0"/>
        <w:autoSpaceDN/>
        <w:bidi w:val="0"/>
        <w:adjustRightInd/>
        <w:snapToGrid w:val="0"/>
        <w:spacing w:beforeAutospacing="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办公室。负责机关日常运转工作。牵头系统党务政务信息公开工作。承担文电会务、文稿起草、督查督办、目标考核、信息编报、机要保密、档案管理、后勤保障等工作。牵头系统全面从严治党工作，负责党的建设、意识形态、精神文明建设、宣传统战、双拥、群团等工作。负责机构编制、干部人事、教育培训等工作。组织协调议提案办理工作。负责机关及所属事业单位财务管理、资产管理、内部审计等工作。负责离退休人员管理工作。牵头数字重庆建设有关工作。</w:t>
      </w:r>
    </w:p>
    <w:p>
      <w:pPr>
        <w:pStyle w:val="6"/>
        <w:keepNext w:val="0"/>
        <w:keepLines w:val="0"/>
        <w:pageBreakBefore w:val="0"/>
        <w:widowControl/>
        <w:kinsoku/>
        <w:overflowPunct/>
        <w:topLinePunct w:val="0"/>
        <w:autoSpaceDN/>
        <w:bidi w:val="0"/>
        <w:adjustRightInd/>
        <w:snapToGrid w:val="0"/>
        <w:spacing w:beforeAutospacing="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市场体系建设科。组织协调招商引资、项目建设和专项资金管理工作。负责全县市场体系和流通设施建设规划工作。承担农村流通和市场建设工作。负责批发业行业、期货交易市场管理，指导大宗产品批发市场建设，推进公益性农产品市场建设。负责农商对接、农商互联，承担产销衔接等工作。牵头物流发展管理工作，负责物流标准化体系和智慧物流配送体系建设、城乡物流配送体系建设等工作。负责电子商务发展工作。负责乡村振兴有关工作。协调对接城市品质提升行动等工作。牵头成渝地区双城经济圈建设有关工作。</w:t>
      </w:r>
    </w:p>
    <w:p>
      <w:pPr>
        <w:pStyle w:val="6"/>
        <w:keepNext w:val="0"/>
        <w:keepLines w:val="0"/>
        <w:pageBreakBefore w:val="0"/>
        <w:widowControl/>
        <w:kinsoku/>
        <w:overflowPunct/>
        <w:topLinePunct w:val="0"/>
        <w:autoSpaceDN/>
        <w:bidi w:val="0"/>
        <w:adjustRightInd/>
        <w:snapToGrid w:val="0"/>
        <w:spacing w:beforeAutospacing="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运行调节科。牵头商务领域营商环境和市场主体培育工作，负责指导限额以上商贸单位发展。负责商务领域统计监测和综合运行分析工作。承担商品供求状况、价格信息调查分析、预测预警和信息引导等工作，组织协调商务经济运行风险管理和防控工作。牵头全县重要生活消费品和重要商品保供应急工作，负责应急商品品类以及仓储、运输等设施设备、投放网络体系建设等保供应急能力提升工作。承担突发性灾害和突发性事件重要商品保供应急工作。负责推进实施“菜篮子”工程和军民融合保障工作。负责建立重要商品储备制度。落实肉类、奶等生活必需品和应急食品、用品的储备管理工作。组织协调肉类、蔬菜、奶等生活必需品的市场供应和市场调节工作，组织指导开展全县商务领域生活必需品保供应急演练。</w:t>
      </w:r>
    </w:p>
    <w:p>
      <w:pPr>
        <w:pStyle w:val="6"/>
        <w:keepNext w:val="0"/>
        <w:keepLines w:val="0"/>
        <w:pageBreakBefore w:val="0"/>
        <w:widowControl/>
        <w:kinsoku/>
        <w:overflowPunct/>
        <w:topLinePunct w:val="0"/>
        <w:autoSpaceDN/>
        <w:bidi w:val="0"/>
        <w:adjustRightInd/>
        <w:snapToGrid w:val="0"/>
        <w:spacing w:beforeAutospacing="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消费促进科。推动商务领域消费促进工作。指导商业业态调整和流通主体转型升级。负责零售业行业管理，指导商务区、商圈、商品市场、特色街、夜市等商业设施建设与管理。指导生活性服务行业品牌培育、设施打造、文化建设等工作。统筹协调全县党政机关展会活动的申请、报批、备案工作，负责社会化展会活动的备案工作，承办县委县政府举办的商务展会活动的组织工作，指导、监督商务领域各类展会促销活动。负责全县商务领域去产能去库存相关工作。负责汽车流通（含二手车）行业流通经营的监督管理。负责商务领域节能降耗、绿色消费等工作。负责进口商品分销体系建设。牵头推进商务行业优质服务工作。负责推进城市社区商业优化发展。负责“老字号”发展与保护工作。</w:t>
      </w:r>
    </w:p>
    <w:p>
      <w:pPr>
        <w:pStyle w:val="6"/>
        <w:keepNext w:val="0"/>
        <w:keepLines w:val="0"/>
        <w:pageBreakBefore w:val="0"/>
        <w:widowControl/>
        <w:kinsoku/>
        <w:overflowPunct/>
        <w:topLinePunct w:val="0"/>
        <w:autoSpaceDN/>
        <w:bidi w:val="0"/>
        <w:adjustRightInd/>
        <w:snapToGrid w:val="0"/>
        <w:spacing w:beforeAutospacing="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对外贸易经济科。牵头内陆开放高地、西部陆海新通道建设工作。负责全县一般贸易、加工贸易发展的指导、管理与服务工作，负责指导和推进对外贸易促进体系、出口品牌、外贸综合服务平台建设等工作，统筹开展对外贸易促进活动。负责中央进口贴息资金、外经贸优惠贷款、企业国际市场开拓、信保和担保等项目管理工作。负责全县外商投资重大项目的对接、跟踪和落实工作。负责外商投资准入管理、企业设立及变更备案管理以及外商投诉协调等服务工作。推进服务外包、技术进出口、文化服务出口等重点服务贸易领域工作。牵头自贸试验区联动创新区建设工作。牵头对外投资与经济合作促进工作。负责推进跨境电子商务国际合作工作。</w:t>
      </w:r>
    </w:p>
    <w:p>
      <w:pPr>
        <w:pStyle w:val="6"/>
        <w:keepNext w:val="0"/>
        <w:keepLines w:val="0"/>
        <w:pageBreakBefore w:val="0"/>
        <w:widowControl/>
        <w:kinsoku/>
        <w:overflowPunct/>
        <w:topLinePunct w:val="0"/>
        <w:autoSpaceDN/>
        <w:bidi w:val="0"/>
        <w:adjustRightInd/>
        <w:snapToGrid w:val="0"/>
        <w:spacing w:beforeAutospacing="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综合管理科（行政许可服务科）。牵头商务领域防范化解重大风险、信访稳定工作。负责法治建设、普法教育等工作。承担规范性文件合法性审查、合同审核，重大行政决策合法性审核，以及行政复议、行政诉讼应诉有关工作。组织开展商务领域市场秩序整治，负责商务领域行政执法和重大案件督办工作。牵头全委“双随机、一公开”及“事中事后监管”工作。推动商务领域信用体系建设。负责拍卖、再生资源回收、旧货流通、散装水泥推广、老旧汽车更新、报废机动车回收拆解等行业管理工作。统筹协调商务领域创业就业相关工作，指导商务行业技能技术培训和鉴定工作。负责指导和监督管理商贸行业协会。贯彻落实药品流通发展规划和政策。组织协调商务领域生态环保工作。牵头商贸领域“放管服”改革工作，负责推动机关行政审批制度改革、行政许可相关工作。牵头机关行政审批工作。负责商务领域重要产品追溯体系建设工作。</w:t>
      </w:r>
    </w:p>
    <w:p>
      <w:pPr>
        <w:pStyle w:val="6"/>
        <w:keepNext w:val="0"/>
        <w:keepLines w:val="0"/>
        <w:pageBreakBefore w:val="0"/>
        <w:widowControl/>
        <w:kinsoku/>
        <w:overflowPunct/>
        <w:topLinePunct w:val="0"/>
        <w:autoSpaceDN/>
        <w:bidi w:val="0"/>
        <w:adjustRightInd/>
        <w:snapToGrid w:val="0"/>
        <w:spacing w:beforeAutospacing="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安全监管科。指导商贸行业安全生产工作。牵头指导督促商贸行业贯彻执行安全生产法律法规、防灾减灾、风险管理和防控工作。负责商务领域安全生产宣传教育和培训工作。牵头全县加油站规划、布局，负责成品油流通监督管理工作。</w:t>
      </w:r>
    </w:p>
    <w:p>
      <w:pPr>
        <w:pStyle w:val="6"/>
        <w:keepNext w:val="0"/>
        <w:keepLines w:val="0"/>
        <w:pageBreakBefore w:val="0"/>
        <w:widowControl/>
        <w:kinsoku/>
        <w:overflowPunct/>
        <w:topLinePunct w:val="0"/>
        <w:autoSpaceDN/>
        <w:bidi w:val="0"/>
        <w:adjustRightInd/>
        <w:snapToGrid w:val="0"/>
        <w:spacing w:beforeAutospacing="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垫江县商务委员会下属事业单位垫江县电子商务发展服务中心</w:t>
      </w:r>
    </w:p>
    <w:p>
      <w:pPr>
        <w:pStyle w:val="6"/>
        <w:keepNext w:val="0"/>
        <w:keepLines w:val="0"/>
        <w:pageBreakBefore w:val="0"/>
        <w:widowControl/>
        <w:kinsoku/>
        <w:overflowPunct/>
        <w:topLinePunct w:val="0"/>
        <w:autoSpaceDN/>
        <w:bidi w:val="0"/>
        <w:adjustRightInd/>
        <w:snapToGrid w:val="0"/>
        <w:spacing w:beforeAutospacing="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主要职责任务</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贯彻实施电子商务法律、法规和规划、政策；推动电子商务发展和建设；负责电子商务行业指导、协调、服务和日常监督管理。具体职责任务：（1）承担电子商务发展规划和政策拟草及组织实施工作。（2）承担推动电子商务综合服务体系建设工作。（3）承担推动电子商务物流网络建设工作。（4）承担推动本地产品网上销售工作。（5）承担推动各行业电子商务应用工作。（6）承担电子商务人才培训统筹及组织实施指导工作。（7）承担电子商务发展重大项目组织实施指导工作。（8）承担电子商务行业统计、监测和分析工作。（9）承担电子商务发展宣传工作。（10）承担电子商务发展专项资金项目受理、初审及监督实施工作。（11）承担电子商务行业日常管理工作。（12）承担电子商务发展工作领导小组日常工作。</w:t>
      </w:r>
    </w:p>
    <w:p>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（二）机构设置</w:t>
      </w:r>
    </w:p>
    <w:p>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垫江县商务委员会，内设7个科室，分别是办公室、市场体系建设科、运行调节科、消费促进科、对外贸易经济科、综合管理科（行政许可服务科）、安全监管科；2024年12月商务委行政编制12人，实有公务员8人，聘用人员3人，退休人员（含事业参保退休人员）85人。</w:t>
      </w:r>
    </w:p>
    <w:p>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垫江县电子商务发展服务中心隶属于垫江县商务委员会，根据政府机构改革，2024年6月县商务行政执法大队撤销，人员编制和经费合并到县电子商务发展服务中心，机构改革后电子商务发展服务中心内设5个科室，分别是：综合科、物流科、招商科、营销科和人才科。现有事业人员编制19人，实有在职职工17人，聘用人员1人,退休人员12人。</w:t>
      </w:r>
    </w:p>
    <w:p>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二、部门决算收支情况说明</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2024年度收入总计3124.40万元，支出总计</w:t>
      </w:r>
      <w:r>
        <w:rPr>
          <w:rFonts w:hint="default" w:ascii="Times New Roman" w:hAnsi="Times New Roman" w:eastAsia="方正仿宋_GBK" w:cs="Times New Roman"/>
          <w:sz w:val="32"/>
          <w:szCs w:val="32"/>
        </w:rPr>
        <w:t>3124.40</w:t>
      </w:r>
      <w:r>
        <w:rPr>
          <w:rFonts w:hint="default" w:ascii="Times New Roman" w:hAnsi="Times New Roman" w:eastAsia="方正仿宋_GBK" w:cs="Times New Roman"/>
          <w:sz w:val="32"/>
          <w:szCs w:val="32"/>
          <w:shd w:val="clear" w:color="auto" w:fill="FFFFFF"/>
        </w:rPr>
        <w:t>万元。收、支与2023年度相比，减少1410.60万元，下降31.1%，主要原因是一般公共预算财政拨款项目收支减少1057.18万元，年初结转结余收支减少353.42万元。年末结转和结余10.53万元。</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2024年度收入合计2863.44万元，与2023年度相比，减少1057.18万元，下降27.0%，主要原因是一般公共预算财政拨款项目收入减少1057.18万元。其中：财政拨款收入</w:t>
      </w:r>
      <w:r>
        <w:rPr>
          <w:rFonts w:hint="default" w:ascii="Times New Roman" w:hAnsi="Times New Roman" w:eastAsia="方正仿宋_GBK" w:cs="Times New Roman"/>
          <w:sz w:val="32"/>
          <w:szCs w:val="32"/>
        </w:rPr>
        <w:t>2863.44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260.96</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3113.87</w:t>
      </w:r>
      <w:r>
        <w:rPr>
          <w:rFonts w:hint="default" w:ascii="Times New Roman" w:hAnsi="Times New Roman" w:eastAsia="方正仿宋_GBK" w:cs="Times New Roman"/>
          <w:sz w:val="32"/>
          <w:szCs w:val="32"/>
          <w:shd w:val="clear" w:color="auto" w:fill="FFFFFF"/>
        </w:rPr>
        <w:t>万元，与2023年度相比，减少1388.70万元，下降30.8%，主要原因是一般公共预算财政拨款项目经费支出减少。其中：基本支出</w:t>
      </w:r>
      <w:r>
        <w:rPr>
          <w:rFonts w:hint="default" w:ascii="Times New Roman" w:hAnsi="Times New Roman" w:eastAsia="方正仿宋_GBK" w:cs="Times New Roman"/>
          <w:sz w:val="32"/>
          <w:szCs w:val="32"/>
        </w:rPr>
        <w:t>1103.44</w:t>
      </w:r>
      <w:r>
        <w:rPr>
          <w:rFonts w:hint="default" w:ascii="Times New Roman" w:hAnsi="Times New Roman" w:eastAsia="方正仿宋_GBK" w:cs="Times New Roman"/>
          <w:sz w:val="32"/>
          <w:szCs w:val="32"/>
          <w:shd w:val="clear" w:color="auto" w:fill="FFFFFF"/>
        </w:rPr>
        <w:t>万元，占35.4%；项目支出</w:t>
      </w:r>
      <w:r>
        <w:rPr>
          <w:rFonts w:hint="default" w:ascii="Times New Roman" w:hAnsi="Times New Roman" w:eastAsia="方正仿宋_GBK" w:cs="Times New Roman"/>
          <w:sz w:val="32"/>
          <w:szCs w:val="32"/>
        </w:rPr>
        <w:t>2010.43</w:t>
      </w:r>
      <w:r>
        <w:rPr>
          <w:rFonts w:hint="default" w:ascii="Times New Roman" w:hAnsi="Times New Roman" w:eastAsia="方正仿宋_GBK" w:cs="Times New Roman"/>
          <w:sz w:val="32"/>
          <w:szCs w:val="32"/>
          <w:shd w:val="clear" w:color="auto" w:fill="FFFFFF"/>
        </w:rPr>
        <w:t>万元，占64.6%；经营支出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10.53</w:t>
      </w:r>
      <w:r>
        <w:rPr>
          <w:rFonts w:hint="default" w:ascii="Times New Roman" w:hAnsi="Times New Roman" w:eastAsia="方正仿宋_GBK" w:cs="Times New Roman"/>
          <w:sz w:val="32"/>
          <w:szCs w:val="32"/>
          <w:shd w:val="clear" w:color="auto" w:fill="FFFFFF"/>
        </w:rPr>
        <w:t>万元，与2023年度相比，减少21.91万元，下降67.5%，主要原因是年初结转结余资金本年支出，2024年结转和结余减少。</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2024年度财政拨款收、支总计3124.40万元。与2023年相比，财政拨款收、支总计各减少1410.60万元，下降31.1%。主要原因是一般公共预算财政拨款项目收支减少1057.18万元，年初结转结余收支减少353.42万元。</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（三）一般公共预算财政拨款收入支出决算情况说明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2863.44</w:t>
      </w:r>
      <w:r>
        <w:rPr>
          <w:rFonts w:hint="default" w:ascii="Times New Roman" w:hAnsi="Times New Roman" w:eastAsia="方正仿宋_GBK" w:cs="Times New Roman"/>
          <w:sz w:val="32"/>
          <w:szCs w:val="32"/>
          <w:shd w:val="clear" w:color="auto" w:fill="FFFFFF"/>
        </w:rPr>
        <w:t>万元，与2023年度相比，减少1057.18万元，下降27.0%。主要原因是项目收支减少。较年初预算数增加22.30万元，增长0.8%。主要原因是部分一般公共预算财政拨款收入未纳入年初预算在年中财政追加拨款收入。此外，年初财政拨款结转和结余</w:t>
      </w:r>
      <w:r>
        <w:rPr>
          <w:rFonts w:hint="default" w:ascii="Times New Roman" w:hAnsi="Times New Roman" w:eastAsia="方正仿宋_GBK" w:cs="Times New Roman"/>
          <w:sz w:val="32"/>
          <w:szCs w:val="32"/>
        </w:rPr>
        <w:t>260.96</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3113.87</w:t>
      </w:r>
      <w:r>
        <w:rPr>
          <w:rFonts w:hint="default" w:ascii="Times New Roman" w:hAnsi="Times New Roman" w:eastAsia="方正仿宋_GBK" w:cs="Times New Roman"/>
          <w:sz w:val="32"/>
          <w:szCs w:val="32"/>
          <w:shd w:val="clear" w:color="auto" w:fill="FFFFFF"/>
        </w:rPr>
        <w:t>万元，与2023年度相比，减少1388.70万元，下降30.8%。主要原因是项目经费支出减少。较年初预算数增加272.73万元，增长9.6%。主要原因是部分一般公共预算财政拨款项目经费支出年初未纳入预算在年中财政追加拨款支出。</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10.53</w:t>
      </w:r>
      <w:r>
        <w:rPr>
          <w:rFonts w:hint="default" w:ascii="Times New Roman" w:hAnsi="Times New Roman" w:eastAsia="方正仿宋_GBK" w:cs="Times New Roman"/>
          <w:sz w:val="32"/>
          <w:szCs w:val="32"/>
          <w:shd w:val="clear" w:color="auto" w:fill="FFFFFF"/>
        </w:rPr>
        <w:t>万元，与2023年度相比，减少21.91万元，下降67.5%，主要原因是结转和结余项目经费支出21.91万元，使年末结转和结余减少。</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本部门2024年度一般公共预算财政拨款支出主要用于以下几个方面：</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811.03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26.1%</w:t>
      </w:r>
      <w:r>
        <w:rPr>
          <w:rFonts w:hint="default" w:ascii="Times New Roman" w:hAnsi="Times New Roman" w:eastAsia="方正仿宋_GBK" w:cs="Times New Roman"/>
          <w:sz w:val="32"/>
          <w:szCs w:val="32"/>
          <w:shd w:val="clear" w:color="auto" w:fill="FFFFFF"/>
        </w:rPr>
        <w:t>，较年初预算数增加386.39万元，增长91.0%，主要原因是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年初预算支出数不包括撤销的</w:t>
      </w:r>
      <w:r>
        <w:rPr>
          <w:rFonts w:hint="default" w:ascii="Times New Roman" w:hAnsi="Times New Roman" w:eastAsia="方正仿宋_GBK" w:cs="Times New Roman"/>
          <w:sz w:val="32"/>
        </w:rPr>
        <w:t>原</w:t>
      </w:r>
      <w:r>
        <w:rPr>
          <w:rFonts w:hint="default" w:ascii="Times New Roman" w:hAnsi="Times New Roman" w:eastAsia="方正仿宋_GBK" w:cs="Times New Roman"/>
          <w:sz w:val="32"/>
          <w:szCs w:val="32"/>
        </w:rPr>
        <w:t>县商务行政执法大队</w:t>
      </w:r>
      <w:r>
        <w:rPr>
          <w:rFonts w:hint="default" w:ascii="Times New Roman" w:hAnsi="Times New Roman" w:eastAsia="方正仿宋_GBK" w:cs="Times New Roman"/>
          <w:sz w:val="32"/>
          <w:szCs w:val="32"/>
          <w:shd w:val="clear" w:color="auto" w:fill="FFFFFF"/>
        </w:rPr>
        <w:t>年初预算支出数额，以及部分项目资金支出没有纳入年初预算在年中财政追加拨款支出。</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（2）教育支出</w:t>
      </w:r>
      <w:r>
        <w:rPr>
          <w:rFonts w:hint="default" w:ascii="Times New Roman" w:hAnsi="Times New Roman" w:eastAsia="方正仿宋_GBK" w:cs="Times New Roman"/>
          <w:sz w:val="32"/>
          <w:szCs w:val="32"/>
        </w:rPr>
        <w:t>0.48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，较年初预算数减少0.68万元，下降58.6%，主要原因职工培训支出减少。</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（3）文化旅游体育与传媒支出</w:t>
      </w:r>
      <w:r>
        <w:rPr>
          <w:rFonts w:hint="default" w:ascii="Times New Roman" w:hAnsi="Times New Roman" w:eastAsia="方正仿宋_GBK" w:cs="Times New Roman"/>
          <w:sz w:val="32"/>
          <w:szCs w:val="32"/>
        </w:rPr>
        <w:t>9.93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0.3%</w:t>
      </w:r>
      <w:r>
        <w:rPr>
          <w:rFonts w:hint="default" w:ascii="Times New Roman" w:hAnsi="Times New Roman" w:eastAsia="方正仿宋_GBK" w:cs="Times New Roman"/>
          <w:sz w:val="32"/>
          <w:szCs w:val="32"/>
          <w:shd w:val="clear" w:color="auto" w:fill="FFFFFF"/>
        </w:rPr>
        <w:t>，较年初预算数增加9.93万元，增长100.0%，主要原因是该项目支出没有纳入年初预算在年中财政追加拨款支出。</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（4）社会保障与就业支出</w:t>
      </w:r>
      <w:r>
        <w:rPr>
          <w:rFonts w:hint="default" w:ascii="Times New Roman" w:hAnsi="Times New Roman" w:eastAsia="方正仿宋_GBK" w:cs="Times New Roman"/>
          <w:sz w:val="32"/>
          <w:szCs w:val="32"/>
        </w:rPr>
        <w:t>524.16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16.8%</w:t>
      </w:r>
      <w:r>
        <w:rPr>
          <w:rFonts w:hint="default" w:ascii="Times New Roman" w:hAnsi="Times New Roman" w:eastAsia="方正仿宋_GBK" w:cs="Times New Roman"/>
          <w:sz w:val="32"/>
          <w:szCs w:val="32"/>
          <w:shd w:val="clear" w:color="auto" w:fill="FFFFFF"/>
        </w:rPr>
        <w:t>，较年初预算数增加208.80万元，增长66.2%，主要原因是退休人员死亡抚恤金增加未纳入年初预算，以及根据政府机构改革，2024年6月县商务行政执法大队撤销，人员编制和经费合并到县电子商务发展服务中心，年初预算支出数不包括撤销的原县商务行政执法大队年初预算支出数额。</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（5）卫生健康支出</w:t>
      </w:r>
      <w:r>
        <w:rPr>
          <w:rFonts w:hint="default" w:ascii="Times New Roman" w:hAnsi="Times New Roman" w:eastAsia="方正仿宋_GBK" w:cs="Times New Roman"/>
          <w:sz w:val="32"/>
          <w:szCs w:val="32"/>
        </w:rPr>
        <w:t>26.23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0.8%</w:t>
      </w:r>
      <w:r>
        <w:rPr>
          <w:rFonts w:hint="default" w:ascii="Times New Roman" w:hAnsi="Times New Roman" w:eastAsia="方正仿宋_GBK" w:cs="Times New Roman"/>
          <w:sz w:val="32"/>
          <w:szCs w:val="32"/>
          <w:shd w:val="clear" w:color="auto" w:fill="FFFFFF"/>
        </w:rPr>
        <w:t>，较年初预算数增加8.04万元，增长44.2%，主要原因是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年初预算支出数不包括撤销的</w:t>
      </w:r>
      <w:r>
        <w:rPr>
          <w:rFonts w:hint="default" w:ascii="Times New Roman" w:hAnsi="Times New Roman" w:eastAsia="方正仿宋_GBK" w:cs="Times New Roman"/>
          <w:sz w:val="32"/>
        </w:rPr>
        <w:t>原</w:t>
      </w:r>
      <w:r>
        <w:rPr>
          <w:rFonts w:hint="default" w:ascii="Times New Roman" w:hAnsi="Times New Roman" w:eastAsia="方正仿宋_GBK" w:cs="Times New Roman"/>
          <w:sz w:val="32"/>
          <w:szCs w:val="32"/>
        </w:rPr>
        <w:t>县商务行政执法大队</w:t>
      </w:r>
      <w:r>
        <w:rPr>
          <w:rFonts w:hint="default" w:ascii="Times New Roman" w:hAnsi="Times New Roman" w:eastAsia="方正仿宋_GBK" w:cs="Times New Roman"/>
          <w:sz w:val="32"/>
          <w:szCs w:val="32"/>
          <w:shd w:val="clear" w:color="auto" w:fill="FFFFFF"/>
        </w:rPr>
        <w:t>年初预算支出数额。</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（6）商业服务业等支出</w:t>
      </w:r>
      <w:r>
        <w:rPr>
          <w:rFonts w:hint="default" w:ascii="Times New Roman" w:hAnsi="Times New Roman" w:eastAsia="方正仿宋_GBK" w:cs="Times New Roman"/>
          <w:sz w:val="32"/>
          <w:szCs w:val="32"/>
        </w:rPr>
        <w:t>1709.82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54.9%</w:t>
      </w:r>
      <w:r>
        <w:rPr>
          <w:rFonts w:hint="default" w:ascii="Times New Roman" w:hAnsi="Times New Roman" w:eastAsia="方正仿宋_GBK" w:cs="Times New Roman"/>
          <w:sz w:val="32"/>
          <w:szCs w:val="32"/>
          <w:shd w:val="clear" w:color="auto" w:fill="FFFFFF"/>
        </w:rPr>
        <w:t>，较年初预算数减少348.70万元，下降16.9%，主要原因是部分预算项目财政拨款提前下达后调减计划。</w:t>
      </w:r>
    </w:p>
    <w:p>
      <w:pPr>
        <w:keepNext w:val="0"/>
        <w:keepLines w:val="0"/>
        <w:pageBreakBefore w:val="0"/>
        <w:widowControl/>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（7）</w:t>
      </w:r>
      <w:r>
        <w:rPr>
          <w:rFonts w:hint="default" w:ascii="Times New Roman" w:hAnsi="Times New Roman" w:eastAsia="方正仿宋_GBK" w:cs="Times New Roman"/>
          <w:sz w:val="32"/>
          <w:szCs w:val="32"/>
        </w:rPr>
        <w:t>住房保障支出32.22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shd w:val="clear" w:color="auto" w:fill="FFFFFF"/>
        </w:rPr>
        <w:t>，较年初预算数增加8.95万元，增长38.5%，主要原因是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年初预算支出数不包括撤销的</w:t>
      </w:r>
      <w:r>
        <w:rPr>
          <w:rFonts w:hint="default" w:ascii="Times New Roman" w:hAnsi="Times New Roman" w:eastAsia="方正仿宋_GBK" w:cs="Times New Roman"/>
          <w:sz w:val="32"/>
        </w:rPr>
        <w:t>原</w:t>
      </w:r>
      <w:r>
        <w:rPr>
          <w:rFonts w:hint="default" w:ascii="Times New Roman" w:hAnsi="Times New Roman" w:eastAsia="方正仿宋_GBK" w:cs="Times New Roman"/>
          <w:sz w:val="32"/>
          <w:szCs w:val="32"/>
        </w:rPr>
        <w:t>县商务行政执法大队</w:t>
      </w:r>
      <w:r>
        <w:rPr>
          <w:rFonts w:hint="default" w:ascii="Times New Roman" w:hAnsi="Times New Roman" w:eastAsia="方正仿宋_GBK" w:cs="Times New Roman"/>
          <w:sz w:val="32"/>
          <w:szCs w:val="32"/>
          <w:shd w:val="clear" w:color="auto" w:fill="FFFFFF"/>
        </w:rPr>
        <w:t>年初预算支出数额。</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1103.44</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982.13</w:t>
      </w:r>
      <w:r>
        <w:rPr>
          <w:rFonts w:hint="default" w:ascii="Times New Roman" w:hAnsi="Times New Roman" w:eastAsia="方正仿宋_GBK" w:cs="Times New Roman"/>
          <w:sz w:val="32"/>
          <w:szCs w:val="32"/>
          <w:shd w:val="clear" w:color="auto" w:fill="FFFFFF"/>
        </w:rPr>
        <w:t>万元，与2023年度相比，减少123.26万元，下降11.2%，主要原因是奖金减少以及事业单位绩效工资减少。人员经费用途主要包括基本工资、津贴补贴、奖金、社会保障缴费、住房公积金、其他工资福利、抚恤费、退休生活补助、医疗费补助等费用。公用经费</w:t>
      </w:r>
      <w:r>
        <w:rPr>
          <w:rFonts w:hint="default" w:ascii="Times New Roman" w:hAnsi="Times New Roman" w:eastAsia="方正仿宋_GBK" w:cs="Times New Roman"/>
          <w:sz w:val="32"/>
          <w:szCs w:val="32"/>
        </w:rPr>
        <w:t>121.31</w:t>
      </w:r>
      <w:r>
        <w:rPr>
          <w:rFonts w:hint="default" w:ascii="Times New Roman" w:hAnsi="Times New Roman" w:eastAsia="方正仿宋_GBK" w:cs="Times New Roman"/>
          <w:sz w:val="32"/>
          <w:szCs w:val="32"/>
          <w:shd w:val="clear" w:color="auto" w:fill="FFFFFF"/>
        </w:rPr>
        <w:t>万元，与2023年度相比，减少16.59万元，下降12.0%，主要原因是办公费用、福利费等支出减少。公用经费用途主要包括办公费、印刷费、水电费、邮电费、差旅费、公务接待费、公车运行费、福利费、工会经费、其他交通费、其他商品和服务支出等。</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（五）政府性基金预算收支决算情况说明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w:t>
      </w:r>
      <w:r>
        <w:rPr>
          <w:rFonts w:hint="eastAsia" w:ascii="Times New Roman" w:hAnsi="Times New Roman" w:eastAsia="方正仿宋_GBK" w:cs="Times New Roman"/>
          <w:sz w:val="32"/>
          <w:szCs w:val="32"/>
          <w:shd w:val="clear" w:color="auto" w:fill="FFFFFF"/>
          <w:lang w:eastAsia="zh-CN"/>
        </w:rPr>
        <w:t>是</w:t>
      </w:r>
      <w:r>
        <w:rPr>
          <w:rFonts w:hint="default" w:ascii="Times New Roman" w:hAnsi="Times New Roman" w:eastAsia="方正仿宋_GBK" w:cs="Times New Roman"/>
          <w:color w:val="000000" w:themeColor="text1"/>
          <w:sz w:val="32"/>
          <w:szCs w:val="32"/>
          <w:shd w:val="clear" w:color="auto" w:fill="FFFFFF"/>
        </w:rPr>
        <w:t>本年度无政府性基金预算财政拨款支出。本部门2024年度无政府性基金预算财政拨款收支。</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（六）国有资本经营预算财政拨款支出决算情况说明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万元。本部门2024年度无国有资本经营预算财政拨款支出。</w:t>
      </w:r>
    </w:p>
    <w:p>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三、财政拨款“三公”经费情况说明</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（一）“三公”经费支出总体情况说明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16.15</w:t>
      </w:r>
      <w:r>
        <w:rPr>
          <w:rFonts w:hint="default" w:ascii="Times New Roman" w:hAnsi="Times New Roman" w:eastAsia="方正仿宋_GBK" w:cs="Times New Roman"/>
          <w:sz w:val="32"/>
          <w:szCs w:val="32"/>
          <w:shd w:val="clear" w:color="auto" w:fill="FFFFFF"/>
        </w:rPr>
        <w:t>万元，较年初预算数增加7.15万元，增长79.4%，主要原因是2024年6月根据政府机构改革，撤销原县招商投资局，加强县商务委员会外资招商、现代服务业招商工作职责，分解划转招商投促运行业务经费，其中招商投促业务接待费计划指标5.00万元；以及政府机构改革，2024年6月县商务行政执法大队撤销，人员编制和经费合并到县电子商务发展服务中心，年初预算支出数不包括分解划转招商投促业务接待费支出和撤销的原县商务行政执法大队年初预算支出数额。较上年支出数增加4.83万元，增长42.7%，主要原因是2024年6月根据政府机构改革，撤销原县招商投资局，加强县商务委员会外资招商、现代服务业招商工作职责，划转增加支出招商投促业务接待费。</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公务车购置费0.00万元。费用支出较年初预算数无增减，主要原因是年初预算未安排且本年未发生公务车购置费用。较上年支出数无增减，主要原因是上年和本年均未发生公务车购置费用。</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7.40</w:t>
      </w:r>
      <w:r>
        <w:rPr>
          <w:rFonts w:hint="default" w:ascii="Times New Roman" w:hAnsi="Times New Roman" w:eastAsia="方正仿宋_GBK" w:cs="Times New Roman"/>
          <w:sz w:val="32"/>
          <w:szCs w:val="32"/>
          <w:shd w:val="clear" w:color="auto" w:fill="FFFFFF"/>
        </w:rPr>
        <w:t>万元，主要用于机要文件交换、市内因公出行、县内业务检查等工作所需车辆的燃料费、维修费、过路过桥费、保险费等。费用支出较年初预算数增加3.40万元，增长85.0%，主要原因是</w:t>
      </w:r>
      <w:r>
        <w:rPr>
          <w:rFonts w:hint="default" w:ascii="Times New Roman" w:hAnsi="Times New Roman" w:eastAsia="方正仿宋_GBK" w:cs="Times New Roman"/>
          <w:sz w:val="32"/>
          <w:szCs w:val="32"/>
        </w:rPr>
        <w:t>根据政府机构改革，2024年6月县商务行政执法大队撤销，原县商务行政执法大队公务用车辆转入县电子商务发展服务中心使用，而</w:t>
      </w:r>
      <w:r>
        <w:rPr>
          <w:rFonts w:hint="default" w:ascii="Times New Roman" w:hAnsi="Times New Roman" w:eastAsia="方正仿宋_GBK" w:cs="Times New Roman"/>
          <w:sz w:val="32"/>
          <w:szCs w:val="32"/>
          <w:shd w:val="clear" w:color="auto" w:fill="FFFFFF"/>
        </w:rPr>
        <w:t>年初预算数不包括</w:t>
      </w:r>
      <w:r>
        <w:rPr>
          <w:rFonts w:hint="default" w:ascii="Times New Roman" w:hAnsi="Times New Roman" w:eastAsia="方正仿宋_GBK" w:cs="Times New Roman"/>
          <w:sz w:val="32"/>
          <w:szCs w:val="32"/>
        </w:rPr>
        <w:t>原县商务行政执法大队预算数额。</w:t>
      </w:r>
      <w:r>
        <w:rPr>
          <w:rFonts w:hint="default" w:ascii="Times New Roman" w:hAnsi="Times New Roman" w:eastAsia="方正仿宋_GBK" w:cs="Times New Roman"/>
          <w:sz w:val="32"/>
          <w:szCs w:val="32"/>
          <w:shd w:val="clear" w:color="auto" w:fill="FFFFFF"/>
        </w:rPr>
        <w:t>较上年支出数减少0.13万元，下降1.7%，主要原因是公务车运行燃油费、维修费等支出减少。</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8.75</w:t>
      </w:r>
      <w:r>
        <w:rPr>
          <w:rFonts w:hint="default" w:ascii="Times New Roman" w:hAnsi="Times New Roman" w:eastAsia="方正仿宋_GBK" w:cs="Times New Roman"/>
          <w:sz w:val="32"/>
          <w:szCs w:val="32"/>
          <w:shd w:val="clear" w:color="auto" w:fill="FFFFFF"/>
        </w:rPr>
        <w:t>万元，主要用于接待国内相关单位到我单位学习调研、招商引资工作，接受相关部门检查指导工作发生的接待费用。费用支出较年初预算数增加3.75万元，增长75.0%，主要原因是2024年6月根据政府机构改革，撤销原县招商投资局，加强县商务委员会</w:t>
      </w:r>
      <w:r>
        <w:rPr>
          <w:rFonts w:hint="default" w:ascii="Times New Roman" w:hAnsi="Times New Roman" w:eastAsia="方正仿宋_GBK" w:cs="Times New Roman"/>
          <w:sz w:val="32"/>
          <w:szCs w:val="32"/>
        </w:rPr>
        <w:t>外资招商、现</w:t>
      </w:r>
      <w:r>
        <w:rPr>
          <w:rFonts w:hint="default" w:ascii="Times New Roman" w:hAnsi="Times New Roman" w:eastAsia="方正仿宋_GBK" w:cs="Times New Roman"/>
          <w:sz w:val="32"/>
        </w:rPr>
        <w:t>代服务业招商工作职责，分解划转招商投促运行业务经费，招商投促业务接待费支出增加，招商投促业务接待费支出未纳入年初支出预算。</w:t>
      </w:r>
      <w:r>
        <w:rPr>
          <w:rFonts w:hint="default" w:ascii="Times New Roman" w:hAnsi="Times New Roman" w:eastAsia="方正仿宋_GBK" w:cs="Times New Roman"/>
          <w:sz w:val="32"/>
          <w:szCs w:val="32"/>
          <w:shd w:val="clear" w:color="auto" w:fill="FFFFFF"/>
        </w:rPr>
        <w:t>较上年支出数增加4.96万元，增长130.9%，主要原因招商投促业务接待费增加。</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135</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935</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人。2024年本部门人均接待费</w:t>
      </w:r>
      <w:r>
        <w:rPr>
          <w:rFonts w:hint="default" w:ascii="Times New Roman" w:hAnsi="Times New Roman" w:eastAsia="方正仿宋_GBK" w:cs="Times New Roman"/>
          <w:sz w:val="32"/>
          <w:szCs w:val="32"/>
        </w:rPr>
        <w:t>93.63</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3.70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w:t>
      </w: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1.74</w:t>
      </w:r>
      <w:r>
        <w:rPr>
          <w:rFonts w:hint="default" w:ascii="Times New Roman" w:hAnsi="Times New Roman" w:eastAsia="方正仿宋_GBK" w:cs="Times New Roman"/>
          <w:sz w:val="32"/>
          <w:szCs w:val="32"/>
          <w:shd w:val="clear" w:color="auto" w:fill="FFFFFF"/>
        </w:rPr>
        <w:t>万元，与2023年度相比，减少0.01万元，下降0.6%，主要原因是电子商务项目会议和涉外企业会议费用减少。本年度培训费支出</w:t>
      </w:r>
      <w:r>
        <w:rPr>
          <w:rFonts w:hint="default" w:ascii="Times New Roman" w:hAnsi="Times New Roman" w:eastAsia="方正仿宋_GBK" w:cs="Times New Roman"/>
          <w:sz w:val="32"/>
          <w:szCs w:val="32"/>
        </w:rPr>
        <w:t>0.48</w:t>
      </w:r>
      <w:r>
        <w:rPr>
          <w:rFonts w:hint="default" w:ascii="Times New Roman" w:hAnsi="Times New Roman" w:eastAsia="方正仿宋_GBK" w:cs="Times New Roman"/>
          <w:sz w:val="32"/>
          <w:szCs w:val="32"/>
          <w:shd w:val="clear" w:color="auto" w:fill="FFFFFF"/>
        </w:rPr>
        <w:t>万元，与2023年度相比，减少0.08万元，下降14.3%，主要原因是职工培训支出费用减少。</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（二）机关运行经费情况说明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2024年度本部门机关运行经费支出</w:t>
      </w:r>
      <w:r>
        <w:rPr>
          <w:rFonts w:hint="default" w:ascii="Times New Roman" w:hAnsi="Times New Roman" w:eastAsia="方正仿宋_GBK" w:cs="Times New Roman"/>
          <w:sz w:val="32"/>
          <w:szCs w:val="32"/>
        </w:rPr>
        <w:t>63.95</w:t>
      </w:r>
      <w:r>
        <w:rPr>
          <w:rFonts w:hint="default" w:ascii="Times New Roman" w:hAnsi="Times New Roman" w:eastAsia="方正仿宋_GBK" w:cs="Times New Roman"/>
          <w:sz w:val="32"/>
          <w:szCs w:val="32"/>
          <w:shd w:val="clear" w:color="auto" w:fill="FFFFFF"/>
        </w:rPr>
        <w:t>万元，机关运行经费主要用于开支办公费、印刷费、水电费、邮电费、差旅费、会议费、培训费、福利费、工会经费、公务接待费、公车运行费、其他交通费、其他商品和服务支出等。机关运行经费较上年支出数减少4.26万元，下降6.3%，主要原因是办公费、差旅费等减少。</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（三）国有资产占用情况说明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（四）政府采购支出情况说明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2024年度本部门政府采购支出总额</w:t>
      </w:r>
      <w:r>
        <w:rPr>
          <w:rFonts w:hint="default" w:ascii="Times New Roman" w:hAnsi="Times New Roman" w:eastAsia="方正仿宋_GBK" w:cs="Times New Roman"/>
          <w:sz w:val="32"/>
          <w:szCs w:val="32"/>
        </w:rPr>
        <w:t>4.50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4.50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4.50万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4.50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 xml:space="preserve"> %。主要用于采购新增限上企业笔记本电脑10台。</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五、2024年度预算绩效管理情况说明</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（一）部门自评情况</w:t>
      </w:r>
    </w:p>
    <w:p>
      <w:pPr>
        <w:pStyle w:val="12"/>
        <w:keepNext w:val="0"/>
        <w:keepLines w:val="0"/>
        <w:pageBreakBefore w:val="0"/>
        <w:widowControl/>
        <w:kinsoku/>
        <w:overflowPunct/>
        <w:topLinePunct w:val="0"/>
        <w:autoSpaceDE w:val="0"/>
        <w:autoSpaceDN/>
        <w:bidi w:val="0"/>
        <w:adjustRightInd/>
        <w:spacing w:before="0" w:beforeAutospacing="0" w:afterAutospacing="0" w:line="594" w:lineRule="exact"/>
        <w:ind w:firstLine="640" w:firstLineChars="200"/>
        <w:rPr>
          <w:rFonts w:hint="default" w:ascii="Times New Roman" w:hAnsi="Times New Roman" w:eastAsia="方正仿宋_GBK" w:cs="Times New Roman"/>
          <w:sz w:val="32"/>
          <w:szCs w:val="32"/>
          <w:highlight w:val="yellow"/>
          <w:shd w:val="clear" w:color="auto" w:fill="FFFFFF"/>
        </w:rPr>
      </w:pPr>
      <w:r>
        <w:rPr>
          <w:rFonts w:hint="default" w:ascii="Times New Roman" w:hAnsi="Times New Roman" w:eastAsia="方正仿宋_GBK" w:cs="Times New Roman"/>
          <w:sz w:val="32"/>
          <w:szCs w:val="32"/>
          <w:shd w:val="clear" w:color="auto" w:fill="FFFFFF"/>
        </w:rPr>
        <w:t>根据预算绩效管理要求，我部门对21个二级项目开展了绩效自评，涉及财政拨款项目支出资金2010.43万元。</w:t>
      </w:r>
    </w:p>
    <w:tbl>
      <w:tblPr>
        <w:tblStyle w:val="7"/>
        <w:tblW w:w="8379" w:type="dxa"/>
        <w:tblInd w:w="93" w:type="dxa"/>
        <w:tblLayout w:type="fixed"/>
        <w:tblCellMar>
          <w:top w:w="0" w:type="dxa"/>
          <w:left w:w="108" w:type="dxa"/>
          <w:bottom w:w="0" w:type="dxa"/>
          <w:right w:w="108" w:type="dxa"/>
        </w:tblCellMar>
      </w:tblPr>
      <w:tblGrid>
        <w:gridCol w:w="578"/>
        <w:gridCol w:w="288"/>
        <w:gridCol w:w="283"/>
        <w:gridCol w:w="397"/>
        <w:gridCol w:w="170"/>
        <w:gridCol w:w="284"/>
        <w:gridCol w:w="142"/>
        <w:gridCol w:w="219"/>
        <w:gridCol w:w="348"/>
        <w:gridCol w:w="141"/>
        <w:gridCol w:w="284"/>
        <w:gridCol w:w="283"/>
        <w:gridCol w:w="709"/>
        <w:gridCol w:w="142"/>
        <w:gridCol w:w="567"/>
        <w:gridCol w:w="283"/>
        <w:gridCol w:w="284"/>
        <w:gridCol w:w="283"/>
        <w:gridCol w:w="284"/>
        <w:gridCol w:w="567"/>
        <w:gridCol w:w="142"/>
        <w:gridCol w:w="425"/>
        <w:gridCol w:w="283"/>
        <w:gridCol w:w="284"/>
        <w:gridCol w:w="709"/>
      </w:tblGrid>
      <w:tr>
        <w:tblPrEx>
          <w:tblCellMar>
            <w:top w:w="0" w:type="dxa"/>
            <w:left w:w="108" w:type="dxa"/>
            <w:bottom w:w="0" w:type="dxa"/>
            <w:right w:w="108" w:type="dxa"/>
          </w:tblCellMar>
        </w:tblPrEx>
        <w:trPr>
          <w:trHeight w:val="900" w:hRule="atLeast"/>
        </w:trPr>
        <w:tc>
          <w:tcPr>
            <w:tcW w:w="8379" w:type="dxa"/>
            <w:gridSpan w:val="2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微软雅黑" w:cs="Times New Roman"/>
                <w:b/>
                <w:bCs/>
                <w:color w:val="000000"/>
                <w:sz w:val="40"/>
                <w:szCs w:val="40"/>
              </w:rPr>
            </w:pPr>
            <w:r>
              <w:rPr>
                <w:rFonts w:hint="default" w:ascii="Times New Roman" w:hAnsi="Times New Roman" w:eastAsia="微软雅黑" w:cs="Times New Roman"/>
                <w:b/>
                <w:bCs/>
                <w:color w:val="000000"/>
                <w:sz w:val="40"/>
                <w:szCs w:val="40"/>
              </w:rPr>
              <w:t>2024年度部门整体绩效自评表</w:t>
            </w:r>
          </w:p>
        </w:tc>
      </w:tr>
      <w:tr>
        <w:tblPrEx>
          <w:tblCellMar>
            <w:top w:w="0" w:type="dxa"/>
            <w:left w:w="108" w:type="dxa"/>
            <w:bottom w:w="0" w:type="dxa"/>
            <w:right w:w="108" w:type="dxa"/>
          </w:tblCellMar>
        </w:tblPrEx>
        <w:trPr>
          <w:trHeight w:val="900" w:hRule="atLeast"/>
        </w:trPr>
        <w:tc>
          <w:tcPr>
            <w:tcW w:w="8379" w:type="dxa"/>
            <w:gridSpan w:val="2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b/>
                <w:bCs/>
                <w:color w:val="DA3232"/>
                <w:sz w:val="18"/>
                <w:szCs w:val="18"/>
              </w:rPr>
            </w:pPr>
            <w:r>
              <w:rPr>
                <w:rFonts w:hint="default" w:ascii="Times New Roman" w:hAnsi="Times New Roman" w:cs="Times New Roman"/>
                <w:b/>
                <w:bCs/>
                <w:color w:val="000000" w:themeColor="text1"/>
                <w:sz w:val="18"/>
                <w:szCs w:val="18"/>
              </w:rPr>
              <w:t>状态：绩效审核已审</w:t>
            </w:r>
          </w:p>
        </w:tc>
      </w:tr>
      <w:tr>
        <w:tblPrEx>
          <w:tblCellMar>
            <w:top w:w="0" w:type="dxa"/>
            <w:left w:w="108" w:type="dxa"/>
            <w:bottom w:w="0" w:type="dxa"/>
            <w:right w:w="108" w:type="dxa"/>
          </w:tblCellMar>
        </w:tblPrEx>
        <w:trPr>
          <w:trHeight w:val="900"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项目名称：</w:t>
            </w:r>
          </w:p>
        </w:tc>
        <w:tc>
          <w:tcPr>
            <w:tcW w:w="96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垫江县商务委员会整体自评</w:t>
            </w:r>
          </w:p>
        </w:tc>
        <w:tc>
          <w:tcPr>
            <w:tcW w:w="815" w:type="dxa"/>
            <w:gridSpan w:val="4"/>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项目编码：</w:t>
            </w:r>
          </w:p>
        </w:tc>
        <w:tc>
          <w:tcPr>
            <w:tcW w:w="1907"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50023100024P000123</w:t>
            </w:r>
          </w:p>
        </w:tc>
        <w:tc>
          <w:tcPr>
            <w:tcW w:w="1417" w:type="dxa"/>
            <w:gridSpan w:val="4"/>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自评总分：</w:t>
            </w:r>
          </w:p>
        </w:tc>
        <w:tc>
          <w:tcPr>
            <w:tcW w:w="99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100.00</w:t>
            </w:r>
          </w:p>
        </w:tc>
        <w:tc>
          <w:tcPr>
            <w:tcW w:w="708"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w:t>
            </w:r>
          </w:p>
        </w:tc>
        <w:tc>
          <w:tcPr>
            <w:tcW w:w="993"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r>
      <w:tr>
        <w:tblPrEx>
          <w:tblCellMar>
            <w:top w:w="0" w:type="dxa"/>
            <w:left w:w="108" w:type="dxa"/>
            <w:bottom w:w="0" w:type="dxa"/>
            <w:right w:w="108" w:type="dxa"/>
          </w:tblCellMar>
        </w:tblPrEx>
        <w:trPr>
          <w:trHeight w:val="900"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项目主管部门：</w:t>
            </w:r>
          </w:p>
        </w:tc>
        <w:tc>
          <w:tcPr>
            <w:tcW w:w="96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502-垫江县商务委员会</w:t>
            </w:r>
          </w:p>
        </w:tc>
        <w:tc>
          <w:tcPr>
            <w:tcW w:w="815" w:type="dxa"/>
            <w:gridSpan w:val="4"/>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财政归口处室：</w:t>
            </w:r>
          </w:p>
        </w:tc>
        <w:tc>
          <w:tcPr>
            <w:tcW w:w="1907"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008-企业科</w:t>
            </w:r>
          </w:p>
        </w:tc>
        <w:tc>
          <w:tcPr>
            <w:tcW w:w="1417" w:type="dxa"/>
            <w:gridSpan w:val="4"/>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部门联系人：</w:t>
            </w:r>
          </w:p>
        </w:tc>
        <w:tc>
          <w:tcPr>
            <w:tcW w:w="99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eastAsia" w:ascii="Times New Roman" w:hAnsi="Times New Roman" w:eastAsia="宋体" w:cs="Times New Roman"/>
                <w:color w:val="000000"/>
                <w:sz w:val="18"/>
                <w:szCs w:val="18"/>
                <w:lang w:eastAsia="zh-CN"/>
              </w:rPr>
            </w:pPr>
            <w:r>
              <w:rPr>
                <w:rFonts w:hint="default" w:ascii="Times New Roman" w:hAnsi="Times New Roman" w:cs="Times New Roman"/>
                <w:color w:val="000000"/>
                <w:sz w:val="18"/>
                <w:szCs w:val="18"/>
              </w:rPr>
              <w:t>陈</w:t>
            </w:r>
            <w:r>
              <w:rPr>
                <w:rFonts w:hint="eastAsia" w:ascii="Times New Roman" w:hAnsi="Times New Roman" w:cs="Times New Roman"/>
                <w:color w:val="000000"/>
                <w:sz w:val="18"/>
                <w:szCs w:val="18"/>
                <w:lang w:val="en-US" w:eastAsia="zh-CN"/>
              </w:rPr>
              <w:t>老师</w:t>
            </w:r>
          </w:p>
        </w:tc>
        <w:tc>
          <w:tcPr>
            <w:tcW w:w="708"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联系电话：</w:t>
            </w:r>
          </w:p>
        </w:tc>
        <w:tc>
          <w:tcPr>
            <w:tcW w:w="993"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eastAsia" w:ascii="Times New Roman" w:hAnsi="Times New Roman" w:cs="Times New Roman"/>
                <w:color w:val="000000"/>
                <w:sz w:val="18"/>
                <w:szCs w:val="18"/>
                <w:lang w:val="en-US" w:eastAsia="zh-CN"/>
              </w:rPr>
              <w:t>023-</w:t>
            </w:r>
            <w:r>
              <w:rPr>
                <w:rFonts w:hint="default" w:ascii="Times New Roman" w:hAnsi="Times New Roman" w:cs="Times New Roman"/>
                <w:color w:val="000000"/>
                <w:sz w:val="18"/>
                <w:szCs w:val="18"/>
              </w:rPr>
              <w:t>74516498</w:t>
            </w:r>
          </w:p>
        </w:tc>
      </w:tr>
      <w:tr>
        <w:tblPrEx>
          <w:tblCellMar>
            <w:top w:w="0" w:type="dxa"/>
            <w:left w:w="108" w:type="dxa"/>
            <w:bottom w:w="0" w:type="dxa"/>
            <w:right w:w="108" w:type="dxa"/>
          </w:tblCellMar>
        </w:tblPrEx>
        <w:trPr>
          <w:trHeight w:val="900" w:hRule="atLeast"/>
        </w:trPr>
        <w:tc>
          <w:tcPr>
            <w:tcW w:w="8379" w:type="dxa"/>
            <w:gridSpan w:val="2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微软雅黑" w:cs="Times New Roman"/>
                <w:b/>
                <w:bCs/>
                <w:color w:val="7F7F7F"/>
                <w:sz w:val="18"/>
                <w:szCs w:val="18"/>
              </w:rPr>
            </w:pPr>
            <w:r>
              <w:rPr>
                <w:rFonts w:hint="default" w:ascii="Times New Roman" w:hAnsi="Times New Roman" w:eastAsia="微软雅黑" w:cs="Times New Roman"/>
                <w:b/>
                <w:bCs/>
                <w:color w:val="7F7F7F"/>
                <w:sz w:val="18"/>
                <w:szCs w:val="18"/>
              </w:rPr>
              <w:t>资金情况</w:t>
            </w:r>
          </w:p>
        </w:tc>
      </w:tr>
      <w:tr>
        <w:tblPrEx>
          <w:tblCellMar>
            <w:top w:w="0" w:type="dxa"/>
            <w:left w:w="108" w:type="dxa"/>
            <w:bottom w:w="0" w:type="dxa"/>
            <w:right w:w="108" w:type="dxa"/>
          </w:tblCellMar>
        </w:tblPrEx>
        <w:trPr>
          <w:trHeight w:val="900" w:hRule="atLeast"/>
        </w:trPr>
        <w:tc>
          <w:tcPr>
            <w:tcW w:w="8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134"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年初预算数</w:t>
            </w:r>
          </w:p>
        </w:tc>
        <w:tc>
          <w:tcPr>
            <w:tcW w:w="2268"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全年（调整）预算数</w:t>
            </w:r>
          </w:p>
        </w:tc>
        <w:tc>
          <w:tcPr>
            <w:tcW w:w="2268"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全年执行数</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执行率</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执行率权重</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执行率得分</w:t>
            </w:r>
          </w:p>
        </w:tc>
      </w:tr>
      <w:tr>
        <w:tblPrEx>
          <w:tblCellMar>
            <w:top w:w="0" w:type="dxa"/>
            <w:left w:w="108" w:type="dxa"/>
            <w:bottom w:w="0" w:type="dxa"/>
            <w:right w:w="108" w:type="dxa"/>
          </w:tblCellMar>
        </w:tblPrEx>
        <w:trPr>
          <w:trHeight w:val="900" w:hRule="atLeast"/>
        </w:trPr>
        <w:tc>
          <w:tcPr>
            <w:tcW w:w="86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年度总金额</w:t>
            </w:r>
          </w:p>
        </w:tc>
        <w:tc>
          <w:tcPr>
            <w:tcW w:w="1134" w:type="dxa"/>
            <w:gridSpan w:val="4"/>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30,666,193.19 </w:t>
            </w:r>
          </w:p>
        </w:tc>
        <w:tc>
          <w:tcPr>
            <w:tcW w:w="1134" w:type="dxa"/>
            <w:gridSpan w:val="5"/>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30,929,758.50 </w:t>
            </w:r>
          </w:p>
        </w:tc>
        <w:tc>
          <w:tcPr>
            <w:tcW w:w="1134"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30,929,758.50 </w:t>
            </w:r>
          </w:p>
        </w:tc>
        <w:tc>
          <w:tcPr>
            <w:tcW w:w="1134"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30,929,758.50 </w:t>
            </w:r>
          </w:p>
        </w:tc>
        <w:tc>
          <w:tcPr>
            <w:tcW w:w="1134"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30,929,758.50 </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r>
              <w:rPr>
                <w:rFonts w:hint="default" w:ascii="Times New Roman" w:hAnsi="Times New Roman" w:cs="Times New Roman"/>
                <w:sz w:val="18"/>
                <w:szCs w:val="18"/>
              </w:rPr>
              <w:t>　</w:t>
            </w:r>
          </w:p>
        </w:tc>
      </w:tr>
      <w:tr>
        <w:tblPrEx>
          <w:tblCellMar>
            <w:top w:w="0" w:type="dxa"/>
            <w:left w:w="108" w:type="dxa"/>
            <w:bottom w:w="0" w:type="dxa"/>
            <w:right w:w="108" w:type="dxa"/>
          </w:tblCellMar>
        </w:tblPrEx>
        <w:trPr>
          <w:trHeight w:val="900" w:hRule="atLeast"/>
        </w:trPr>
        <w:tc>
          <w:tcPr>
            <w:tcW w:w="86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其中：财政拨款</w:t>
            </w:r>
          </w:p>
        </w:tc>
        <w:tc>
          <w:tcPr>
            <w:tcW w:w="1134" w:type="dxa"/>
            <w:gridSpan w:val="4"/>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30,666,193.19 </w:t>
            </w:r>
          </w:p>
        </w:tc>
        <w:tc>
          <w:tcPr>
            <w:tcW w:w="1134" w:type="dxa"/>
            <w:gridSpan w:val="5"/>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30,929,758.50 </w:t>
            </w:r>
          </w:p>
        </w:tc>
        <w:tc>
          <w:tcPr>
            <w:tcW w:w="1134"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30,929,758.50 </w:t>
            </w:r>
          </w:p>
        </w:tc>
        <w:tc>
          <w:tcPr>
            <w:tcW w:w="1134"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30,929,758.50 </w:t>
            </w:r>
          </w:p>
        </w:tc>
        <w:tc>
          <w:tcPr>
            <w:tcW w:w="1134"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30,929,758.50 </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r>
              <w:rPr>
                <w:rFonts w:hint="default" w:ascii="Times New Roman" w:hAnsi="Times New Roman" w:cs="Times New Roman"/>
                <w:sz w:val="18"/>
                <w:szCs w:val="18"/>
              </w:rPr>
              <w:t xml:space="preserve">10.00 </w:t>
            </w:r>
          </w:p>
        </w:tc>
      </w:tr>
      <w:tr>
        <w:tblPrEx>
          <w:tblCellMar>
            <w:top w:w="0" w:type="dxa"/>
            <w:left w:w="108" w:type="dxa"/>
            <w:bottom w:w="0" w:type="dxa"/>
            <w:right w:w="108" w:type="dxa"/>
          </w:tblCellMar>
        </w:tblPrEx>
        <w:trPr>
          <w:trHeight w:val="900" w:hRule="atLeast"/>
        </w:trPr>
        <w:tc>
          <w:tcPr>
            <w:tcW w:w="86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一般公共预算</w:t>
            </w:r>
          </w:p>
        </w:tc>
        <w:tc>
          <w:tcPr>
            <w:tcW w:w="1134" w:type="dxa"/>
            <w:gridSpan w:val="4"/>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30,666,193.19 </w:t>
            </w:r>
          </w:p>
        </w:tc>
        <w:tc>
          <w:tcPr>
            <w:tcW w:w="1134" w:type="dxa"/>
            <w:gridSpan w:val="5"/>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30,929,758.50 </w:t>
            </w:r>
          </w:p>
        </w:tc>
        <w:tc>
          <w:tcPr>
            <w:tcW w:w="1134"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30,929,758.50 </w:t>
            </w:r>
          </w:p>
        </w:tc>
        <w:tc>
          <w:tcPr>
            <w:tcW w:w="1134"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30,929,758.50 </w:t>
            </w:r>
          </w:p>
        </w:tc>
        <w:tc>
          <w:tcPr>
            <w:tcW w:w="1134"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30,929,758.50 </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r>
              <w:rPr>
                <w:rFonts w:hint="default" w:ascii="Times New Roman" w:hAnsi="Times New Roman" w:cs="Times New Roman"/>
                <w:sz w:val="18"/>
                <w:szCs w:val="18"/>
              </w:rPr>
              <w:t>　</w:t>
            </w:r>
          </w:p>
        </w:tc>
      </w:tr>
      <w:tr>
        <w:tblPrEx>
          <w:tblCellMar>
            <w:top w:w="0" w:type="dxa"/>
            <w:left w:w="108" w:type="dxa"/>
            <w:bottom w:w="0" w:type="dxa"/>
            <w:right w:w="108" w:type="dxa"/>
          </w:tblCellMar>
        </w:tblPrEx>
        <w:trPr>
          <w:trHeight w:val="699" w:hRule="atLeast"/>
        </w:trPr>
        <w:tc>
          <w:tcPr>
            <w:tcW w:w="8379" w:type="dxa"/>
            <w:gridSpan w:val="2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center"/>
              <w:rPr>
                <w:rFonts w:hint="default" w:ascii="Times New Roman" w:hAnsi="Times New Roman" w:eastAsia="微软雅黑" w:cs="Times New Roman"/>
                <w:b/>
                <w:bCs/>
                <w:color w:val="7F7F7F"/>
                <w:sz w:val="18"/>
                <w:szCs w:val="18"/>
              </w:rPr>
            </w:pPr>
            <w:r>
              <w:rPr>
                <w:rFonts w:hint="default" w:ascii="Times New Roman" w:hAnsi="Times New Roman" w:eastAsia="微软雅黑" w:cs="Times New Roman"/>
                <w:b/>
                <w:bCs/>
                <w:color w:val="7F7F7F"/>
                <w:sz w:val="18"/>
                <w:szCs w:val="18"/>
              </w:rPr>
              <w:t>绩效目标</w:t>
            </w:r>
          </w:p>
        </w:tc>
      </w:tr>
      <w:tr>
        <w:tblPrEx>
          <w:tblCellMar>
            <w:top w:w="0" w:type="dxa"/>
            <w:left w:w="108" w:type="dxa"/>
            <w:bottom w:w="0" w:type="dxa"/>
            <w:right w:w="108" w:type="dxa"/>
          </w:tblCellMar>
        </w:tblPrEx>
        <w:trPr>
          <w:trHeight w:val="900" w:hRule="atLeast"/>
        </w:trPr>
        <w:tc>
          <w:tcPr>
            <w:tcW w:w="285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年初绩效目标</w:t>
            </w:r>
          </w:p>
        </w:tc>
        <w:tc>
          <w:tcPr>
            <w:tcW w:w="2268"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全年（调整）绩效目标</w:t>
            </w:r>
          </w:p>
        </w:tc>
        <w:tc>
          <w:tcPr>
            <w:tcW w:w="3261" w:type="dxa"/>
            <w:gridSpan w:val="9"/>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全年目标实际完成情况</w:t>
            </w:r>
          </w:p>
        </w:tc>
      </w:tr>
      <w:tr>
        <w:tblPrEx>
          <w:tblCellMar>
            <w:top w:w="0" w:type="dxa"/>
            <w:left w:w="108" w:type="dxa"/>
            <w:bottom w:w="0" w:type="dxa"/>
            <w:right w:w="108" w:type="dxa"/>
          </w:tblCellMar>
        </w:tblPrEx>
        <w:trPr>
          <w:trHeight w:val="1912" w:hRule="atLeast"/>
        </w:trPr>
        <w:tc>
          <w:tcPr>
            <w:tcW w:w="2850" w:type="dxa"/>
            <w:gridSpan w:val="10"/>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通过年度预算支出，完成如下工作目标：1.新增外贸进出口资质企业3个，扶持县域商业企业8家；2.社会消费品零售额同比增长3。5%，餐饮住宿业营业额同比增长5.5%；3.网络零售6.5亿元。</w:t>
            </w:r>
          </w:p>
        </w:tc>
        <w:tc>
          <w:tcPr>
            <w:tcW w:w="2268" w:type="dxa"/>
            <w:gridSpan w:val="6"/>
            <w:tcBorders>
              <w:top w:val="single" w:color="auto" w:sz="4" w:space="0"/>
              <w:left w:val="nil"/>
              <w:bottom w:val="single" w:color="auto" w:sz="4" w:space="0"/>
              <w:right w:val="single" w:color="auto" w:sz="4" w:space="0"/>
            </w:tcBorders>
            <w:shd w:val="clear" w:color="auto" w:fill="auto"/>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3261" w:type="dxa"/>
            <w:gridSpan w:val="9"/>
            <w:tcBorders>
              <w:top w:val="single" w:color="auto" w:sz="4" w:space="0"/>
              <w:left w:val="nil"/>
              <w:bottom w:val="single" w:color="auto" w:sz="4" w:space="0"/>
              <w:right w:val="single" w:color="auto" w:sz="4" w:space="0"/>
            </w:tcBorders>
            <w:shd w:val="clear" w:color="auto" w:fill="auto"/>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2024年全面完成了工作目标：1.新增外贸进出口资质企业3个，扶持县域商业企业10家；2.社会消费品零售额同比增长5.2%，餐饮住宿业零售营业额同比增长12.31%；3.网络零售6.5亿元。</w:t>
            </w:r>
          </w:p>
        </w:tc>
      </w:tr>
      <w:tr>
        <w:tblPrEx>
          <w:tblCellMar>
            <w:top w:w="0" w:type="dxa"/>
            <w:left w:w="108" w:type="dxa"/>
            <w:bottom w:w="0" w:type="dxa"/>
            <w:right w:w="108" w:type="dxa"/>
          </w:tblCellMar>
        </w:tblPrEx>
        <w:trPr>
          <w:trHeight w:val="664" w:hRule="atLeast"/>
        </w:trPr>
        <w:tc>
          <w:tcPr>
            <w:tcW w:w="8379" w:type="dxa"/>
            <w:gridSpan w:val="2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微软雅黑" w:cs="Times New Roman"/>
                <w:b/>
                <w:bCs/>
                <w:color w:val="7F7F7F"/>
                <w:sz w:val="18"/>
                <w:szCs w:val="18"/>
              </w:rPr>
            </w:pPr>
            <w:r>
              <w:rPr>
                <w:rFonts w:hint="default" w:ascii="Times New Roman" w:hAnsi="Times New Roman" w:eastAsia="微软雅黑" w:cs="Times New Roman"/>
                <w:b/>
                <w:bCs/>
                <w:color w:val="7F7F7F"/>
                <w:sz w:val="18"/>
                <w:szCs w:val="18"/>
              </w:rPr>
              <w:t>绩效指标</w:t>
            </w:r>
          </w:p>
        </w:tc>
      </w:tr>
      <w:tr>
        <w:tblPrEx>
          <w:tblCellMar>
            <w:top w:w="0" w:type="dxa"/>
            <w:left w:w="108" w:type="dxa"/>
            <w:bottom w:w="0" w:type="dxa"/>
            <w:right w:w="108" w:type="dxa"/>
          </w:tblCellMar>
        </w:tblPrEx>
        <w:trPr>
          <w:trHeight w:val="900" w:hRule="atLeast"/>
        </w:trPr>
        <w:tc>
          <w:tcPr>
            <w:tcW w:w="1149"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指标名称</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计量单位</w:t>
            </w:r>
          </w:p>
        </w:tc>
        <w:tc>
          <w:tcPr>
            <w:tcW w:w="42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指标性质</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指标值</w:t>
            </w:r>
          </w:p>
        </w:tc>
        <w:tc>
          <w:tcPr>
            <w:tcW w:w="708"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全年完成值</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偏离度（%）</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得分系数（%）</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指标权重</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指标得分</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是否核心指标</w:t>
            </w:r>
          </w:p>
        </w:tc>
        <w:tc>
          <w:tcPr>
            <w:tcW w:w="1701" w:type="dxa"/>
            <w:gridSpan w:val="4"/>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说明</w:t>
            </w:r>
          </w:p>
        </w:tc>
      </w:tr>
      <w:tr>
        <w:tblPrEx>
          <w:tblCellMar>
            <w:top w:w="0" w:type="dxa"/>
            <w:left w:w="108" w:type="dxa"/>
            <w:bottom w:w="0" w:type="dxa"/>
            <w:right w:w="108" w:type="dxa"/>
          </w:tblCellMar>
        </w:tblPrEx>
        <w:trPr>
          <w:trHeight w:val="1290" w:hRule="atLeast"/>
        </w:trPr>
        <w:tc>
          <w:tcPr>
            <w:tcW w:w="1149"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餐饮住宿业零售额增速</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42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w:t>
            </w:r>
          </w:p>
        </w:tc>
        <w:tc>
          <w:tcPr>
            <w:tcW w:w="708"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12.31</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123.82</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否</w:t>
            </w:r>
          </w:p>
        </w:tc>
        <w:tc>
          <w:tcPr>
            <w:tcW w:w="1701" w:type="dxa"/>
            <w:gridSpan w:val="4"/>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餐饮住宿业零售额同比增加35.26亿元，增加12.31%</w:t>
            </w:r>
          </w:p>
        </w:tc>
      </w:tr>
      <w:tr>
        <w:tblPrEx>
          <w:tblCellMar>
            <w:top w:w="0" w:type="dxa"/>
            <w:left w:w="108" w:type="dxa"/>
            <w:bottom w:w="0" w:type="dxa"/>
            <w:right w:w="108" w:type="dxa"/>
          </w:tblCellMar>
        </w:tblPrEx>
        <w:trPr>
          <w:trHeight w:val="900" w:hRule="atLeast"/>
        </w:trPr>
        <w:tc>
          <w:tcPr>
            <w:tcW w:w="1149"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扶持县域商业企业</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家</w:t>
            </w:r>
          </w:p>
        </w:tc>
        <w:tc>
          <w:tcPr>
            <w:tcW w:w="42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w:t>
            </w:r>
          </w:p>
        </w:tc>
        <w:tc>
          <w:tcPr>
            <w:tcW w:w="708"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否</w:t>
            </w:r>
          </w:p>
        </w:tc>
        <w:tc>
          <w:tcPr>
            <w:tcW w:w="1701" w:type="dxa"/>
            <w:gridSpan w:val="4"/>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r>
      <w:tr>
        <w:tblPrEx>
          <w:tblCellMar>
            <w:top w:w="0" w:type="dxa"/>
            <w:left w:w="108" w:type="dxa"/>
            <w:bottom w:w="0" w:type="dxa"/>
            <w:right w:w="108" w:type="dxa"/>
          </w:tblCellMar>
        </w:tblPrEx>
        <w:trPr>
          <w:trHeight w:val="1183" w:hRule="atLeast"/>
        </w:trPr>
        <w:tc>
          <w:tcPr>
            <w:tcW w:w="1149"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服务贸易进出口总值增速</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42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w:t>
            </w:r>
          </w:p>
        </w:tc>
        <w:tc>
          <w:tcPr>
            <w:tcW w:w="708"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38.2</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664</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否</w:t>
            </w:r>
          </w:p>
        </w:tc>
        <w:tc>
          <w:tcPr>
            <w:tcW w:w="1701" w:type="dxa"/>
            <w:gridSpan w:val="4"/>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在年中财政追加拨款支出</w:t>
            </w:r>
          </w:p>
        </w:tc>
      </w:tr>
      <w:tr>
        <w:trPr>
          <w:trHeight w:val="1076" w:hRule="atLeast"/>
        </w:trPr>
        <w:tc>
          <w:tcPr>
            <w:tcW w:w="1149"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社会消费品零售总额增速</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42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w:t>
            </w:r>
          </w:p>
        </w:tc>
        <w:tc>
          <w:tcPr>
            <w:tcW w:w="708"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48.57</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否</w:t>
            </w:r>
          </w:p>
        </w:tc>
        <w:tc>
          <w:tcPr>
            <w:tcW w:w="1701" w:type="dxa"/>
            <w:gridSpan w:val="4"/>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社会消费品零售总额同比增加15.81亿元，增加5.2%</w:t>
            </w:r>
          </w:p>
        </w:tc>
      </w:tr>
      <w:tr>
        <w:tblPrEx>
          <w:tblCellMar>
            <w:top w:w="0" w:type="dxa"/>
            <w:left w:w="108" w:type="dxa"/>
            <w:bottom w:w="0" w:type="dxa"/>
            <w:right w:w="108" w:type="dxa"/>
          </w:tblCellMar>
        </w:tblPrEx>
        <w:trPr>
          <w:trHeight w:val="748" w:hRule="atLeast"/>
        </w:trPr>
        <w:tc>
          <w:tcPr>
            <w:tcW w:w="1149"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网络零售额</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亿元</w:t>
            </w:r>
          </w:p>
        </w:tc>
        <w:tc>
          <w:tcPr>
            <w:tcW w:w="42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w:t>
            </w:r>
          </w:p>
        </w:tc>
        <w:tc>
          <w:tcPr>
            <w:tcW w:w="708"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否</w:t>
            </w:r>
          </w:p>
        </w:tc>
        <w:tc>
          <w:tcPr>
            <w:tcW w:w="1701" w:type="dxa"/>
            <w:gridSpan w:val="4"/>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r>
      <w:tr>
        <w:tblPrEx>
          <w:tblCellMar>
            <w:top w:w="0" w:type="dxa"/>
            <w:left w:w="108" w:type="dxa"/>
            <w:bottom w:w="0" w:type="dxa"/>
            <w:right w:w="108" w:type="dxa"/>
          </w:tblCellMar>
        </w:tblPrEx>
        <w:trPr>
          <w:trHeight w:val="900" w:hRule="atLeast"/>
        </w:trPr>
        <w:tc>
          <w:tcPr>
            <w:tcW w:w="1149"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新增外贸进出口资质企业</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42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w:t>
            </w:r>
          </w:p>
        </w:tc>
        <w:tc>
          <w:tcPr>
            <w:tcW w:w="708"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否</w:t>
            </w:r>
          </w:p>
        </w:tc>
        <w:tc>
          <w:tcPr>
            <w:tcW w:w="1701" w:type="dxa"/>
            <w:gridSpan w:val="4"/>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r>
      <w:tr>
        <w:tblPrEx>
          <w:tblCellMar>
            <w:top w:w="0" w:type="dxa"/>
            <w:left w:w="108" w:type="dxa"/>
            <w:bottom w:w="0" w:type="dxa"/>
            <w:right w:w="108" w:type="dxa"/>
          </w:tblCellMar>
        </w:tblPrEx>
        <w:trPr>
          <w:trHeight w:val="900" w:hRule="atLeast"/>
        </w:trPr>
        <w:tc>
          <w:tcPr>
            <w:tcW w:w="1149"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预算资金预计使用率</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42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95</w:t>
            </w:r>
          </w:p>
        </w:tc>
        <w:tc>
          <w:tcPr>
            <w:tcW w:w="708"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95</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是</w:t>
            </w:r>
          </w:p>
        </w:tc>
        <w:tc>
          <w:tcPr>
            <w:tcW w:w="1701" w:type="dxa"/>
            <w:gridSpan w:val="4"/>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r>
      <w:tr>
        <w:tblPrEx>
          <w:tblCellMar>
            <w:top w:w="0" w:type="dxa"/>
            <w:left w:w="108" w:type="dxa"/>
            <w:bottom w:w="0" w:type="dxa"/>
            <w:right w:w="108" w:type="dxa"/>
          </w:tblCellMar>
        </w:tblPrEx>
        <w:trPr>
          <w:trHeight w:val="900" w:hRule="atLeast"/>
        </w:trPr>
        <w:tc>
          <w:tcPr>
            <w:tcW w:w="1149"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部门预决算按时公开率</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42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p>
        </w:tc>
        <w:tc>
          <w:tcPr>
            <w:tcW w:w="708"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是</w:t>
            </w:r>
          </w:p>
        </w:tc>
        <w:tc>
          <w:tcPr>
            <w:tcW w:w="1701" w:type="dxa"/>
            <w:gridSpan w:val="4"/>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r>
      <w:tr>
        <w:tblPrEx>
          <w:tblCellMar>
            <w:top w:w="0" w:type="dxa"/>
            <w:left w:w="108" w:type="dxa"/>
            <w:bottom w:w="0" w:type="dxa"/>
            <w:right w:w="108" w:type="dxa"/>
          </w:tblCellMar>
        </w:tblPrEx>
        <w:trPr>
          <w:trHeight w:val="900" w:hRule="atLeast"/>
        </w:trPr>
        <w:tc>
          <w:tcPr>
            <w:tcW w:w="1149"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全年预算支出执行率</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42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95</w:t>
            </w:r>
          </w:p>
        </w:tc>
        <w:tc>
          <w:tcPr>
            <w:tcW w:w="708"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95</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是</w:t>
            </w:r>
          </w:p>
        </w:tc>
        <w:tc>
          <w:tcPr>
            <w:tcW w:w="1701" w:type="dxa"/>
            <w:gridSpan w:val="4"/>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r>
      <w:tr>
        <w:tblPrEx>
          <w:tblCellMar>
            <w:top w:w="0" w:type="dxa"/>
            <w:left w:w="108" w:type="dxa"/>
            <w:bottom w:w="0" w:type="dxa"/>
            <w:right w:w="108" w:type="dxa"/>
          </w:tblCellMar>
        </w:tblPrEx>
        <w:trPr>
          <w:trHeight w:val="900" w:hRule="atLeast"/>
        </w:trPr>
        <w:tc>
          <w:tcPr>
            <w:tcW w:w="1149"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三季度预算执行进度</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42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w:t>
            </w:r>
          </w:p>
        </w:tc>
        <w:tc>
          <w:tcPr>
            <w:tcW w:w="708"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是</w:t>
            </w:r>
          </w:p>
        </w:tc>
        <w:tc>
          <w:tcPr>
            <w:tcW w:w="1701" w:type="dxa"/>
            <w:gridSpan w:val="4"/>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r>
      <w:tr>
        <w:tblPrEx>
          <w:tblCellMar>
            <w:top w:w="0" w:type="dxa"/>
            <w:left w:w="108" w:type="dxa"/>
            <w:bottom w:w="0" w:type="dxa"/>
            <w:right w:w="108" w:type="dxa"/>
          </w:tblCellMar>
        </w:tblPrEx>
        <w:trPr>
          <w:trHeight w:val="900" w:hRule="atLeast"/>
        </w:trPr>
        <w:tc>
          <w:tcPr>
            <w:tcW w:w="1149"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服务企业对象满意度</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42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90</w:t>
            </w:r>
          </w:p>
        </w:tc>
        <w:tc>
          <w:tcPr>
            <w:tcW w:w="708"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90</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否</w:t>
            </w:r>
          </w:p>
        </w:tc>
        <w:tc>
          <w:tcPr>
            <w:tcW w:w="1701" w:type="dxa"/>
            <w:gridSpan w:val="4"/>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r>
      <w:tr>
        <w:tblPrEx>
          <w:tblCellMar>
            <w:top w:w="0" w:type="dxa"/>
            <w:left w:w="108" w:type="dxa"/>
            <w:bottom w:w="0" w:type="dxa"/>
            <w:right w:w="108" w:type="dxa"/>
          </w:tblCellMar>
        </w:tblPrEx>
        <w:trPr>
          <w:trHeight w:val="900" w:hRule="atLeast"/>
        </w:trPr>
        <w:tc>
          <w:tcPr>
            <w:tcW w:w="1149"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企业费用补助额</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万元</w:t>
            </w:r>
          </w:p>
        </w:tc>
        <w:tc>
          <w:tcPr>
            <w:tcW w:w="42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1300</w:t>
            </w:r>
          </w:p>
        </w:tc>
        <w:tc>
          <w:tcPr>
            <w:tcW w:w="708"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1300</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w:t>
            </w:r>
          </w:p>
        </w:tc>
        <w:tc>
          <w:tcPr>
            <w:tcW w:w="56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是</w:t>
            </w:r>
          </w:p>
        </w:tc>
        <w:tc>
          <w:tcPr>
            <w:tcW w:w="1701" w:type="dxa"/>
            <w:gridSpan w:val="4"/>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r>
    </w:tbl>
    <w:p>
      <w:pPr>
        <w:pStyle w:val="12"/>
        <w:keepNext w:val="0"/>
        <w:keepLines w:val="0"/>
        <w:pageBreakBefore w:val="0"/>
        <w:widowControl/>
        <w:kinsoku/>
        <w:overflowPunct/>
        <w:topLinePunct w:val="0"/>
        <w:autoSpaceDN/>
        <w:bidi w:val="0"/>
        <w:adjustRightInd/>
        <w:spacing w:before="0" w:beforeAutospacing="0" w:afterAutospacing="0" w:line="594" w:lineRule="exac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INCLUDEPICTURE  "C:\\KSVDUS~1\\Users\\ADMINI~1\\AppData\\Local\\Temp\\1335bc9cbe6d457987858077ced446ae\\Users\\215\\AppData\\Local\\Temp\\~tmp{171f5b8d-f314-409d-80c2-590436aac052}67358.files\\~tmp{171f5b8d-f314-409d-80c2-590436aac052}673587679.png" \* MERGEFORMATINET </w:instrText>
      </w:r>
      <w:r>
        <w:rPr>
          <w:rFonts w:hint="default" w:ascii="Times New Roman" w:hAnsi="Times New Roman" w:eastAsia="方正仿宋_GBK" w:cs="Times New Roman"/>
          <w:sz w:val="32"/>
          <w:szCs w:val="32"/>
        </w:rPr>
        <w:fldChar w:fldCharType="end"/>
      </w:r>
    </w:p>
    <w:tbl>
      <w:tblPr>
        <w:tblStyle w:val="7"/>
        <w:tblW w:w="8379" w:type="dxa"/>
        <w:tblInd w:w="93" w:type="dxa"/>
        <w:tblLayout w:type="fixed"/>
        <w:tblCellMar>
          <w:top w:w="0" w:type="dxa"/>
          <w:left w:w="108" w:type="dxa"/>
          <w:bottom w:w="0" w:type="dxa"/>
          <w:right w:w="108" w:type="dxa"/>
        </w:tblCellMar>
      </w:tblPr>
      <w:tblGrid>
        <w:gridCol w:w="724"/>
        <w:gridCol w:w="142"/>
        <w:gridCol w:w="142"/>
        <w:gridCol w:w="567"/>
        <w:gridCol w:w="141"/>
        <w:gridCol w:w="567"/>
        <w:gridCol w:w="145"/>
        <w:gridCol w:w="139"/>
        <w:gridCol w:w="567"/>
        <w:gridCol w:w="850"/>
        <w:gridCol w:w="567"/>
        <w:gridCol w:w="164"/>
        <w:gridCol w:w="687"/>
        <w:gridCol w:w="283"/>
        <w:gridCol w:w="530"/>
        <w:gridCol w:w="179"/>
        <w:gridCol w:w="425"/>
        <w:gridCol w:w="284"/>
        <w:gridCol w:w="283"/>
        <w:gridCol w:w="142"/>
        <w:gridCol w:w="284"/>
        <w:gridCol w:w="567"/>
      </w:tblGrid>
      <w:tr>
        <w:tblPrEx>
          <w:tblCellMar>
            <w:top w:w="0" w:type="dxa"/>
            <w:left w:w="108" w:type="dxa"/>
            <w:bottom w:w="0" w:type="dxa"/>
            <w:right w:w="108" w:type="dxa"/>
          </w:tblCellMar>
        </w:tblPrEx>
        <w:trPr>
          <w:trHeight w:val="840" w:hRule="atLeast"/>
        </w:trPr>
        <w:tc>
          <w:tcPr>
            <w:tcW w:w="837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微软雅黑" w:cs="Times New Roman"/>
                <w:b/>
                <w:bCs/>
                <w:color w:val="000000"/>
                <w:sz w:val="40"/>
                <w:szCs w:val="40"/>
              </w:rPr>
            </w:pPr>
            <w:r>
              <w:rPr>
                <w:rFonts w:hint="default" w:ascii="Times New Roman" w:hAnsi="Times New Roman" w:eastAsia="微软雅黑" w:cs="Times New Roman"/>
                <w:b/>
                <w:bCs/>
                <w:color w:val="000000"/>
                <w:sz w:val="40"/>
                <w:szCs w:val="40"/>
              </w:rPr>
              <w:t>2024年度二级项目绩效自评表</w:t>
            </w:r>
          </w:p>
        </w:tc>
      </w:tr>
      <w:tr>
        <w:tblPrEx>
          <w:tblCellMar>
            <w:top w:w="0" w:type="dxa"/>
            <w:left w:w="108" w:type="dxa"/>
            <w:bottom w:w="0" w:type="dxa"/>
            <w:right w:w="108" w:type="dxa"/>
          </w:tblCellMar>
        </w:tblPrEx>
        <w:trPr>
          <w:trHeight w:val="840" w:hRule="atLeast"/>
        </w:trPr>
        <w:tc>
          <w:tcPr>
            <w:tcW w:w="837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b/>
                <w:bCs/>
                <w:color w:val="DA3232"/>
                <w:sz w:val="20"/>
                <w:szCs w:val="20"/>
              </w:rPr>
            </w:pPr>
            <w:r>
              <w:rPr>
                <w:rFonts w:hint="default" w:ascii="Times New Roman" w:hAnsi="Times New Roman" w:cs="Times New Roman"/>
                <w:b/>
                <w:bCs/>
                <w:color w:val="000000" w:themeColor="text1"/>
                <w:sz w:val="20"/>
                <w:szCs w:val="20"/>
              </w:rPr>
              <w:t>状态：绩效审核已审</w:t>
            </w:r>
          </w:p>
        </w:tc>
      </w:tr>
      <w:tr>
        <w:tblPrEx>
          <w:tblCellMar>
            <w:top w:w="0" w:type="dxa"/>
            <w:left w:w="108" w:type="dxa"/>
            <w:bottom w:w="0" w:type="dxa"/>
            <w:right w:w="108" w:type="dxa"/>
          </w:tblCellMar>
        </w:tblPrEx>
        <w:trPr>
          <w:trHeight w:val="84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项目名称：</w:t>
            </w:r>
          </w:p>
        </w:tc>
        <w:tc>
          <w:tcPr>
            <w:tcW w:w="992" w:type="dxa"/>
            <w:gridSpan w:val="4"/>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中央服务业发展资金(直达资金）</w:t>
            </w:r>
          </w:p>
        </w:tc>
        <w:tc>
          <w:tcPr>
            <w:tcW w:w="851"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项目编码：</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50023122T000002053449</w:t>
            </w:r>
          </w:p>
        </w:tc>
        <w:tc>
          <w:tcPr>
            <w:tcW w:w="1418"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自评总分：</w:t>
            </w:r>
          </w:p>
        </w:tc>
        <w:tc>
          <w:tcPr>
            <w:tcW w:w="992"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100.00</w:t>
            </w:r>
          </w:p>
        </w:tc>
        <w:tc>
          <w:tcPr>
            <w:tcW w:w="992"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w:t>
            </w:r>
          </w:p>
        </w:tc>
        <w:tc>
          <w:tcPr>
            <w:tcW w:w="993"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r>
      <w:tr>
        <w:tblPrEx>
          <w:tblCellMar>
            <w:top w:w="0" w:type="dxa"/>
            <w:left w:w="108" w:type="dxa"/>
            <w:bottom w:w="0" w:type="dxa"/>
            <w:right w:w="108" w:type="dxa"/>
          </w:tblCellMar>
        </w:tblPrEx>
        <w:trPr>
          <w:trHeight w:val="84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项目主管部门：</w:t>
            </w:r>
          </w:p>
        </w:tc>
        <w:tc>
          <w:tcPr>
            <w:tcW w:w="99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502-垫江县商务委员会</w:t>
            </w:r>
          </w:p>
        </w:tc>
        <w:tc>
          <w:tcPr>
            <w:tcW w:w="851"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财政归口处室：</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008-企业科</w:t>
            </w:r>
          </w:p>
        </w:tc>
        <w:tc>
          <w:tcPr>
            <w:tcW w:w="1418"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部门联系人：</w:t>
            </w:r>
          </w:p>
        </w:tc>
        <w:tc>
          <w:tcPr>
            <w:tcW w:w="992"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Times New Roman" w:hAnsi="Times New Roman" w:eastAsia="宋体" w:cs="Times New Roman"/>
                <w:color w:val="000000"/>
                <w:sz w:val="20"/>
                <w:szCs w:val="20"/>
                <w:lang w:eastAsia="zh-CN"/>
              </w:rPr>
            </w:pPr>
            <w:r>
              <w:rPr>
                <w:rFonts w:hint="default" w:ascii="Times New Roman" w:hAnsi="Times New Roman" w:cs="Times New Roman"/>
                <w:color w:val="000000"/>
                <w:sz w:val="20"/>
                <w:szCs w:val="20"/>
              </w:rPr>
              <w:t>彭</w:t>
            </w:r>
            <w:r>
              <w:rPr>
                <w:rFonts w:hint="eastAsia" w:ascii="Times New Roman" w:hAnsi="Times New Roman" w:cs="Times New Roman"/>
                <w:color w:val="000000"/>
                <w:sz w:val="20"/>
                <w:szCs w:val="20"/>
                <w:lang w:val="en-US" w:eastAsia="zh-CN"/>
              </w:rPr>
              <w:t>老师</w:t>
            </w:r>
          </w:p>
        </w:tc>
        <w:tc>
          <w:tcPr>
            <w:tcW w:w="992"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联系电话：</w:t>
            </w:r>
          </w:p>
        </w:tc>
        <w:tc>
          <w:tcPr>
            <w:tcW w:w="993"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eastAsia" w:ascii="Times New Roman" w:hAnsi="Times New Roman" w:cs="Times New Roman"/>
                <w:color w:val="000000"/>
                <w:sz w:val="20"/>
                <w:szCs w:val="20"/>
                <w:lang w:val="en-US" w:eastAsia="zh-CN"/>
              </w:rPr>
              <w:t>023-</w:t>
            </w:r>
            <w:r>
              <w:rPr>
                <w:rFonts w:hint="default" w:ascii="Times New Roman" w:hAnsi="Times New Roman" w:cs="Times New Roman"/>
                <w:color w:val="000000"/>
                <w:sz w:val="20"/>
                <w:szCs w:val="20"/>
              </w:rPr>
              <w:t>74512595</w:t>
            </w:r>
          </w:p>
        </w:tc>
      </w:tr>
      <w:tr>
        <w:tblPrEx>
          <w:tblCellMar>
            <w:top w:w="0" w:type="dxa"/>
            <w:left w:w="108" w:type="dxa"/>
            <w:bottom w:w="0" w:type="dxa"/>
            <w:right w:w="108" w:type="dxa"/>
          </w:tblCellMar>
        </w:tblPrEx>
        <w:trPr>
          <w:trHeight w:val="840" w:hRule="atLeast"/>
        </w:trPr>
        <w:tc>
          <w:tcPr>
            <w:tcW w:w="837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7F7F7F"/>
                <w:sz w:val="20"/>
                <w:szCs w:val="20"/>
              </w:rPr>
            </w:pPr>
            <w:r>
              <w:rPr>
                <w:rFonts w:hint="default" w:ascii="Times New Roman" w:hAnsi="Times New Roman" w:cs="Times New Roman"/>
                <w:b/>
                <w:bCs/>
                <w:color w:val="7F7F7F"/>
                <w:sz w:val="20"/>
                <w:szCs w:val="20"/>
              </w:rPr>
              <w:t>资金情况</w:t>
            </w:r>
          </w:p>
        </w:tc>
      </w:tr>
      <w:tr>
        <w:tblPrEx>
          <w:tblCellMar>
            <w:top w:w="0" w:type="dxa"/>
            <w:left w:w="108" w:type="dxa"/>
            <w:bottom w:w="0" w:type="dxa"/>
            <w:right w:w="108" w:type="dxa"/>
          </w:tblCellMar>
        </w:tblPrEx>
        <w:trPr>
          <w:trHeight w:val="840" w:hRule="atLeast"/>
        </w:trPr>
        <w:tc>
          <w:tcPr>
            <w:tcW w:w="1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c>
          <w:tcPr>
            <w:tcW w:w="1559"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年初预算数</w:t>
            </w:r>
          </w:p>
        </w:tc>
        <w:tc>
          <w:tcPr>
            <w:tcW w:w="1984"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全年（调整）预算数</w:t>
            </w:r>
          </w:p>
        </w:tc>
        <w:tc>
          <w:tcPr>
            <w:tcW w:w="1664"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全年执行数</w:t>
            </w:r>
          </w:p>
        </w:tc>
        <w:tc>
          <w:tcPr>
            <w:tcW w:w="60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执行率</w:t>
            </w:r>
          </w:p>
        </w:tc>
        <w:tc>
          <w:tcPr>
            <w:tcW w:w="709"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执行率权重</w:t>
            </w:r>
          </w:p>
        </w:tc>
        <w:tc>
          <w:tcPr>
            <w:tcW w:w="85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执行率得分</w:t>
            </w:r>
          </w:p>
        </w:tc>
      </w:tr>
      <w:tr>
        <w:tblPrEx>
          <w:tblCellMar>
            <w:top w:w="0" w:type="dxa"/>
            <w:left w:w="108" w:type="dxa"/>
            <w:bottom w:w="0" w:type="dxa"/>
            <w:right w:w="108" w:type="dxa"/>
          </w:tblCellMar>
        </w:tblPrEx>
        <w:trPr>
          <w:trHeight w:val="840" w:hRule="atLeast"/>
        </w:trPr>
        <w:tc>
          <w:tcPr>
            <w:tcW w:w="724" w:type="dxa"/>
            <w:tcBorders>
              <w:top w:val="nil"/>
              <w:left w:val="single" w:color="auto" w:sz="4" w:space="0"/>
              <w:bottom w:val="single" w:color="auto" w:sz="4" w:space="0"/>
              <w:right w:val="nil"/>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年度总金额</w:t>
            </w:r>
          </w:p>
        </w:tc>
        <w:tc>
          <w:tcPr>
            <w:tcW w:w="28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c>
          <w:tcPr>
            <w:tcW w:w="1559" w:type="dxa"/>
            <w:gridSpan w:val="5"/>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9,050,000.00 </w:t>
            </w:r>
          </w:p>
        </w:tc>
        <w:tc>
          <w:tcPr>
            <w:tcW w:w="1984"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10,924,100.56 </w:t>
            </w:r>
          </w:p>
        </w:tc>
        <w:tc>
          <w:tcPr>
            <w:tcW w:w="1664" w:type="dxa"/>
            <w:gridSpan w:val="4"/>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10,924,100.56 </w:t>
            </w:r>
          </w:p>
        </w:tc>
        <w:tc>
          <w:tcPr>
            <w:tcW w:w="60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c>
          <w:tcPr>
            <w:tcW w:w="709"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c>
          <w:tcPr>
            <w:tcW w:w="85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　</w:t>
            </w:r>
          </w:p>
        </w:tc>
      </w:tr>
      <w:tr>
        <w:tblPrEx>
          <w:tblCellMar>
            <w:top w:w="0" w:type="dxa"/>
            <w:left w:w="108" w:type="dxa"/>
            <w:bottom w:w="0" w:type="dxa"/>
            <w:right w:w="108" w:type="dxa"/>
          </w:tblCellMar>
        </w:tblPrEx>
        <w:trPr>
          <w:trHeight w:val="840" w:hRule="atLeast"/>
        </w:trPr>
        <w:tc>
          <w:tcPr>
            <w:tcW w:w="724" w:type="dxa"/>
            <w:tcBorders>
              <w:top w:val="nil"/>
              <w:left w:val="single" w:color="auto" w:sz="4" w:space="0"/>
              <w:bottom w:val="single" w:color="auto" w:sz="4" w:space="0"/>
              <w:right w:val="nil"/>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其中：财政拨款</w:t>
            </w:r>
          </w:p>
        </w:tc>
        <w:tc>
          <w:tcPr>
            <w:tcW w:w="28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c>
          <w:tcPr>
            <w:tcW w:w="1559" w:type="dxa"/>
            <w:gridSpan w:val="5"/>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9,050,000.00 </w:t>
            </w:r>
          </w:p>
        </w:tc>
        <w:tc>
          <w:tcPr>
            <w:tcW w:w="1984"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10,924,100.56 </w:t>
            </w:r>
          </w:p>
        </w:tc>
        <w:tc>
          <w:tcPr>
            <w:tcW w:w="1664" w:type="dxa"/>
            <w:gridSpan w:val="4"/>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10,924,100.56 </w:t>
            </w:r>
          </w:p>
        </w:tc>
        <w:tc>
          <w:tcPr>
            <w:tcW w:w="60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709"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p>
        </w:tc>
        <w:tc>
          <w:tcPr>
            <w:tcW w:w="85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 xml:space="preserve">10.00 </w:t>
            </w:r>
          </w:p>
        </w:tc>
      </w:tr>
      <w:tr>
        <w:tblPrEx>
          <w:tblCellMar>
            <w:top w:w="0" w:type="dxa"/>
            <w:left w:w="108" w:type="dxa"/>
            <w:bottom w:w="0" w:type="dxa"/>
            <w:right w:w="108" w:type="dxa"/>
          </w:tblCellMar>
        </w:tblPrEx>
        <w:trPr>
          <w:trHeight w:val="840" w:hRule="atLeast"/>
        </w:trPr>
        <w:tc>
          <w:tcPr>
            <w:tcW w:w="724" w:type="dxa"/>
            <w:tcBorders>
              <w:top w:val="nil"/>
              <w:left w:val="single" w:color="auto" w:sz="4" w:space="0"/>
              <w:bottom w:val="single" w:color="auto" w:sz="4" w:space="0"/>
              <w:right w:val="nil"/>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一般公共预算</w:t>
            </w:r>
          </w:p>
        </w:tc>
        <w:tc>
          <w:tcPr>
            <w:tcW w:w="28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c>
          <w:tcPr>
            <w:tcW w:w="1559" w:type="dxa"/>
            <w:gridSpan w:val="5"/>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9,050,000.00 </w:t>
            </w:r>
          </w:p>
        </w:tc>
        <w:tc>
          <w:tcPr>
            <w:tcW w:w="1984"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10,924,100.56 </w:t>
            </w:r>
          </w:p>
        </w:tc>
        <w:tc>
          <w:tcPr>
            <w:tcW w:w="1664" w:type="dxa"/>
            <w:gridSpan w:val="4"/>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10,924,100.56 </w:t>
            </w:r>
          </w:p>
        </w:tc>
        <w:tc>
          <w:tcPr>
            <w:tcW w:w="60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709"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c>
          <w:tcPr>
            <w:tcW w:w="85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　</w:t>
            </w:r>
          </w:p>
        </w:tc>
      </w:tr>
      <w:tr>
        <w:tblPrEx>
          <w:tblCellMar>
            <w:top w:w="0" w:type="dxa"/>
            <w:left w:w="108" w:type="dxa"/>
            <w:bottom w:w="0" w:type="dxa"/>
            <w:right w:w="108" w:type="dxa"/>
          </w:tblCellMar>
        </w:tblPrEx>
        <w:trPr>
          <w:trHeight w:val="840" w:hRule="atLeast"/>
        </w:trPr>
        <w:tc>
          <w:tcPr>
            <w:tcW w:w="837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7F7F7F"/>
                <w:sz w:val="20"/>
                <w:szCs w:val="20"/>
              </w:rPr>
            </w:pPr>
            <w:r>
              <w:rPr>
                <w:rFonts w:hint="default" w:ascii="Times New Roman" w:hAnsi="Times New Roman" w:cs="Times New Roman"/>
                <w:b/>
                <w:bCs/>
                <w:color w:val="7F7F7F"/>
                <w:sz w:val="20"/>
                <w:szCs w:val="20"/>
              </w:rPr>
              <w:t>绩效目标</w:t>
            </w:r>
          </w:p>
        </w:tc>
      </w:tr>
      <w:tr>
        <w:tblPrEx>
          <w:tblCellMar>
            <w:top w:w="0" w:type="dxa"/>
            <w:left w:w="108" w:type="dxa"/>
            <w:bottom w:w="0" w:type="dxa"/>
            <w:right w:w="108" w:type="dxa"/>
          </w:tblCellMar>
        </w:tblPrEx>
        <w:trPr>
          <w:trHeight w:val="840" w:hRule="atLeast"/>
        </w:trPr>
        <w:tc>
          <w:tcPr>
            <w:tcW w:w="242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年初绩效目标</w:t>
            </w:r>
          </w:p>
        </w:tc>
        <w:tc>
          <w:tcPr>
            <w:tcW w:w="3787"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全年（调整）绩效目标</w:t>
            </w:r>
          </w:p>
        </w:tc>
        <w:tc>
          <w:tcPr>
            <w:tcW w:w="2164"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全年目标实际完成情况</w:t>
            </w:r>
          </w:p>
        </w:tc>
      </w:tr>
      <w:tr>
        <w:tblPrEx>
          <w:tblCellMar>
            <w:top w:w="0" w:type="dxa"/>
            <w:left w:w="108" w:type="dxa"/>
            <w:bottom w:w="0" w:type="dxa"/>
            <w:right w:w="108" w:type="dxa"/>
          </w:tblCellMar>
        </w:tblPrEx>
        <w:trPr>
          <w:trHeight w:val="840" w:hRule="atLeast"/>
        </w:trPr>
        <w:tc>
          <w:tcPr>
            <w:tcW w:w="2428" w:type="dxa"/>
            <w:gridSpan w:val="7"/>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积极支持全县商贸企业发展壮大。</w:t>
            </w:r>
          </w:p>
        </w:tc>
        <w:tc>
          <w:tcPr>
            <w:tcW w:w="3787" w:type="dxa"/>
            <w:gridSpan w:val="8"/>
            <w:tcBorders>
              <w:top w:val="single" w:color="auto" w:sz="4" w:space="0"/>
              <w:left w:val="nil"/>
              <w:bottom w:val="single" w:color="auto" w:sz="4" w:space="0"/>
              <w:right w:val="single" w:color="auto" w:sz="4" w:space="0"/>
            </w:tcBorders>
            <w:shd w:val="clear" w:color="auto" w:fill="auto"/>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积极支持全县商贸企业发展壮大。</w:t>
            </w:r>
          </w:p>
        </w:tc>
        <w:tc>
          <w:tcPr>
            <w:tcW w:w="2164" w:type="dxa"/>
            <w:gridSpan w:val="7"/>
            <w:tcBorders>
              <w:top w:val="single" w:color="auto" w:sz="4" w:space="0"/>
              <w:left w:val="nil"/>
              <w:bottom w:val="single" w:color="auto" w:sz="4" w:space="0"/>
              <w:right w:val="single" w:color="auto" w:sz="4" w:space="0"/>
            </w:tcBorders>
            <w:shd w:val="clear" w:color="auto" w:fill="auto"/>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完成全部工作任务，支持了全县商贸企业发展壮大。</w:t>
            </w:r>
          </w:p>
        </w:tc>
      </w:tr>
      <w:tr>
        <w:trPr>
          <w:trHeight w:val="840" w:hRule="atLeast"/>
        </w:trPr>
        <w:tc>
          <w:tcPr>
            <w:tcW w:w="837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7F7F7F"/>
                <w:sz w:val="20"/>
                <w:szCs w:val="20"/>
              </w:rPr>
            </w:pPr>
            <w:r>
              <w:rPr>
                <w:rFonts w:hint="default" w:ascii="Times New Roman" w:hAnsi="Times New Roman" w:cs="Times New Roman"/>
                <w:b/>
                <w:bCs/>
                <w:color w:val="7F7F7F"/>
                <w:sz w:val="20"/>
                <w:szCs w:val="20"/>
              </w:rPr>
              <w:t>绩效指标</w:t>
            </w:r>
          </w:p>
        </w:tc>
      </w:tr>
      <w:tr>
        <w:tblPrEx>
          <w:tblCellMar>
            <w:top w:w="0" w:type="dxa"/>
            <w:left w:w="108" w:type="dxa"/>
            <w:bottom w:w="0" w:type="dxa"/>
            <w:right w:w="108" w:type="dxa"/>
          </w:tblCellMar>
        </w:tblPrEx>
        <w:trPr>
          <w:trHeight w:val="840" w:hRule="atLeast"/>
        </w:trPr>
        <w:tc>
          <w:tcPr>
            <w:tcW w:w="866"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指标名称</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计量单位</w:t>
            </w:r>
          </w:p>
        </w:tc>
        <w:tc>
          <w:tcPr>
            <w:tcW w:w="708"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指标性质</w:t>
            </w:r>
          </w:p>
        </w:tc>
        <w:tc>
          <w:tcPr>
            <w:tcW w:w="851"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指标值</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全年完成值</w:t>
            </w:r>
          </w:p>
        </w:tc>
        <w:tc>
          <w:tcPr>
            <w:tcW w:w="73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偏离度（%）</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得分系数（%）</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指标权重</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指标得分</w:t>
            </w:r>
          </w:p>
        </w:tc>
        <w:tc>
          <w:tcPr>
            <w:tcW w:w="709"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是否核心指标</w:t>
            </w:r>
          </w:p>
        </w:tc>
        <w:tc>
          <w:tcPr>
            <w:tcW w:w="5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说明</w:t>
            </w:r>
          </w:p>
        </w:tc>
      </w:tr>
      <w:tr>
        <w:tblPrEx>
          <w:tblCellMar>
            <w:top w:w="0" w:type="dxa"/>
            <w:left w:w="108" w:type="dxa"/>
            <w:bottom w:w="0" w:type="dxa"/>
            <w:right w:w="108" w:type="dxa"/>
          </w:tblCellMar>
        </w:tblPrEx>
        <w:trPr>
          <w:trHeight w:val="840" w:hRule="atLeast"/>
        </w:trPr>
        <w:tc>
          <w:tcPr>
            <w:tcW w:w="866"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补贴企业</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个</w:t>
            </w:r>
          </w:p>
        </w:tc>
        <w:tc>
          <w:tcPr>
            <w:tcW w:w="708"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851"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p>
        </w:tc>
        <w:tc>
          <w:tcPr>
            <w:tcW w:w="73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p>
        </w:tc>
        <w:tc>
          <w:tcPr>
            <w:tcW w:w="709"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否</w:t>
            </w:r>
          </w:p>
        </w:tc>
        <w:tc>
          <w:tcPr>
            <w:tcW w:w="5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r>
      <w:tr>
        <w:tblPrEx>
          <w:tblCellMar>
            <w:top w:w="0" w:type="dxa"/>
            <w:left w:w="108" w:type="dxa"/>
            <w:bottom w:w="0" w:type="dxa"/>
            <w:right w:w="108" w:type="dxa"/>
          </w:tblCellMar>
        </w:tblPrEx>
        <w:trPr>
          <w:trHeight w:val="840" w:hRule="atLeast"/>
        </w:trPr>
        <w:tc>
          <w:tcPr>
            <w:tcW w:w="866"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项目达标率</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708"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851"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73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w:t>
            </w:r>
          </w:p>
        </w:tc>
        <w:tc>
          <w:tcPr>
            <w:tcW w:w="709"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否</w:t>
            </w:r>
          </w:p>
        </w:tc>
        <w:tc>
          <w:tcPr>
            <w:tcW w:w="5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r>
      <w:tr>
        <w:tblPrEx>
          <w:tblCellMar>
            <w:top w:w="0" w:type="dxa"/>
            <w:left w:w="108" w:type="dxa"/>
            <w:bottom w:w="0" w:type="dxa"/>
            <w:right w:w="108" w:type="dxa"/>
          </w:tblCellMar>
        </w:tblPrEx>
        <w:trPr>
          <w:trHeight w:val="840" w:hRule="atLeast"/>
        </w:trPr>
        <w:tc>
          <w:tcPr>
            <w:tcW w:w="866"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项目完成进度</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w:t>
            </w:r>
          </w:p>
        </w:tc>
        <w:tc>
          <w:tcPr>
            <w:tcW w:w="708"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851"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w:t>
            </w:r>
          </w:p>
        </w:tc>
        <w:tc>
          <w:tcPr>
            <w:tcW w:w="73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w:t>
            </w:r>
          </w:p>
        </w:tc>
        <w:tc>
          <w:tcPr>
            <w:tcW w:w="709"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否</w:t>
            </w:r>
          </w:p>
        </w:tc>
        <w:tc>
          <w:tcPr>
            <w:tcW w:w="5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r>
      <w:tr>
        <w:tblPrEx>
          <w:tblCellMar>
            <w:top w:w="0" w:type="dxa"/>
            <w:left w:w="108" w:type="dxa"/>
            <w:bottom w:w="0" w:type="dxa"/>
            <w:right w:w="108" w:type="dxa"/>
          </w:tblCellMar>
        </w:tblPrEx>
        <w:trPr>
          <w:trHeight w:val="840" w:hRule="atLeast"/>
        </w:trPr>
        <w:tc>
          <w:tcPr>
            <w:tcW w:w="866"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拓展企业发展</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c>
          <w:tcPr>
            <w:tcW w:w="708"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定性</w:t>
            </w:r>
          </w:p>
        </w:tc>
        <w:tc>
          <w:tcPr>
            <w:tcW w:w="851"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有效提升</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w:t>
            </w:r>
          </w:p>
        </w:tc>
        <w:tc>
          <w:tcPr>
            <w:tcW w:w="73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w:t>
            </w:r>
          </w:p>
        </w:tc>
        <w:tc>
          <w:tcPr>
            <w:tcW w:w="709"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是</w:t>
            </w:r>
          </w:p>
        </w:tc>
        <w:tc>
          <w:tcPr>
            <w:tcW w:w="5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r>
      <w:tr>
        <w:tblPrEx>
          <w:tblCellMar>
            <w:top w:w="0" w:type="dxa"/>
            <w:left w:w="108" w:type="dxa"/>
            <w:bottom w:w="0" w:type="dxa"/>
            <w:right w:w="108" w:type="dxa"/>
          </w:tblCellMar>
        </w:tblPrEx>
        <w:trPr>
          <w:trHeight w:val="975" w:hRule="atLeast"/>
        </w:trPr>
        <w:tc>
          <w:tcPr>
            <w:tcW w:w="866"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服务对象满意度</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708"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851"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w:t>
            </w:r>
          </w:p>
        </w:tc>
        <w:tc>
          <w:tcPr>
            <w:tcW w:w="73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p>
        </w:tc>
        <w:tc>
          <w:tcPr>
            <w:tcW w:w="709"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否</w:t>
            </w:r>
          </w:p>
        </w:tc>
        <w:tc>
          <w:tcPr>
            <w:tcW w:w="5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r>
      <w:tr>
        <w:tblPrEx>
          <w:tblCellMar>
            <w:top w:w="0" w:type="dxa"/>
            <w:left w:w="108" w:type="dxa"/>
            <w:bottom w:w="0" w:type="dxa"/>
            <w:right w:w="108" w:type="dxa"/>
          </w:tblCellMar>
        </w:tblPrEx>
        <w:trPr>
          <w:trHeight w:val="840" w:hRule="atLeast"/>
        </w:trPr>
        <w:tc>
          <w:tcPr>
            <w:tcW w:w="866"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补助资金</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万元</w:t>
            </w:r>
          </w:p>
        </w:tc>
        <w:tc>
          <w:tcPr>
            <w:tcW w:w="708"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851"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10924.1</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10924.1</w:t>
            </w:r>
          </w:p>
        </w:tc>
        <w:tc>
          <w:tcPr>
            <w:tcW w:w="73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p>
        </w:tc>
        <w:tc>
          <w:tcPr>
            <w:tcW w:w="70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p>
        </w:tc>
        <w:tc>
          <w:tcPr>
            <w:tcW w:w="709"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否</w:t>
            </w:r>
          </w:p>
        </w:tc>
        <w:tc>
          <w:tcPr>
            <w:tcW w:w="5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r>
    </w:tbl>
    <w:p>
      <w:pPr>
        <w:pStyle w:val="12"/>
        <w:keepNext w:val="0"/>
        <w:keepLines w:val="0"/>
        <w:pageBreakBefore w:val="0"/>
        <w:widowControl/>
        <w:kinsoku/>
        <w:overflowPunct/>
        <w:topLinePunct w:val="0"/>
        <w:autoSpaceDN/>
        <w:bidi w:val="0"/>
        <w:adjustRightInd/>
        <w:spacing w:before="0" w:beforeAutospacing="0" w:afterAutospacing="0" w:line="594" w:lineRule="exact"/>
        <w:rPr>
          <w:rFonts w:hint="default" w:ascii="Times New Roman" w:hAnsi="Times New Roman" w:eastAsia="方正仿宋_GBK" w:cs="Times New Roman"/>
          <w:sz w:val="32"/>
          <w:szCs w:val="32"/>
          <w:shd w:val="clear" w:color="auto" w:fill="FFFFFF"/>
        </w:rPr>
      </w:pP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416" w:firstLineChars="13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（二）部门绩效评价情况</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579" w:firstLineChars="181"/>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我部门未组织开展绩效评价。</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416" w:firstLineChars="130"/>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（三）财政绩效评价情况</w:t>
      </w:r>
    </w:p>
    <w:p>
      <w:pPr>
        <w:pStyle w:val="16"/>
        <w:keepNext w:val="0"/>
        <w:keepLines w:val="0"/>
        <w:pageBreakBefore w:val="0"/>
        <w:widowControl/>
        <w:kinsoku/>
        <w:overflowPunct/>
        <w:topLinePunct w:val="0"/>
        <w:autoSpaceDE w:val="0"/>
        <w:autoSpaceDN/>
        <w:bidi w:val="0"/>
        <w:adjustRightInd/>
        <w:spacing w:beforeAutospacing="0" w:afterAutospacing="0"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县财政局未委托第三方对我部门开展绩效评价。</w:t>
      </w:r>
    </w:p>
    <w:p>
      <w:pPr>
        <w:pStyle w:val="12"/>
        <w:keepNext w:val="0"/>
        <w:keepLines w:val="0"/>
        <w:pageBreakBefore w:val="0"/>
        <w:widowControl/>
        <w:kinsoku/>
        <w:overflowPunct/>
        <w:topLinePunct w:val="0"/>
        <w:autoSpaceDE w:val="0"/>
        <w:autoSpaceDN/>
        <w:bidi w:val="0"/>
        <w:adjustRightInd/>
        <w:spacing w:before="0" w:beforeAutospacing="0" w:after="0" w:afterAutospacing="0" w:line="594" w:lineRule="exact"/>
        <w:rPr>
          <w:rFonts w:hint="eastAsia" w:ascii="方正黑体_GBK" w:hAnsi="方正黑体_GBK" w:eastAsia="方正黑体_GBK" w:cs="方正黑体_GBK"/>
          <w:b w:val="0"/>
          <w:bCs/>
          <w:sz w:val="32"/>
          <w:szCs w:val="32"/>
        </w:rPr>
      </w:pPr>
      <w:r>
        <w:rPr>
          <w:rStyle w:val="10"/>
          <w:rFonts w:hint="default" w:ascii="Times New Roman" w:hAnsi="Times New Roman" w:eastAsia="黑体" w:cs="Times New Roman"/>
          <w:sz w:val="32"/>
          <w:szCs w:val="32"/>
          <w:shd w:val="clear" w:color="auto" w:fill="FFFFFF"/>
        </w:rPr>
        <w:t xml:space="preserve"> </w:t>
      </w:r>
      <w:r>
        <w:rPr>
          <w:rStyle w:val="10"/>
          <w:rFonts w:hint="eastAsia" w:ascii="Times New Roman" w:hAnsi="Times New Roman" w:eastAsia="黑体" w:cs="Times New Roman"/>
          <w:sz w:val="32"/>
          <w:szCs w:val="32"/>
          <w:shd w:val="clear" w:color="auto" w:fill="FFFFFF"/>
          <w:lang w:val="en-US" w:eastAsia="zh-CN"/>
        </w:rPr>
        <w:t xml:space="preserve">   </w:t>
      </w:r>
      <w:r>
        <w:rPr>
          <w:rStyle w:val="10"/>
          <w:rFonts w:hint="eastAsia" w:ascii="方正黑体_GBK" w:hAnsi="方正黑体_GBK" w:eastAsia="方正黑体_GBK" w:cs="方正黑体_GBK"/>
          <w:b w:val="0"/>
          <w:bCs/>
          <w:sz w:val="32"/>
          <w:szCs w:val="32"/>
          <w:shd w:val="clear" w:color="auto" w:fill="FFFFFF"/>
        </w:rPr>
        <w:t>六、专业名词解释</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w:t>
      </w:r>
      <w:r>
        <w:rPr>
          <w:rFonts w:hint="default" w:ascii="方正楷体_GBK" w:hAnsi="方正楷体_GBK" w:eastAsia="方正楷体_GBK" w:cs="方正楷体_GBK"/>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eastAsia" w:ascii="方正黑体_GBK" w:hAnsi="方正黑体_GBK" w:eastAsia="方正黑体_GBK" w:cs="方正黑体_GBK"/>
          <w:b w:val="0"/>
          <w:bCs/>
          <w:sz w:val="32"/>
          <w:szCs w:val="32"/>
        </w:rPr>
      </w:pPr>
      <w:r>
        <w:rPr>
          <w:rStyle w:val="10"/>
          <w:rFonts w:hint="eastAsia" w:ascii="方正黑体_GBK" w:hAnsi="方正黑体_GBK" w:eastAsia="方正黑体_GBK" w:cs="方正黑体_GBK"/>
          <w:b w:val="0"/>
          <w:bCs/>
          <w:sz w:val="32"/>
          <w:szCs w:val="32"/>
          <w:shd w:val="clear" w:color="auto" w:fill="FFFFFF"/>
        </w:rPr>
        <w:t>七、决算公开联系方式及信息反馈渠道</w:t>
      </w:r>
    </w:p>
    <w:p>
      <w:pPr>
        <w:pStyle w:val="12"/>
        <w:keepNext w:val="0"/>
        <w:keepLines w:val="0"/>
        <w:pageBreakBefore w:val="0"/>
        <w:widowControl/>
        <w:kinsoku/>
        <w:overflowPunct/>
        <w:topLinePunct w:val="0"/>
        <w:autoSpaceDN/>
        <w:bidi w:val="0"/>
        <w:adjustRightInd/>
        <w:spacing w:before="0" w:beforeAutospacing="0" w:after="0" w:afterAutospacing="0"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本单位决算公开信息反馈和联系方式：吴老师    023-74513057</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jc w:val="both"/>
        <w:rPr>
          <w:rStyle w:val="10"/>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部门：</w:t>
            </w:r>
            <w:r>
              <w:rPr>
                <w:rFonts w:hint="default" w:ascii="Times New Roman" w:hAnsi="Times New Roman" w:cs="Times New Roman"/>
                <w:sz w:val="20"/>
              </w:rPr>
              <w:t>垫江县商务委员会</w:t>
            </w:r>
          </w:p>
        </w:tc>
        <w:tc>
          <w:tcPr>
            <w:tcW w:w="13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2,863.44</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811.03</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9.93</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524.16</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26.23</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1,709.82</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32.22</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2,863.44</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3,113.87</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260.96</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10.53</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3,124.40</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3,124.40</w:t>
            </w:r>
          </w:p>
        </w:tc>
      </w:tr>
    </w:tbl>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p>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5001" w:type="pct"/>
        <w:tblInd w:w="0" w:type="dxa"/>
        <w:tblLayout w:type="fixed"/>
        <w:tblCellMar>
          <w:top w:w="0" w:type="dxa"/>
          <w:left w:w="0" w:type="dxa"/>
          <w:bottom w:w="0" w:type="dxa"/>
          <w:right w:w="0" w:type="dxa"/>
        </w:tblCellMar>
      </w:tblPr>
      <w:tblGrid>
        <w:gridCol w:w="1361"/>
        <w:gridCol w:w="2973"/>
        <w:gridCol w:w="1379"/>
        <w:gridCol w:w="1428"/>
        <w:gridCol w:w="1462"/>
        <w:gridCol w:w="1355"/>
        <w:gridCol w:w="1385"/>
        <w:gridCol w:w="1257"/>
        <w:gridCol w:w="1257"/>
        <w:gridCol w:w="1468"/>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186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sz w:val="20"/>
              </w:rPr>
              <w:t>垫江县商务委员会</w:t>
            </w:r>
          </w:p>
        </w:tc>
        <w:tc>
          <w:tcPr>
            <w:tcW w:w="46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4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1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1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7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CellMar>
            <w:top w:w="0" w:type="dxa"/>
            <w:left w:w="0" w:type="dxa"/>
            <w:bottom w:w="0" w:type="dxa"/>
            <w:right w:w="0" w:type="dxa"/>
          </w:tblCellMar>
        </w:tblPrEx>
        <w:trPr>
          <w:trHeight w:val="328" w:hRule="atLeast"/>
        </w:trPr>
        <w:tc>
          <w:tcPr>
            <w:tcW w:w="1864"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6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4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1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1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7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31" w:hRule="atLeast"/>
        </w:trPr>
        <w:tc>
          <w:tcPr>
            <w:tcW w:w="1414"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CellMar>
            <w:top w:w="0" w:type="dxa"/>
            <w:left w:w="0" w:type="dxa"/>
            <w:bottom w:w="0" w:type="dxa"/>
            <w:right w:w="0" w:type="dxa"/>
          </w:tblCellMar>
        </w:tblPrEx>
        <w:trPr>
          <w:trHeight w:val="334" w:hRule="atLeast"/>
        </w:trPr>
        <w:tc>
          <w:tcPr>
            <w:tcW w:w="44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70"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4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97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4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97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4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97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41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2,863.44</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2,863.44</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650.60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650.60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648.76</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648.76</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2011301</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198.33</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198.33</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2011302</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74.92</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74.92</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2011350</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325.70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325.70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2011399</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其他商贸事务支出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49.81</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49.81</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9.93</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9.93</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9.93</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9.93</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2070102</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9.93</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9.93</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524.16</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524.16</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2080102</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408.36</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408.36</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70.40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70.40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35.50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35.50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302.46</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302.46</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115.33</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115.33</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101.54</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101.54</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2080803</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在乡复员、退伍军人生活补助</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13.79</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13.79</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26.23</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26.23</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26.23</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26.23</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10.99</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10.99</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15.24</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15.24</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1,619.82</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1,619.82</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1,619.67</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1,619.67</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2160202</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1,604.68</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1,604.68</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21606</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涉外发展服务支出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2160699</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其他涉外发展服务支出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0.15</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0.15</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32.22</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32.22</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32.22</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32.22</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4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32.22</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32.22</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bl>
    <w:p>
      <w:pPr>
        <w:keepNext w:val="0"/>
        <w:keepLines w:val="0"/>
        <w:pageBreakBefore w:val="0"/>
        <w:widowControl/>
        <w:kinsoku/>
        <w:overflowPunct/>
        <w:topLinePunct w:val="0"/>
        <w:autoSpaceDN/>
        <w:bidi w:val="0"/>
        <w:adjustRightInd/>
        <w:spacing w:beforeAutospacing="0" w:afterAutospacing="0" w:line="594"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垫江县商务委员会 </w:t>
            </w:r>
          </w:p>
        </w:tc>
        <w:tc>
          <w:tcPr>
            <w:tcW w:w="5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3,113.87</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1,103.44</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2,010.43</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811.03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534.61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276.42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809.19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534.61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274.58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208.76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208.76</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203.01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203.01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325.85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325.85</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其他商贸事务支出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71.57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71.57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524.16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509.90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408.36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408.36</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70.40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70.40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35.50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35.50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302.46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302.46</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115.33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101.54</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13.79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101.54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101.54</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在乡复员、退伍军人生活补助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26.23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26.23</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26.23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26.23</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10.99</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15.24</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1,709.82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1,709.82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1,709.67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1,709.67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1,694.68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1,694.68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涉外发展服务支出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其他涉外发展服务支出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32.22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32.22</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32.22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32.22</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32.22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32.22</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bl>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垫江县商务委员会</w:t>
            </w: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2,863.44</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811.03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811.03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524.16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524.16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26.23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26.23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1,709.82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1,709.82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32.22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32.22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2,863.44</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3,113.87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3,113.87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260.96</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10.53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10.53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260.96</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3,124.40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3,124.40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3,124.40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bl>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垫江县商务委员会</w:t>
            </w: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3,113.87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1,103.44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2,010.43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811.03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534.61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276.42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1.84</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1.84</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809.19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534.61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274.58</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208.76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208.76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203.01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203.01</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325.85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325.85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其他商贸事务支出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71.57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71.57</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9.93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9.93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9.93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9.93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9.93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9.93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524.16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509.90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14.26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0.48</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0.48</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408.36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408.36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70.40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35.50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35.50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302.46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302.46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115.33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101.54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13.79</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101.54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101.54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在乡复员、退伍军人生活补助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13.79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13.79</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26.23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26.23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26.23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26.23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1,709.82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1,709.82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1,709.67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1,709.67</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1,694.68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1,694.68</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涉外发展服务支出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其他涉外发展服务支出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32.22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32.22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32.22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32.22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32.22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32.22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spacing w:beforeAutospacing="0" w:afterAutospacing="0" w:line="594"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垫江县商务委员会</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566.22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121.31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111.48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58.64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185.72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70.40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26.23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14.25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32.22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9.62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415.92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110.66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277.74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17.31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22.14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r>
      <w:tr>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982.13</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121.31</w:t>
            </w:r>
          </w:p>
        </w:tc>
      </w:tr>
    </w:tbl>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垫江县商务委员会</w:t>
            </w: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both"/>
              <w:textAlignment w:val="center"/>
              <w:rPr>
                <w:rFonts w:hint="default" w:ascii="Times New Roman" w:hAnsi="Times New Roman" w:cs="Times New Roman"/>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备注：本表反映部门本年度政府性基金预算财政拨款收入支出及结转和结余情况。本部门无政府性基金收支，故本表无数据。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垫江县商务委员会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3"/>
        <w:gridCol w:w="2403"/>
        <w:gridCol w:w="2361"/>
        <w:gridCol w:w="3723"/>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kern w:val="2"/>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垫江县商务委员会</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63.95</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16.15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16.15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63.95</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7.40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7.40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7.40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7.40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8.75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8.75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8.75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p>
        </w:tc>
      </w:tr>
      <w:tr>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4.50</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4.50</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935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4.50</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4.50</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1.74</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0.48</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28.35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6"/>
                <w:szCs w:val="16"/>
              </w:rPr>
            </w:pPr>
          </w:p>
        </w:tc>
      </w:tr>
    </w:tbl>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Text Box 2" o:spid="_x0000_s4099" o:spt="202" type="#_x0000_t202" style="position:absolute;left:0pt;margin-top:0pt;height:11.65pt;width:27.0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- 20 -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Text Box 4" o:spid="_x0000_s4098" o:spt="202" type="#_x0000_t202" style="position:absolute;left:0pt;margin-top:0pt;height:11.65pt;width:31.55pt;mso-position-horizontal:center;mso-position-horizontal-relative:margin;mso-wrap-style:none;z-index:251660288;mso-width-relative:page;mso-height-relative:page;" filled="f" stroked="f"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p>
            </w:txbxContent>
          </v:textbox>
        </v:shape>
      </w:pict>
    </w:r>
    <w:r>
      <w:rPr>
        <w:rFonts w:hint="default"/>
      </w:rPr>
      <w:pict>
        <v:shape id="Text Box 3" o:spid="_x0000_s4097" o:spt="202" type="#_x0000_t202" style="position:absolute;left:0pt;margin-top:1160.4pt;height:17.4pt;width:45.05pt;mso-position-horizontal:center;mso-position-horizontal-relative:margin;mso-position-vertical-relative:page;mso-wrap-style:none;z-index:251659264;mso-width-relative:page;mso-height-relative:page;" filled="f" stroked="f"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4MWM2YmFhNjI2ZjBiMzdmZDQ5YWQxZGNmMDQ4ZWEifQ=="/>
  </w:docVars>
  <w:rsids>
    <w:rsidRoot w:val="00B03CCD"/>
    <w:rsid w:val="00041397"/>
    <w:rsid w:val="00044DCD"/>
    <w:rsid w:val="000C01CC"/>
    <w:rsid w:val="000D7702"/>
    <w:rsid w:val="000F6721"/>
    <w:rsid w:val="001632EC"/>
    <w:rsid w:val="0018599D"/>
    <w:rsid w:val="00236019"/>
    <w:rsid w:val="00261065"/>
    <w:rsid w:val="002D0E5A"/>
    <w:rsid w:val="002D71F4"/>
    <w:rsid w:val="002E5443"/>
    <w:rsid w:val="0032196C"/>
    <w:rsid w:val="00344BB6"/>
    <w:rsid w:val="00355E3A"/>
    <w:rsid w:val="003D17E4"/>
    <w:rsid w:val="004852DA"/>
    <w:rsid w:val="004C12FF"/>
    <w:rsid w:val="004C1435"/>
    <w:rsid w:val="004D0390"/>
    <w:rsid w:val="00526BD6"/>
    <w:rsid w:val="00550ABE"/>
    <w:rsid w:val="005B023C"/>
    <w:rsid w:val="00600322"/>
    <w:rsid w:val="006137D7"/>
    <w:rsid w:val="00634D54"/>
    <w:rsid w:val="00634FA8"/>
    <w:rsid w:val="0063613A"/>
    <w:rsid w:val="00636ED4"/>
    <w:rsid w:val="0068170B"/>
    <w:rsid w:val="006E2034"/>
    <w:rsid w:val="0071772E"/>
    <w:rsid w:val="00732392"/>
    <w:rsid w:val="00761DAB"/>
    <w:rsid w:val="00792285"/>
    <w:rsid w:val="007A0D2E"/>
    <w:rsid w:val="007A3314"/>
    <w:rsid w:val="007B419D"/>
    <w:rsid w:val="007C5C5B"/>
    <w:rsid w:val="007D49FC"/>
    <w:rsid w:val="00810F13"/>
    <w:rsid w:val="00826B47"/>
    <w:rsid w:val="0087375D"/>
    <w:rsid w:val="00882E25"/>
    <w:rsid w:val="00893689"/>
    <w:rsid w:val="00905431"/>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B0693"/>
    <w:rsid w:val="00DF7706"/>
    <w:rsid w:val="00E05175"/>
    <w:rsid w:val="00E654E2"/>
    <w:rsid w:val="00E76362"/>
    <w:rsid w:val="00E86B80"/>
    <w:rsid w:val="00F0293A"/>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012F98"/>
    <w:rsid w:val="163A6CEE"/>
    <w:rsid w:val="173708E3"/>
    <w:rsid w:val="174C19C7"/>
    <w:rsid w:val="17C374FC"/>
    <w:rsid w:val="189079DC"/>
    <w:rsid w:val="189B0D0B"/>
    <w:rsid w:val="18AF03BF"/>
    <w:rsid w:val="18B43F7C"/>
    <w:rsid w:val="194A1770"/>
    <w:rsid w:val="19B906A4"/>
    <w:rsid w:val="19FB026E"/>
    <w:rsid w:val="1A34695D"/>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3C3F57"/>
    <w:rsid w:val="4A6F6675"/>
    <w:rsid w:val="4ABF0746"/>
    <w:rsid w:val="4B0502DF"/>
    <w:rsid w:val="4B135857"/>
    <w:rsid w:val="4B7951CB"/>
    <w:rsid w:val="4B7C315C"/>
    <w:rsid w:val="4CCF773C"/>
    <w:rsid w:val="4DAC4ACA"/>
    <w:rsid w:val="4DBE01D2"/>
    <w:rsid w:val="4E1071F9"/>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725CF5"/>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B130C7"/>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237959"/>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autoRedefine/>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customStyle="1" w:styleId="17">
    <w:name w:val="Revision"/>
    <w:hidden/>
    <w:unhideWhenUsed/>
    <w:uiPriority w:val="99"/>
    <w:rPr>
      <w:rFonts w:hint="eastAsia"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44</Pages>
  <Words>9519</Words>
  <Characters>10892</Characters>
  <Lines>158</Lines>
  <Paragraphs>44</Paragraphs>
  <TotalTime>19</TotalTime>
  <ScaleCrop>false</ScaleCrop>
  <LinksUpToDate>false</LinksUpToDate>
  <CharactersWithSpaces>10973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2025-08-28T03:53:00Z</dcterms:created>
  <dc:creator>Administrator</dc:creator>
  <cp:lastModifiedBy>WPS_1664260647</cp:lastModifiedBy>
  <dcterms:modified xsi:type="dcterms:W3CDTF">2025-09-24T09:10:52Z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BB46EABDBB2749749395447164B066B3_12</vt:lpwstr>
  </property>
  <property fmtid="{D5CDD505-2E9C-101B-9397-08002B2CF9AE}" pid="4" name="KSOTemplateDocerSaveRecord">
    <vt:lpwstr>eyJoZGlkIjoiMWRjOGQzNDg2Yzg1MWVmYTU0YTJiODQwNzdjNjE1YmMiLCJ1c2VySWQiOiI2NjUzOTY4NDYifQ==</vt:lpwstr>
  </property>
</Properties>
</file>