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E51" w:rsidRDefault="000A5710">
      <w:pPr>
        <w:pStyle w:val="a8"/>
        <w:spacing w:before="0" w:beforeAutospacing="0"/>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垫江县统计执法检查大队</w:t>
      </w:r>
      <w:r>
        <w:rPr>
          <w:rFonts w:ascii="方正小标宋_GBK" w:eastAsia="方正小标宋_GBK" w:hAnsi="方正小标宋_GBK" w:cs="方正小标宋_GBK"/>
          <w:sz w:val="36"/>
          <w:szCs w:val="36"/>
          <w:shd w:val="clear" w:color="auto" w:fill="FFFFFF"/>
        </w:rPr>
        <w:t>2024年度决算公开说明</w:t>
      </w:r>
    </w:p>
    <w:p w:rsidR="000C2E51" w:rsidRPr="000A5710" w:rsidRDefault="000A5710" w:rsidP="000A5710">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0A5710">
        <w:rPr>
          <w:rStyle w:val="aa"/>
          <w:rFonts w:ascii="黑体" w:eastAsia="黑体" w:hAnsi="黑体" w:cs="黑体" w:hint="default"/>
          <w:sz w:val="32"/>
          <w:szCs w:val="32"/>
          <w:shd w:val="clear" w:color="auto" w:fill="FFFFFF"/>
        </w:rPr>
        <w:t>一、单位基本情况</w:t>
      </w:r>
    </w:p>
    <w:p w:rsidR="000C2E51" w:rsidRPr="000A5710" w:rsidRDefault="000A5710" w:rsidP="000A5710">
      <w:pPr>
        <w:pStyle w:val="a8"/>
        <w:shd w:val="clear" w:color="auto" w:fill="FFFFFF"/>
        <w:ind w:firstLine="420"/>
        <w:rPr>
          <w:rStyle w:val="aa"/>
          <w:rFonts w:ascii="楷体" w:eastAsia="楷体" w:hAnsi="楷体" w:cs="楷体" w:hint="default"/>
          <w:shd w:val="clear" w:color="auto" w:fill="FFFFFF"/>
        </w:rPr>
      </w:pPr>
      <w:r w:rsidRPr="000A5710">
        <w:rPr>
          <w:rStyle w:val="aa"/>
          <w:rFonts w:ascii="楷体" w:eastAsia="楷体" w:hAnsi="楷体" w:cs="楷体"/>
          <w:sz w:val="32"/>
          <w:szCs w:val="32"/>
          <w:shd w:val="clear" w:color="auto" w:fill="FFFFFF"/>
        </w:rPr>
        <w:t>（一）职能职责</w:t>
      </w:r>
    </w:p>
    <w:p w:rsidR="000C2E51" w:rsidRDefault="000A5710">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1.</w:t>
      </w:r>
      <w:r>
        <w:rPr>
          <w:rFonts w:ascii="Times New Roman" w:eastAsia="方正仿宋_GB2312" w:hAnsi="Times New Roman" w:hint="default"/>
          <w:sz w:val="32"/>
          <w:szCs w:val="32"/>
        </w:rPr>
        <w:t>对全县国民经济及社会发展统计资料的准确性和及时性提供监督保障。</w:t>
      </w:r>
    </w:p>
    <w:p w:rsidR="000C2E51" w:rsidRDefault="000A5710">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2.</w:t>
      </w:r>
      <w:r>
        <w:rPr>
          <w:rFonts w:ascii="Times New Roman" w:eastAsia="方正仿宋_GB2312" w:hAnsi="Times New Roman" w:hint="default"/>
          <w:sz w:val="32"/>
          <w:szCs w:val="32"/>
        </w:rPr>
        <w:t>依法调查全县违反统计法律法规的行为和案件，提出处理意见，需要给予行政处罚的，报行政主管部门进行立案查处。</w:t>
      </w:r>
    </w:p>
    <w:p w:rsidR="000C2E51" w:rsidRDefault="000A5710">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3.</w:t>
      </w:r>
      <w:r>
        <w:rPr>
          <w:rFonts w:ascii="Times New Roman" w:eastAsia="方正仿宋_GB2312" w:hAnsi="Times New Roman" w:hint="default"/>
          <w:sz w:val="32"/>
          <w:szCs w:val="32"/>
        </w:rPr>
        <w:t>负责建立健全全县统计执法检查工作制度。</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4.</w:t>
      </w:r>
      <w:r>
        <w:rPr>
          <w:rFonts w:ascii="Times New Roman" w:eastAsia="方正仿宋_GB2312" w:hAnsi="Times New Roman" w:hint="default"/>
          <w:sz w:val="32"/>
          <w:szCs w:val="32"/>
        </w:rPr>
        <w:t>承担全县统计检查及日常工作。</w:t>
      </w:r>
    </w:p>
    <w:p w:rsidR="000C2E51" w:rsidRPr="000A5710" w:rsidRDefault="000A5710" w:rsidP="000A5710">
      <w:pPr>
        <w:pStyle w:val="a8"/>
        <w:shd w:val="clear" w:color="auto" w:fill="FFFFFF"/>
        <w:ind w:firstLine="420"/>
        <w:rPr>
          <w:rStyle w:val="aa"/>
          <w:rFonts w:ascii="楷体" w:eastAsia="楷体" w:hAnsi="楷体" w:cs="楷体" w:hint="default"/>
          <w:sz w:val="32"/>
          <w:szCs w:val="32"/>
          <w:shd w:val="clear" w:color="auto" w:fill="FFFFFF"/>
        </w:rPr>
      </w:pPr>
      <w:r w:rsidRPr="000A5710">
        <w:rPr>
          <w:rStyle w:val="aa"/>
          <w:rFonts w:ascii="楷体" w:eastAsia="楷体" w:hAnsi="楷体" w:cs="楷体" w:hint="default"/>
          <w:sz w:val="32"/>
          <w:szCs w:val="32"/>
          <w:shd w:val="clear" w:color="auto" w:fill="FFFFFF"/>
        </w:rPr>
        <w:t>（二）机构设置</w:t>
      </w:r>
    </w:p>
    <w:p w:rsidR="000C2E51" w:rsidRDefault="000A5710">
      <w:pPr>
        <w:pStyle w:val="a8"/>
        <w:widowControl w:val="0"/>
        <w:shd w:val="clear" w:color="auto" w:fill="FFFFFF"/>
        <w:overflowPunct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我单位无下属单位，未设置内设机构。</w:t>
      </w:r>
    </w:p>
    <w:p w:rsidR="000C2E51"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方正黑体_GBK" w:eastAsia="方正黑体_GBK" w:hAnsi="方正黑体_GBK" w:cs="方正黑体_GBK" w:hint="default"/>
          <w:b w:val="0"/>
          <w:bCs/>
          <w:sz w:val="32"/>
          <w:szCs w:val="32"/>
          <w:shd w:val="clear" w:color="auto" w:fill="FFFFFF"/>
        </w:rPr>
      </w:pPr>
      <w:r>
        <w:rPr>
          <w:rStyle w:val="aa"/>
          <w:rFonts w:ascii="黑体" w:eastAsia="黑体" w:hAnsi="黑体" w:cs="黑体" w:hint="default"/>
          <w:sz w:val="32"/>
          <w:szCs w:val="32"/>
          <w:shd w:val="clear" w:color="auto" w:fill="FFFFFF"/>
        </w:rPr>
        <w:t>二、单位</w:t>
      </w:r>
      <w:r>
        <w:rPr>
          <w:rStyle w:val="aa"/>
          <w:rFonts w:ascii="黑体" w:eastAsia="黑体" w:hAnsi="黑体" w:cs="黑体"/>
          <w:sz w:val="32"/>
          <w:szCs w:val="32"/>
          <w:shd w:val="clear" w:color="auto" w:fill="FFFFFF"/>
        </w:rPr>
        <w:t>决算收支情况说明</w:t>
      </w:r>
    </w:p>
    <w:p w:rsidR="000C2E51" w:rsidRPr="000A5710" w:rsidRDefault="000A5710" w:rsidP="000A5710">
      <w:pPr>
        <w:pStyle w:val="a8"/>
        <w:shd w:val="clear" w:color="auto" w:fill="FFFFFF"/>
        <w:ind w:firstLine="420"/>
        <w:rPr>
          <w:rStyle w:val="aa"/>
          <w:rFonts w:ascii="楷体" w:eastAsia="楷体" w:hAnsi="楷体" w:cs="楷体" w:hint="default"/>
          <w:sz w:val="32"/>
          <w:szCs w:val="32"/>
          <w:shd w:val="clear" w:color="auto" w:fill="FFFFFF"/>
        </w:rPr>
      </w:pPr>
      <w:r w:rsidRPr="000A5710">
        <w:rPr>
          <w:rStyle w:val="aa"/>
          <w:rFonts w:ascii="楷体" w:eastAsia="楷体" w:hAnsi="楷体" w:cs="楷体" w:hint="default"/>
          <w:sz w:val="32"/>
          <w:szCs w:val="32"/>
          <w:shd w:val="clear" w:color="auto" w:fill="FFFFFF"/>
        </w:rPr>
        <w:t>（一）收入支出决算总体情况说明。</w:t>
      </w:r>
    </w:p>
    <w:p w:rsidR="000C2E51" w:rsidRPr="00CA1433" w:rsidRDefault="000A5710">
      <w:pPr>
        <w:pStyle w:val="a8"/>
        <w:widowControl w:val="0"/>
        <w:shd w:val="clear" w:color="auto" w:fill="FFFFFF"/>
        <w:overflowPunct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sidRPr="00881DD5">
        <w:rPr>
          <w:rStyle w:val="aa"/>
          <w:rFonts w:ascii="方正仿宋_GBK" w:eastAsia="方正仿宋_GBK" w:hAnsi="方正仿宋_GBK" w:cs="方正仿宋_GBK" w:hint="default"/>
          <w:sz w:val="32"/>
          <w:szCs w:val="32"/>
          <w:shd w:val="clear" w:color="auto" w:fill="FFFFFF"/>
        </w:rPr>
        <w:t>1.总体情况。</w:t>
      </w:r>
      <w:r w:rsidRPr="00CA1433">
        <w:rPr>
          <w:rFonts w:ascii="方正仿宋_GBK" w:eastAsia="方正仿宋_GBK" w:hAnsi="方正仿宋_GBK" w:cs="方正仿宋_GBK" w:hint="default"/>
          <w:sz w:val="32"/>
          <w:szCs w:val="32"/>
          <w:shd w:val="clear" w:color="auto" w:fill="FFFFFF"/>
        </w:rPr>
        <w:t>2024年度收入总计194.89万元，支出总计194.89万元。收、支与2023年度相比，减少12.75万元，下降6.14%，主要原因是</w:t>
      </w:r>
      <w:r w:rsidRPr="00CA1433">
        <w:rPr>
          <w:rFonts w:ascii="方正仿宋_GBK" w:eastAsia="方正仿宋_GBK" w:hAnsi="方正仿宋_GBK" w:cs="方正仿宋_GBK"/>
          <w:sz w:val="32"/>
          <w:szCs w:val="32"/>
          <w:shd w:val="clear" w:color="auto" w:fill="FFFFFF"/>
        </w:rPr>
        <w:t>一般公共预算支出中办公费、差旅费减少</w:t>
      </w:r>
      <w:r w:rsidRPr="00CA1433">
        <w:rPr>
          <w:rFonts w:ascii="方正仿宋_GBK" w:eastAsia="方正仿宋_GBK" w:hAnsi="方正仿宋_GBK" w:cs="方正仿宋_GBK" w:hint="default"/>
          <w:sz w:val="32"/>
          <w:szCs w:val="32"/>
          <w:shd w:val="clear" w:color="auto" w:fill="FFFFFF"/>
        </w:rPr>
        <w:t>。</w:t>
      </w:r>
    </w:p>
    <w:p w:rsidR="000C2E51" w:rsidRPr="00CA1433" w:rsidRDefault="000A5710">
      <w:pPr>
        <w:pStyle w:val="a8"/>
        <w:widowControl w:val="0"/>
        <w:overflowPunct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sidRPr="00881DD5">
        <w:rPr>
          <w:rStyle w:val="aa"/>
          <w:rFonts w:ascii="方正仿宋_GBK" w:eastAsia="方正仿宋_GBK" w:hAnsi="方正仿宋_GBK" w:cs="方正仿宋_GBK" w:hint="default"/>
          <w:sz w:val="32"/>
          <w:szCs w:val="32"/>
          <w:shd w:val="clear" w:color="auto" w:fill="FFFFFF"/>
        </w:rPr>
        <w:t>2.收入情况。</w:t>
      </w:r>
      <w:r w:rsidRPr="00CA1433">
        <w:rPr>
          <w:rFonts w:ascii="方正仿宋_GBK" w:eastAsia="方正仿宋_GBK" w:hAnsi="方正仿宋_GBK" w:cs="方正仿宋_GBK" w:hint="default"/>
          <w:sz w:val="32"/>
          <w:szCs w:val="32"/>
          <w:shd w:val="clear" w:color="auto" w:fill="FFFFFF"/>
        </w:rPr>
        <w:t>2024年度收入合计194.89万元，与2023年度</w:t>
      </w:r>
      <w:r w:rsidRPr="00CA1433">
        <w:rPr>
          <w:rFonts w:ascii="方正仿宋_GBK" w:eastAsia="方正仿宋_GBK" w:hAnsi="方正仿宋_GBK" w:cs="方正仿宋_GBK" w:hint="default"/>
          <w:sz w:val="32"/>
          <w:szCs w:val="32"/>
          <w:shd w:val="clear" w:color="auto" w:fill="FFFFFF"/>
        </w:rPr>
        <w:lastRenderedPageBreak/>
        <w:t>相比，减少12.75万元，下降6.14%，主要原因是</w:t>
      </w:r>
      <w:r w:rsidRPr="00CA1433">
        <w:rPr>
          <w:rFonts w:ascii="方正仿宋_GBK" w:eastAsia="方正仿宋_GBK" w:hAnsi="方正仿宋_GBK" w:cs="方正仿宋_GBK"/>
          <w:sz w:val="32"/>
          <w:szCs w:val="32"/>
          <w:shd w:val="clear" w:color="auto" w:fill="FFFFFF"/>
        </w:rPr>
        <w:t>办公费用减少，财政拨款收入减少</w:t>
      </w:r>
      <w:r w:rsidRPr="00CA1433">
        <w:rPr>
          <w:rFonts w:ascii="方正仿宋_GBK" w:eastAsia="方正仿宋_GBK" w:hAnsi="方正仿宋_GBK" w:cs="方正仿宋_GBK" w:hint="default"/>
          <w:sz w:val="32"/>
          <w:szCs w:val="32"/>
          <w:shd w:val="clear" w:color="auto" w:fill="FFFFFF"/>
        </w:rPr>
        <w:t>。其中：财政拨款收入194.89万元，占100.00%；事业收入0.00万元，占0.00%；经营收入0.00万元，占0.00%；其他收入0.00万元，占0.00%。此外，使用非财政拨款结余和专用结余0.00万元，年初结转和结余0.00万元。</w:t>
      </w:r>
    </w:p>
    <w:p w:rsidR="000C2E51" w:rsidRDefault="000A5710">
      <w:pPr>
        <w:pStyle w:val="a8"/>
        <w:widowControl w:val="0"/>
        <w:overflowPunct w:val="0"/>
        <w:snapToGrid w:val="0"/>
        <w:spacing w:before="0" w:beforeAutospacing="0" w:after="0" w:afterAutospacing="0" w:line="594" w:lineRule="exact"/>
        <w:ind w:firstLineChars="200" w:firstLine="643"/>
        <w:jc w:val="both"/>
        <w:rPr>
          <w:rFonts w:ascii="Times New Roman" w:eastAsia="方正仿宋_GB2312" w:hAnsi="Times New Roman" w:hint="default"/>
          <w:sz w:val="32"/>
          <w:szCs w:val="32"/>
          <w:shd w:val="clear" w:color="auto" w:fill="FFFFFF"/>
        </w:rPr>
      </w:pPr>
      <w:r w:rsidRPr="00881DD5">
        <w:rPr>
          <w:rStyle w:val="aa"/>
          <w:rFonts w:ascii="方正仿宋_GBK" w:eastAsia="方正仿宋_GBK" w:hAnsi="方正仿宋_GBK" w:cs="方正仿宋_GBK" w:hint="default"/>
          <w:sz w:val="32"/>
          <w:szCs w:val="32"/>
          <w:shd w:val="clear" w:color="auto" w:fill="FFFFFF"/>
        </w:rPr>
        <w:t>3.支出情况。</w:t>
      </w:r>
      <w:r w:rsidRPr="00CA1433">
        <w:rPr>
          <w:rFonts w:ascii="方正仿宋_GBK" w:eastAsia="方正仿宋_GBK" w:hAnsi="方正仿宋_GBK" w:cs="方正仿宋_GBK" w:hint="default"/>
          <w:sz w:val="32"/>
          <w:szCs w:val="32"/>
          <w:shd w:val="clear" w:color="auto" w:fill="FFFFFF"/>
        </w:rPr>
        <w:t>2024年度支出合计194.89万元，与2023年度相比，减少12.75万元，下降6.14%，主要原因是</w:t>
      </w:r>
      <w:r w:rsidRPr="00CA1433">
        <w:rPr>
          <w:rFonts w:ascii="方正仿宋_GBK" w:eastAsia="方正仿宋_GBK" w:hAnsi="方正仿宋_GBK" w:cs="方正仿宋_GBK"/>
          <w:sz w:val="32"/>
          <w:szCs w:val="32"/>
          <w:shd w:val="clear" w:color="auto" w:fill="FFFFFF"/>
        </w:rPr>
        <w:t>一般公共服务支出中事业运行支出减少</w:t>
      </w:r>
      <w:r w:rsidRPr="00CA1433">
        <w:rPr>
          <w:rFonts w:ascii="方正仿宋_GBK" w:eastAsia="方正仿宋_GBK" w:hAnsi="方正仿宋_GBK" w:cs="方正仿宋_GBK" w:hint="default"/>
          <w:sz w:val="32"/>
          <w:szCs w:val="32"/>
          <w:shd w:val="clear" w:color="auto" w:fill="FFFFFF"/>
        </w:rPr>
        <w:t>。其中：基本支出194.89万元，占100.00%；项目支出0.00万元，占0.00%；经营支出0.00万元，占0.00%。此外，结余分配0.00万元。</w:t>
      </w:r>
    </w:p>
    <w:p w:rsidR="000C2E51" w:rsidRDefault="000A5710">
      <w:pPr>
        <w:pStyle w:val="a8"/>
        <w:widowControl w:val="0"/>
        <w:overflowPunct w:val="0"/>
        <w:snapToGrid w:val="0"/>
        <w:spacing w:before="0" w:beforeAutospacing="0" w:after="0" w:afterAutospacing="0" w:line="594" w:lineRule="exact"/>
        <w:ind w:firstLineChars="200" w:firstLine="643"/>
        <w:jc w:val="both"/>
        <w:rPr>
          <w:rFonts w:ascii="Times New Roman" w:eastAsia="方正仿宋_GB2312" w:hAnsi="Times New Roman" w:hint="default"/>
          <w:color w:val="000000" w:themeColor="text1"/>
          <w:sz w:val="32"/>
          <w:szCs w:val="32"/>
        </w:rPr>
      </w:pPr>
      <w:r w:rsidRPr="00881DD5">
        <w:rPr>
          <w:rStyle w:val="aa"/>
          <w:rFonts w:ascii="方正仿宋_GBK" w:eastAsia="方正仿宋_GBK" w:hAnsi="方正仿宋_GBK" w:cs="方正仿宋_GBK" w:hint="default"/>
          <w:sz w:val="32"/>
          <w:szCs w:val="32"/>
          <w:shd w:val="clear" w:color="auto" w:fill="FFFFFF"/>
        </w:rPr>
        <w:t>4.结转结余情况。</w:t>
      </w:r>
      <w:r w:rsidRPr="00CA1433">
        <w:rPr>
          <w:rFonts w:ascii="方正仿宋_GBK" w:eastAsia="方正仿宋_GBK" w:hAnsi="方正仿宋_GBK" w:cs="方正仿宋_GBK" w:hint="default"/>
          <w:sz w:val="32"/>
          <w:szCs w:val="32"/>
          <w:shd w:val="clear" w:color="auto" w:fill="FFFFFF"/>
        </w:rPr>
        <w:t>2024年度年末结转和结余0.00万元，与2023年度相比，无增减，主要原因是资金已使用完，无年末结转和结余。</w:t>
      </w:r>
    </w:p>
    <w:p w:rsidR="000C2E51" w:rsidRPr="000A5710" w:rsidRDefault="000A5710" w:rsidP="000A5710">
      <w:pPr>
        <w:pStyle w:val="a8"/>
        <w:shd w:val="clear" w:color="auto" w:fill="FFFFFF"/>
        <w:ind w:firstLine="420"/>
        <w:rPr>
          <w:rStyle w:val="aa"/>
          <w:rFonts w:ascii="楷体" w:eastAsia="楷体" w:hAnsi="楷体" w:cs="楷体" w:hint="default"/>
          <w:sz w:val="32"/>
          <w:szCs w:val="32"/>
          <w:shd w:val="clear" w:color="auto" w:fill="FFFFFF"/>
        </w:rPr>
      </w:pPr>
      <w:r w:rsidRPr="000A5710">
        <w:rPr>
          <w:rStyle w:val="aa"/>
          <w:rFonts w:ascii="楷体" w:eastAsia="楷体" w:hAnsi="楷体" w:cs="楷体" w:hint="default"/>
          <w:sz w:val="32"/>
          <w:szCs w:val="32"/>
          <w:shd w:val="clear" w:color="auto" w:fill="FFFFFF"/>
        </w:rPr>
        <w:t>（二）财政拨款收入支出决算总体情况说明</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2024年度财政拨款收、支总计194.89万元。与</w:t>
      </w:r>
      <w:r w:rsidRPr="00CA1433">
        <w:rPr>
          <w:rFonts w:ascii="方正仿宋_GBK" w:eastAsia="方正仿宋_GBK" w:hAnsi="方正仿宋_GBK" w:cs="方正仿宋_GBK"/>
          <w:sz w:val="32"/>
          <w:szCs w:val="32"/>
          <w:shd w:val="clear" w:color="auto" w:fill="FFFFFF"/>
        </w:rPr>
        <w:t>2023</w:t>
      </w:r>
      <w:r w:rsidRPr="00CA1433">
        <w:rPr>
          <w:rFonts w:ascii="方正仿宋_GBK" w:eastAsia="方正仿宋_GBK" w:hAnsi="方正仿宋_GBK" w:cs="方正仿宋_GBK" w:hint="default"/>
          <w:sz w:val="32"/>
          <w:szCs w:val="32"/>
          <w:shd w:val="clear" w:color="auto" w:fill="FFFFFF"/>
        </w:rPr>
        <w:t>年相比，财政拨款收、支总计各减少12.75万元，下降6.14%。主要原因是</w:t>
      </w:r>
      <w:r w:rsidRPr="00CA1433">
        <w:rPr>
          <w:rFonts w:ascii="方正仿宋_GBK" w:eastAsia="方正仿宋_GBK" w:hAnsi="方正仿宋_GBK" w:cs="方正仿宋_GBK"/>
          <w:sz w:val="32"/>
          <w:szCs w:val="32"/>
          <w:shd w:val="clear" w:color="auto" w:fill="FFFFFF"/>
        </w:rPr>
        <w:t>一般公共预算支出中办公费、差旅费减少</w:t>
      </w:r>
      <w:r w:rsidRPr="00CA1433">
        <w:rPr>
          <w:rFonts w:ascii="方正仿宋_GBK" w:eastAsia="方正仿宋_GBK" w:hAnsi="方正仿宋_GBK" w:cs="方正仿宋_GBK" w:hint="default"/>
          <w:sz w:val="32"/>
          <w:szCs w:val="32"/>
          <w:shd w:val="clear" w:color="auto" w:fill="FFFFFF"/>
        </w:rPr>
        <w:t>。</w:t>
      </w:r>
    </w:p>
    <w:p w:rsidR="000C2E51" w:rsidRPr="000A5710" w:rsidRDefault="000A5710" w:rsidP="000A5710">
      <w:pPr>
        <w:pStyle w:val="a8"/>
        <w:shd w:val="clear" w:color="auto" w:fill="FFFFFF"/>
        <w:ind w:firstLine="420"/>
        <w:rPr>
          <w:rStyle w:val="aa"/>
          <w:rFonts w:ascii="楷体" w:eastAsia="楷体" w:hAnsi="楷体" w:cs="楷体" w:hint="default"/>
          <w:sz w:val="32"/>
          <w:szCs w:val="32"/>
          <w:shd w:val="clear" w:color="auto" w:fill="FFFFFF"/>
        </w:rPr>
      </w:pPr>
      <w:r w:rsidRPr="000A5710">
        <w:rPr>
          <w:rStyle w:val="aa"/>
          <w:rFonts w:ascii="楷体" w:eastAsia="楷体" w:hAnsi="楷体" w:cs="楷体" w:hint="default"/>
          <w:sz w:val="32"/>
          <w:szCs w:val="32"/>
          <w:shd w:val="clear" w:color="auto" w:fill="FFFFFF"/>
        </w:rPr>
        <w:t>（三）一般公共预算财政拨款收入支出决算情况说明</w:t>
      </w:r>
    </w:p>
    <w:p w:rsidR="000C2E51" w:rsidRDefault="000A5710">
      <w:pPr>
        <w:pStyle w:val="a8"/>
        <w:widowControl w:val="0"/>
        <w:overflowPunct w:val="0"/>
        <w:snapToGrid w:val="0"/>
        <w:spacing w:before="0" w:beforeAutospacing="0" w:after="0" w:afterAutospacing="0" w:line="594" w:lineRule="exact"/>
        <w:ind w:firstLineChars="200" w:firstLine="643"/>
        <w:jc w:val="both"/>
        <w:rPr>
          <w:rFonts w:ascii="Times New Roman" w:eastAsia="方正仿宋_GB2312" w:hAnsi="Times New Roman" w:hint="default"/>
          <w:sz w:val="32"/>
          <w:szCs w:val="32"/>
        </w:rPr>
      </w:pPr>
      <w:r w:rsidRPr="00881DD5">
        <w:rPr>
          <w:rStyle w:val="aa"/>
          <w:rFonts w:ascii="方正仿宋_GBK" w:eastAsia="方正仿宋_GBK" w:hAnsi="方正仿宋_GBK" w:cs="方正仿宋_GBK" w:hint="default"/>
          <w:sz w:val="32"/>
          <w:szCs w:val="32"/>
          <w:shd w:val="clear" w:color="auto" w:fill="FFFFFF"/>
        </w:rPr>
        <w:t>1.收入情况</w:t>
      </w:r>
      <w:r>
        <w:rPr>
          <w:rStyle w:val="aa"/>
          <w:rFonts w:ascii="Times New Roman" w:eastAsia="方正仿宋_GB2312" w:hAnsi="Times New Roman" w:hint="default"/>
          <w:sz w:val="32"/>
          <w:szCs w:val="32"/>
          <w:shd w:val="clear" w:color="auto" w:fill="FFFFFF"/>
        </w:rPr>
        <w:t>。</w:t>
      </w:r>
      <w:r w:rsidRPr="00CA1433">
        <w:rPr>
          <w:rFonts w:ascii="方正仿宋_GBK" w:eastAsia="方正仿宋_GBK" w:hAnsi="方正仿宋_GBK" w:cs="方正仿宋_GBK" w:hint="default"/>
          <w:sz w:val="32"/>
          <w:szCs w:val="32"/>
          <w:shd w:val="clear" w:color="auto" w:fill="FFFFFF"/>
        </w:rPr>
        <w:t>2024年度一般公共预算财政拨款收入194.89</w:t>
      </w:r>
      <w:r w:rsidRPr="00CA1433">
        <w:rPr>
          <w:rFonts w:ascii="方正仿宋_GBK" w:eastAsia="方正仿宋_GBK" w:hAnsi="方正仿宋_GBK" w:cs="方正仿宋_GBK" w:hint="default"/>
          <w:sz w:val="32"/>
          <w:szCs w:val="32"/>
          <w:shd w:val="clear" w:color="auto" w:fill="FFFFFF"/>
        </w:rPr>
        <w:lastRenderedPageBreak/>
        <w:t>万元，与2023年度相比，减少12.75万元，下降6.14%。主要原因是</w:t>
      </w:r>
      <w:r w:rsidRPr="00CA1433">
        <w:rPr>
          <w:rFonts w:ascii="方正仿宋_GBK" w:eastAsia="方正仿宋_GBK" w:hAnsi="方正仿宋_GBK" w:cs="方正仿宋_GBK"/>
          <w:sz w:val="32"/>
          <w:szCs w:val="32"/>
          <w:shd w:val="clear" w:color="auto" w:fill="FFFFFF"/>
        </w:rPr>
        <w:t>办公费用减少，财政拨款收入减少</w:t>
      </w:r>
      <w:r w:rsidRPr="00CA1433">
        <w:rPr>
          <w:rFonts w:ascii="方正仿宋_GBK" w:eastAsia="方正仿宋_GBK" w:hAnsi="方正仿宋_GBK" w:cs="方正仿宋_GBK" w:hint="default"/>
          <w:sz w:val="32"/>
          <w:szCs w:val="32"/>
          <w:shd w:val="clear" w:color="auto" w:fill="FFFFFF"/>
        </w:rPr>
        <w:t>。较年初预算数增加16.31万元，增长9.13%。主要原因是社会保障支出较年初预算增加。此外，年初财政拨款结转和结余0.00万元。</w:t>
      </w:r>
    </w:p>
    <w:p w:rsidR="000C2E51" w:rsidRPr="00CA1433" w:rsidRDefault="000A5710">
      <w:pPr>
        <w:pStyle w:val="a8"/>
        <w:widowControl w:val="0"/>
        <w:overflowPunct w:val="0"/>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sidRPr="00881DD5">
        <w:rPr>
          <w:rStyle w:val="aa"/>
          <w:rFonts w:ascii="方正仿宋_GBK" w:eastAsia="方正仿宋_GBK" w:hAnsi="方正仿宋_GBK" w:cs="方正仿宋_GBK" w:hint="default"/>
          <w:sz w:val="32"/>
          <w:szCs w:val="32"/>
          <w:shd w:val="clear" w:color="auto" w:fill="FFFFFF"/>
        </w:rPr>
        <w:t>2.支出情况。</w:t>
      </w:r>
      <w:r w:rsidRPr="00CA1433">
        <w:rPr>
          <w:rFonts w:ascii="方正仿宋_GBK" w:eastAsia="方正仿宋_GBK" w:hAnsi="方正仿宋_GBK" w:cs="方正仿宋_GBK" w:hint="default"/>
          <w:sz w:val="32"/>
          <w:szCs w:val="32"/>
          <w:shd w:val="clear" w:color="auto" w:fill="FFFFFF"/>
        </w:rPr>
        <w:t>2024年度一般公共预算财政拨款支出194.89万元，与2023年度相比，减少12.75万元，下降6.14%。主要原因是办公费用减少。较年初预算数增加16.31万元，增长9.13%</w:t>
      </w:r>
      <w:r w:rsidRPr="00CA1433">
        <w:rPr>
          <w:rFonts w:ascii="方正仿宋_GBK" w:eastAsia="方正仿宋_GBK" w:hAnsi="方正仿宋_GBK" w:cs="方正仿宋_GBK"/>
          <w:sz w:val="32"/>
          <w:szCs w:val="32"/>
          <w:shd w:val="clear" w:color="auto" w:fill="FFFFFF"/>
        </w:rPr>
        <w:t>。</w:t>
      </w:r>
      <w:r w:rsidRPr="00CA1433">
        <w:rPr>
          <w:rFonts w:ascii="方正仿宋_GBK" w:eastAsia="方正仿宋_GBK" w:hAnsi="方正仿宋_GBK" w:cs="方正仿宋_GBK" w:hint="default"/>
          <w:sz w:val="32"/>
          <w:szCs w:val="32"/>
          <w:shd w:val="clear" w:color="auto" w:fill="FFFFFF"/>
        </w:rPr>
        <w:t>主要原因是</w:t>
      </w:r>
      <w:r w:rsidRPr="00CA1433">
        <w:rPr>
          <w:rFonts w:ascii="方正仿宋_GBK" w:eastAsia="方正仿宋_GBK" w:hAnsi="方正仿宋_GBK" w:cs="方正仿宋_GBK"/>
          <w:sz w:val="32"/>
          <w:szCs w:val="32"/>
          <w:shd w:val="clear" w:color="auto" w:fill="FFFFFF"/>
        </w:rPr>
        <w:t>人员增加、晋级晋档，导致工资福利支出较年初预算增加。</w:t>
      </w:r>
    </w:p>
    <w:p w:rsidR="000C2E51" w:rsidRDefault="000A5710">
      <w:pPr>
        <w:pStyle w:val="a8"/>
        <w:widowControl w:val="0"/>
        <w:overflowPunct w:val="0"/>
        <w:snapToGrid w:val="0"/>
        <w:spacing w:before="0" w:beforeAutospacing="0" w:after="0" w:afterAutospacing="0" w:line="594" w:lineRule="exact"/>
        <w:ind w:firstLineChars="200" w:firstLine="643"/>
        <w:jc w:val="both"/>
        <w:rPr>
          <w:rFonts w:ascii="Times New Roman" w:eastAsia="方正仿宋_GB2312" w:hAnsi="Times New Roman" w:hint="default"/>
          <w:sz w:val="32"/>
          <w:szCs w:val="32"/>
        </w:rPr>
      </w:pPr>
      <w:r w:rsidRPr="00881DD5">
        <w:rPr>
          <w:rStyle w:val="aa"/>
          <w:rFonts w:ascii="方正仿宋_GBK" w:eastAsia="方正仿宋_GBK" w:hAnsi="方正仿宋_GBK" w:cs="方正仿宋_GBK" w:hint="default"/>
          <w:sz w:val="32"/>
          <w:szCs w:val="32"/>
          <w:shd w:val="clear" w:color="auto" w:fill="FFFFFF"/>
        </w:rPr>
        <w:t>3.结转结余情况。</w:t>
      </w:r>
      <w:r w:rsidRPr="00CA1433">
        <w:rPr>
          <w:rFonts w:ascii="方正仿宋_GBK" w:eastAsia="方正仿宋_GBK" w:hAnsi="方正仿宋_GBK" w:cs="方正仿宋_GBK" w:hint="default"/>
          <w:sz w:val="32"/>
          <w:szCs w:val="32"/>
          <w:shd w:val="clear" w:color="auto" w:fill="FFFFFF"/>
        </w:rPr>
        <w:t>2024年度年末一般公共预算财政拨款结转和结余0.00万元，与2023年度相比，无增减，主要原因是资金已使用完，无年末结转和结余。</w:t>
      </w:r>
    </w:p>
    <w:p w:rsidR="000C2E51" w:rsidRDefault="000A5710">
      <w:pPr>
        <w:pStyle w:val="a8"/>
        <w:widowControl w:val="0"/>
        <w:overflowPunct w:val="0"/>
        <w:snapToGrid w:val="0"/>
        <w:spacing w:before="0" w:beforeAutospacing="0" w:after="0" w:afterAutospacing="0" w:line="594" w:lineRule="exact"/>
        <w:ind w:firstLineChars="200" w:firstLine="643"/>
        <w:jc w:val="both"/>
        <w:rPr>
          <w:rFonts w:ascii="Times New Roman" w:eastAsia="方正仿宋_GB2312" w:hAnsi="Times New Roman" w:hint="default"/>
          <w:sz w:val="32"/>
          <w:szCs w:val="32"/>
          <w:shd w:val="clear" w:color="auto" w:fill="FFFFFF"/>
        </w:rPr>
      </w:pPr>
      <w:bookmarkStart w:id="0" w:name="_GoBack"/>
      <w:r w:rsidRPr="00881DD5">
        <w:rPr>
          <w:rStyle w:val="aa"/>
          <w:rFonts w:ascii="方正仿宋_GBK" w:eastAsia="方正仿宋_GBK" w:hAnsi="方正仿宋_GBK" w:cs="方正仿宋_GBK" w:hint="default"/>
          <w:sz w:val="32"/>
          <w:szCs w:val="32"/>
          <w:shd w:val="clear" w:color="auto" w:fill="FFFFFF"/>
        </w:rPr>
        <w:t>4.比较情况。</w:t>
      </w:r>
      <w:bookmarkEnd w:id="0"/>
      <w:r w:rsidRPr="00CA1433">
        <w:rPr>
          <w:rFonts w:ascii="方正仿宋_GBK" w:eastAsia="方正仿宋_GBK" w:hAnsi="方正仿宋_GBK" w:cs="方正仿宋_GBK" w:hint="default"/>
          <w:sz w:val="32"/>
          <w:szCs w:val="32"/>
          <w:shd w:val="clear" w:color="auto" w:fill="FFFFFF"/>
        </w:rPr>
        <w:t>本单位2024年度一般公共预算财政拨款支出主要用于以下几个方面：</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（1）一般公共服务支出150.24万元，占77.09%，较年初预算数增加5.18万元，增长3.57%，主要原因是工会经费增加。</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（2）社会保障与就业支出27.29万元，占14.00%，较年初预算数增加10.10万元，增长58.76%，主要原因是缴费基数调整以及补缴以前年度差额。</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（3）卫生健康支出7.16万元，占3.67%，较年初预算数无增减，主要原因是严格按照预算数执行。</w:t>
      </w:r>
    </w:p>
    <w:p w:rsidR="000C2E51" w:rsidRDefault="000A5710" w:rsidP="00CA1433">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color w:val="FF0000"/>
          <w:sz w:val="32"/>
          <w:szCs w:val="32"/>
          <w:shd w:val="clear" w:color="auto" w:fill="FFFFFF"/>
        </w:rPr>
      </w:pPr>
      <w:r w:rsidRPr="00CA1433">
        <w:rPr>
          <w:rFonts w:ascii="方正仿宋_GBK" w:eastAsia="方正仿宋_GBK" w:hAnsi="方正仿宋_GBK" w:cs="方正仿宋_GBK" w:hint="default"/>
          <w:sz w:val="32"/>
          <w:szCs w:val="32"/>
          <w:shd w:val="clear" w:color="auto" w:fill="FFFFFF"/>
        </w:rPr>
        <w:lastRenderedPageBreak/>
        <w:t>（4）住房保障支出10.21万元，占5.24%，较年初预算数增加1.61万元，增长18.72%，主要原因是职工工资调整。</w:t>
      </w:r>
    </w:p>
    <w:p w:rsidR="000C2E51" w:rsidRPr="0040447F" w:rsidRDefault="000A5710" w:rsidP="000A5710">
      <w:pPr>
        <w:pStyle w:val="a8"/>
        <w:shd w:val="clear" w:color="auto" w:fill="FFFFFF"/>
        <w:ind w:firstLine="420"/>
        <w:rPr>
          <w:rStyle w:val="aa"/>
          <w:rFonts w:ascii="楷体" w:eastAsia="楷体" w:hAnsi="楷体" w:cs="楷体"/>
          <w:sz w:val="32"/>
          <w:szCs w:val="32"/>
          <w:shd w:val="clear" w:color="auto" w:fill="FFFFFF"/>
        </w:rPr>
      </w:pPr>
      <w:r w:rsidRPr="0040447F">
        <w:rPr>
          <w:rStyle w:val="aa"/>
          <w:rFonts w:ascii="楷体" w:eastAsia="楷体" w:hAnsi="楷体" w:cs="楷体"/>
          <w:sz w:val="32"/>
          <w:szCs w:val="32"/>
          <w:shd w:val="clear" w:color="auto" w:fill="FFFFFF"/>
        </w:rPr>
        <w:t>（四）一般公共预算财政拨款基本支出决算情况说明</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2024年度一般公共财政拨款基本支出194.89万元。其中：人员经费179.02万元，与2023年度相比，减少3.13万元，下降1.72%，主要原因是绩效工资</w:t>
      </w:r>
      <w:r w:rsidRPr="00CA1433">
        <w:rPr>
          <w:rFonts w:ascii="方正仿宋_GBK" w:eastAsia="方正仿宋_GBK" w:hAnsi="方正仿宋_GBK" w:cs="方正仿宋_GBK"/>
          <w:sz w:val="32"/>
          <w:szCs w:val="32"/>
          <w:shd w:val="clear" w:color="auto" w:fill="FFFFFF"/>
        </w:rPr>
        <w:t>清算比上年减少</w:t>
      </w:r>
      <w:r w:rsidRPr="00CA1433">
        <w:rPr>
          <w:rFonts w:ascii="方正仿宋_GBK" w:eastAsia="方正仿宋_GBK" w:hAnsi="方正仿宋_GBK" w:cs="方正仿宋_GBK" w:hint="default"/>
          <w:sz w:val="32"/>
          <w:szCs w:val="32"/>
          <w:shd w:val="clear" w:color="auto" w:fill="FFFFFF"/>
        </w:rPr>
        <w:t>。人员经费用途主要包括人员工资、社会保障缴费、公积金缴费等。公用经费15.88万元，与2023年度相比，减少9.61万元，下降37.70%，主要原因是办公费用减少。公用经费用途主要包括办公费、差旅费、工会经费等。</w:t>
      </w:r>
    </w:p>
    <w:p w:rsidR="000C2E51" w:rsidRPr="0040447F" w:rsidRDefault="000A5710" w:rsidP="0040447F">
      <w:pPr>
        <w:pStyle w:val="a8"/>
        <w:shd w:val="clear" w:color="auto" w:fill="FFFFFF"/>
        <w:ind w:firstLine="420"/>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（五）政府性基金预算收支决算情况说明</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color w:val="000000" w:themeColor="text1"/>
          <w:sz w:val="32"/>
          <w:szCs w:val="32"/>
          <w:shd w:val="clear" w:color="auto" w:fill="FFFFFF"/>
        </w:rPr>
        <w:t>是本年度无政府性基金预算财政拨款支出。本单位</w:t>
      </w:r>
      <w:r>
        <w:rPr>
          <w:rFonts w:ascii="Times New Roman" w:eastAsia="方正仿宋_GBK" w:hAnsi="Times New Roman"/>
          <w:color w:val="000000" w:themeColor="text1"/>
          <w:sz w:val="32"/>
          <w:szCs w:val="32"/>
          <w:shd w:val="clear" w:color="auto" w:fill="FFFFFF"/>
        </w:rPr>
        <w:t>2024</w:t>
      </w:r>
      <w:r>
        <w:rPr>
          <w:rFonts w:ascii="Times New Roman" w:eastAsia="方正仿宋_GBK" w:hAnsi="Times New Roman"/>
          <w:color w:val="000000" w:themeColor="text1"/>
          <w:sz w:val="32"/>
          <w:szCs w:val="32"/>
          <w:shd w:val="clear" w:color="auto" w:fill="FFFFFF"/>
        </w:rPr>
        <w:t>年度无政府性基金预算财政拨款收支。</w:t>
      </w:r>
    </w:p>
    <w:p w:rsidR="000C2E51" w:rsidRPr="0040447F" w:rsidRDefault="000A5710" w:rsidP="0040447F">
      <w:pPr>
        <w:pStyle w:val="a8"/>
        <w:shd w:val="clear" w:color="auto" w:fill="FFFFFF"/>
        <w:ind w:firstLine="420"/>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（六）国有资本经营预算财政拨款支出决算情况说明</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年度无国有资本经营预算财政拨款支出。</w:t>
      </w:r>
    </w:p>
    <w:p w:rsidR="000C2E51" w:rsidRPr="000A5710" w:rsidRDefault="000A5710" w:rsidP="000A5710">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0A5710">
        <w:rPr>
          <w:rStyle w:val="aa"/>
          <w:rFonts w:ascii="黑体" w:eastAsia="黑体" w:hAnsi="黑体" w:cs="黑体" w:hint="default"/>
          <w:sz w:val="32"/>
          <w:szCs w:val="32"/>
          <w:shd w:val="clear" w:color="auto" w:fill="FFFFFF"/>
        </w:rPr>
        <w:t>三、</w:t>
      </w:r>
      <w:r>
        <w:rPr>
          <w:rStyle w:val="aa"/>
          <w:rFonts w:ascii="黑体" w:eastAsia="黑体" w:hAnsi="黑体" w:cs="黑体"/>
          <w:sz w:val="32"/>
          <w:szCs w:val="32"/>
          <w:shd w:val="clear" w:color="auto" w:fill="FFFFFF"/>
        </w:rPr>
        <w:t>财政拨款“三公”经费情况说明</w:t>
      </w:r>
    </w:p>
    <w:p w:rsidR="000C2E51" w:rsidRPr="0040447F" w:rsidRDefault="000A5710" w:rsidP="0040447F">
      <w:pPr>
        <w:pStyle w:val="a8"/>
        <w:shd w:val="clear" w:color="auto" w:fill="FFFFFF"/>
        <w:ind w:firstLine="420"/>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（一）“三公”经费支出总体情况说明</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年度“三公”经费支出共计0.00万元，较年初预算数无增减，主要原因是我单位202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年未发生“三公”经费支出。较上年支出数无增减，主要原因是我单位本年及上年均未发生“三公”经费支出。</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（二）“三公”经费分项支出情况</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kern w:val="2"/>
          <w:sz w:val="32"/>
          <w:szCs w:val="32"/>
        </w:rPr>
      </w:pPr>
      <w:r>
        <w:rPr>
          <w:rFonts w:ascii="方正仿宋_GBK" w:eastAsia="方正仿宋_GBK" w:hAnsi="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rsidR="000C2E51" w:rsidRDefault="000A5710">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rsidR="000C2E51" w:rsidRDefault="000A5710">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公务车运行维护费0.00万元。费用支出较年初预算数无增减，主要原因是年初预算未安排且本年未发生公务车运行维护</w:t>
      </w:r>
      <w:r>
        <w:rPr>
          <w:rFonts w:ascii="方正仿宋_GBK" w:eastAsia="方正仿宋_GBK" w:hAnsi="方正仿宋_GBK" w:cs="方正仿宋_GBK"/>
          <w:sz w:val="32"/>
          <w:szCs w:val="32"/>
          <w:shd w:val="clear" w:color="auto" w:fill="FFFFFF"/>
        </w:rPr>
        <w:lastRenderedPageBreak/>
        <w:t>费用。较上年支出数无增减，主要原因是上年和本年均未发生公务车运行维护费用。</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（三）“三公”经费实物量情况</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rsidR="000C2E51" w:rsidRPr="000A5710" w:rsidRDefault="000A5710" w:rsidP="000A5710">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0A5710">
        <w:rPr>
          <w:rStyle w:val="aa"/>
          <w:rFonts w:ascii="黑体" w:eastAsia="黑体" w:hAnsi="黑体" w:cs="黑体" w:hint="default"/>
          <w:sz w:val="32"/>
          <w:szCs w:val="32"/>
          <w:shd w:val="clear" w:color="auto" w:fill="FFFFFF"/>
        </w:rPr>
        <w:t>四、其他需要说明的事项</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（一）财政拨款会议费和培训费情况说明</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本年度会议费支出0.00万元，较上年决算数无增减，主要原因是本年度会议未产生费用。本年度培训费支出0.09万元，较上年决算数减少0.36万元，下降80.00%，主要原因是本年接受培训较少。</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（二）机关运行经费情况说明</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lastRenderedPageBreak/>
        <w:t>（三）国有资产占用情况说明</w:t>
      </w:r>
    </w:p>
    <w:p w:rsidR="000C2E51" w:rsidRPr="00CA1433" w:rsidRDefault="000A5710">
      <w:pPr>
        <w:pStyle w:val="a8"/>
        <w:widowControl w:val="0"/>
        <w:overflowPunct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CA1433">
        <w:rPr>
          <w:rFonts w:ascii="方正仿宋_GBK" w:eastAsia="方正仿宋_GBK" w:hAnsi="方正仿宋_GBK" w:cs="方正仿宋_GBK" w:hint="default"/>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（四）政府采购支出情况说明</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年度我单位未发生政府采购事项，无相关经费支出。</w:t>
      </w:r>
    </w:p>
    <w:p w:rsidR="000C2E51" w:rsidRPr="000A5710" w:rsidRDefault="000A5710" w:rsidP="000A5710">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0A5710">
        <w:rPr>
          <w:rStyle w:val="aa"/>
          <w:rFonts w:ascii="黑体" w:eastAsia="黑体" w:hAnsi="黑体" w:cs="黑体" w:hint="default"/>
          <w:sz w:val="32"/>
          <w:szCs w:val="32"/>
          <w:shd w:val="clear" w:color="auto" w:fill="FFFFFF"/>
        </w:rPr>
        <w:t>五、</w:t>
      </w:r>
      <w:r>
        <w:rPr>
          <w:rStyle w:val="aa"/>
          <w:rFonts w:ascii="黑体" w:eastAsia="黑体" w:hAnsi="黑体" w:cs="黑体"/>
          <w:sz w:val="32"/>
          <w:szCs w:val="32"/>
          <w:shd w:val="clear" w:color="auto" w:fill="FFFFFF"/>
        </w:rPr>
        <w:t>2024年度预算绩效管理情况说明</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（一）单位自评情况</w:t>
      </w:r>
    </w:p>
    <w:p w:rsidR="000C2E51" w:rsidRDefault="000A5710">
      <w:pPr>
        <w:widowControl w:val="0"/>
        <w:overflowPunct w:val="0"/>
        <w:spacing w:line="594" w:lineRule="exact"/>
        <w:ind w:firstLineChars="200" w:firstLine="640"/>
        <w:jc w:val="both"/>
        <w:rPr>
          <w:rFonts w:ascii="Times New Roman" w:eastAsia="方正仿宋_GB2312" w:hAnsi="Times New Roman" w:hint="default"/>
          <w:kern w:val="2"/>
          <w:sz w:val="32"/>
          <w:szCs w:val="32"/>
        </w:rPr>
      </w:pPr>
      <w:r>
        <w:rPr>
          <w:rFonts w:ascii="Times New Roman" w:eastAsia="方正仿宋_GB2312" w:hAnsi="Times New Roman" w:hint="default"/>
          <w:kern w:val="2"/>
          <w:sz w:val="32"/>
          <w:szCs w:val="32"/>
        </w:rPr>
        <w:t>我单位无项目支出，未开展项目绩效自评，无绩效目标自评表。</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（二）单位绩效评价情况</w:t>
      </w:r>
    </w:p>
    <w:p w:rsidR="000C2E51" w:rsidRDefault="000A5710">
      <w:pPr>
        <w:pStyle w:val="1"/>
        <w:widowControl w:val="0"/>
        <w:overflowPunct w:val="0"/>
        <w:autoSpaceDE w:val="0"/>
        <w:spacing w:line="594" w:lineRule="exact"/>
        <w:ind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我单位未组织开展绩效评价。</w:t>
      </w:r>
    </w:p>
    <w:p w:rsidR="000C2E51" w:rsidRPr="0040447F" w:rsidRDefault="000A5710">
      <w:pPr>
        <w:pStyle w:val="a8"/>
        <w:widowControl w:val="0"/>
        <w:shd w:val="clear" w:color="auto" w:fill="FFFFFF"/>
        <w:overflowPunct w:val="0"/>
        <w:spacing w:before="0" w:beforeAutospacing="0" w:after="0" w:afterAutospacing="0" w:line="594" w:lineRule="exact"/>
        <w:ind w:firstLineChars="200" w:firstLine="643"/>
        <w:jc w:val="both"/>
        <w:rPr>
          <w:rStyle w:val="aa"/>
          <w:rFonts w:ascii="楷体" w:eastAsia="楷体" w:hAnsi="楷体" w:cs="楷体" w:hint="default"/>
          <w:sz w:val="32"/>
          <w:szCs w:val="32"/>
          <w:shd w:val="clear" w:color="auto" w:fill="FFFFFF"/>
        </w:rPr>
      </w:pPr>
      <w:r w:rsidRPr="0040447F">
        <w:rPr>
          <w:rStyle w:val="aa"/>
          <w:rFonts w:ascii="楷体" w:eastAsia="楷体" w:hAnsi="楷体" w:cs="楷体" w:hint="default"/>
          <w:sz w:val="32"/>
          <w:szCs w:val="32"/>
          <w:shd w:val="clear" w:color="auto" w:fill="FFFFFF"/>
        </w:rPr>
        <w:t>（三）财政绩效评价情况</w:t>
      </w:r>
    </w:p>
    <w:p w:rsidR="000C2E51" w:rsidRDefault="000A5710">
      <w:pPr>
        <w:pStyle w:val="1"/>
        <w:widowControl w:val="0"/>
        <w:overflowPunct w:val="0"/>
        <w:autoSpaceDE w:val="0"/>
        <w:spacing w:line="594" w:lineRule="exact"/>
        <w:ind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县</w:t>
      </w:r>
      <w:r>
        <w:rPr>
          <w:rFonts w:ascii="Times New Roman" w:eastAsia="方正仿宋_GB2312" w:hAnsi="Times New Roman"/>
          <w:kern w:val="2"/>
          <w:sz w:val="32"/>
          <w:szCs w:val="32"/>
        </w:rPr>
        <w:t>财政局未委托第三方对我单位开展绩效评价。</w:t>
      </w:r>
    </w:p>
    <w:p w:rsidR="000C2E51" w:rsidRDefault="000A5710">
      <w:pPr>
        <w:pStyle w:val="a8"/>
        <w:widowControl w:val="0"/>
        <w:shd w:val="clear" w:color="auto" w:fill="FFFFFF"/>
        <w:overflowPunct w:val="0"/>
        <w:spacing w:before="0" w:beforeAutospacing="0" w:after="0" w:afterAutospacing="0" w:line="594" w:lineRule="exact"/>
        <w:ind w:firstLineChars="200" w:firstLine="640"/>
        <w:jc w:val="both"/>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hint="default"/>
          <w:b w:val="0"/>
          <w:bCs/>
          <w:sz w:val="32"/>
          <w:szCs w:val="32"/>
          <w:shd w:val="clear" w:color="auto" w:fill="FFFFFF"/>
        </w:rPr>
        <w:lastRenderedPageBreak/>
        <w:t>六、专业名词解释</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（一）财政拨款收入：</w:t>
      </w:r>
      <w:r>
        <w:rPr>
          <w:rFonts w:ascii="Times New Roman" w:eastAsia="方正仿宋_GB2312" w:hAnsi="Times New Roman" w:hint="default"/>
          <w:sz w:val="32"/>
          <w:szCs w:val="32"/>
          <w:shd w:val="clear" w:color="auto" w:fill="FFFFFF"/>
        </w:rPr>
        <w:t>指本年度从本级财政部门取得的财政拨款，包括一般公共预算财政拨款和政府性基金预算财政拨款。</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（二）事业收入：</w:t>
      </w:r>
      <w:r>
        <w:rPr>
          <w:rFonts w:ascii="Times New Roman" w:eastAsia="方正仿宋_GB2312"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（三）经营收入：</w:t>
      </w:r>
      <w:r>
        <w:rPr>
          <w:rFonts w:ascii="Times New Roman" w:eastAsia="方正仿宋_GB2312" w:hAnsi="Times New Roman" w:hint="default"/>
          <w:sz w:val="32"/>
          <w:szCs w:val="32"/>
          <w:shd w:val="clear" w:color="auto" w:fill="FFFFFF"/>
        </w:rPr>
        <w:t>指事业单位在专业业务活动及其辅助活动之外开展非独立核算经营活动取得的现金流入。</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（四）其他收入：</w:t>
      </w:r>
      <w:r>
        <w:rPr>
          <w:rFonts w:ascii="Times New Roman" w:eastAsia="方正仿宋_GB2312" w:hAnsi="Times New Roman" w:hint="default"/>
          <w:sz w:val="32"/>
          <w:szCs w:val="32"/>
          <w:shd w:val="clear" w:color="auto" w:fill="FFFFFF"/>
        </w:rPr>
        <w:t>指单位取得的除</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财政拨款收入</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事业收入</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经营收入</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（五）使用非财政拨款结余：</w:t>
      </w:r>
      <w:r>
        <w:rPr>
          <w:rFonts w:ascii="Times New Roman" w:eastAsia="方正仿宋_GB2312" w:hAnsi="Times New Roman" w:hint="default"/>
          <w:sz w:val="32"/>
          <w:szCs w:val="32"/>
          <w:shd w:val="clear" w:color="auto" w:fill="FFFFFF"/>
        </w:rPr>
        <w:t>指单位在当年的</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财政拨款收入</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事业收入</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经营收入</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其他收入</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等不足以安排当年支出的情况下，使用以前年度积累的非财政拨款结余弥补本年度收支缺口的资金。</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（六）年初结转和结余：</w:t>
      </w:r>
      <w:r>
        <w:rPr>
          <w:rFonts w:ascii="Times New Roman" w:eastAsia="方正仿宋_GB2312" w:hAnsi="Times New Roman" w:hint="default"/>
          <w:sz w:val="32"/>
          <w:szCs w:val="32"/>
          <w:shd w:val="clear" w:color="auto" w:fill="FFFFFF"/>
        </w:rPr>
        <w:t>指单位上年结转本年使用的基本</w:t>
      </w:r>
      <w:r>
        <w:rPr>
          <w:rFonts w:ascii="Times New Roman" w:eastAsia="方正仿宋_GB2312" w:hAnsi="Times New Roman" w:hint="default"/>
          <w:sz w:val="32"/>
          <w:szCs w:val="32"/>
          <w:shd w:val="clear" w:color="auto" w:fill="FFFFFF"/>
        </w:rPr>
        <w:lastRenderedPageBreak/>
        <w:t>支出结转、项目支出结转和结余、经营结余。</w:t>
      </w:r>
    </w:p>
    <w:p w:rsidR="000C2E51" w:rsidRDefault="000A5710">
      <w:pPr>
        <w:pStyle w:val="a8"/>
        <w:widowControl w:val="0"/>
        <w:overflowPunct w:val="0"/>
        <w:snapToGrid w:val="0"/>
        <w:spacing w:before="0" w:beforeAutospacing="0" w:after="0" w:afterAutospacing="0" w:line="594" w:lineRule="exact"/>
        <w:ind w:firstLineChars="200" w:firstLine="643"/>
        <w:jc w:val="both"/>
        <w:rPr>
          <w:rFonts w:ascii="Times New Roman" w:eastAsia="方正仿宋_GB2312" w:hAnsi="Times New Roman" w:hint="default"/>
          <w:sz w:val="32"/>
          <w:szCs w:val="32"/>
        </w:rPr>
      </w:pPr>
      <w:r>
        <w:rPr>
          <w:rStyle w:val="aa"/>
          <w:rFonts w:ascii="Times New Roman" w:eastAsia="方正仿宋_GB2312" w:hAnsi="Times New Roman" w:hint="default"/>
          <w:sz w:val="32"/>
          <w:szCs w:val="32"/>
          <w:shd w:val="clear" w:color="auto" w:fill="FFFFFF"/>
        </w:rPr>
        <w:t>（七）结余分配</w:t>
      </w:r>
      <w:r>
        <w:rPr>
          <w:rFonts w:ascii="Times New Roman" w:eastAsia="方正仿宋_GB2312" w:hAnsi="Times New Roman" w:hint="default"/>
          <w:sz w:val="32"/>
          <w:szCs w:val="32"/>
          <w:shd w:val="clear" w:color="auto" w:fill="FFFFFF"/>
        </w:rPr>
        <w:t>：指单位按照国家有关规定，缴纳所得税、提取专用基金、转入非财政拨款结余等当年结余的分配情况。</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（八）年末结转和结余：</w:t>
      </w:r>
      <w:r>
        <w:rPr>
          <w:rFonts w:ascii="Times New Roman" w:eastAsia="方正仿宋_GB2312" w:hAnsi="Times New Roman" w:hint="default"/>
          <w:sz w:val="32"/>
          <w:szCs w:val="32"/>
          <w:shd w:val="clear" w:color="auto" w:fill="FFFFFF"/>
        </w:rPr>
        <w:t>指单位结转下年的基本支出结转、项目支出结转和结余、经营结余。</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（九）基本支出：</w:t>
      </w:r>
      <w:r>
        <w:rPr>
          <w:rFonts w:ascii="Times New Roman" w:eastAsia="方正仿宋_GB2312"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工资福利支出</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和</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对个人和家庭的补助</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；公用经费指政府收支分类经济科目中除</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工资福利支出</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和</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对个人和家庭的补助</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外的其他支出。</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（十）项目支出：</w:t>
      </w:r>
      <w:r>
        <w:rPr>
          <w:rFonts w:ascii="Times New Roman" w:eastAsia="方正仿宋_GB2312" w:hAnsi="Times New Roman" w:hint="default"/>
          <w:sz w:val="32"/>
          <w:szCs w:val="32"/>
          <w:shd w:val="clear" w:color="auto" w:fill="FFFFFF"/>
        </w:rPr>
        <w:t>指在基本支出之外为完成特定行政任务和事业发展目标所发生的支出。</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（十一）经营支出：</w:t>
      </w:r>
      <w:r>
        <w:rPr>
          <w:rFonts w:ascii="Times New Roman" w:eastAsia="方正仿宋_GB2312" w:hAnsi="Times New Roman" w:hint="default"/>
          <w:sz w:val="32"/>
          <w:szCs w:val="32"/>
          <w:shd w:val="clear" w:color="auto" w:fill="FFFFFF"/>
        </w:rPr>
        <w:t>指事业单位在专业业务活动及其辅助活动之外开展非独立核算经营活动发生的支出。</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（十二）“三公”经费：</w:t>
      </w:r>
      <w:r>
        <w:rPr>
          <w:rFonts w:ascii="Times New Roman" w:eastAsia="方正仿宋_GB2312"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w:t>
      </w:r>
      <w:r>
        <w:rPr>
          <w:rFonts w:ascii="Times New Roman" w:eastAsia="方正仿宋_GB2312" w:hAnsi="Times New Roman" w:hint="default"/>
          <w:sz w:val="32"/>
          <w:szCs w:val="32"/>
          <w:shd w:val="clear" w:color="auto" w:fill="FFFFFF"/>
        </w:rPr>
        <w:lastRenderedPageBreak/>
        <w:t>出；公务接待费反映单位按规定开支的各类公务接待（含外宾接待）支出。</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（十三）机关运行经费：</w:t>
      </w:r>
      <w:r>
        <w:rPr>
          <w:rFonts w:ascii="Times New Roman" w:eastAsia="方正仿宋_GB2312"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（十四）工资福利支出（支出经济分类科目类级）：</w:t>
      </w:r>
      <w:r>
        <w:rPr>
          <w:rFonts w:ascii="Times New Roman" w:eastAsia="方正仿宋_GB2312" w:hAnsi="Times New Roman" w:hint="default"/>
          <w:sz w:val="32"/>
          <w:szCs w:val="32"/>
          <w:shd w:val="clear" w:color="auto" w:fill="FFFFFF"/>
        </w:rPr>
        <w:t>反映单位开支的在职职工和编制外长期聘用人员的各类劳动报酬，以及为上述人员缴纳的各项社会保险费等。</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（十五）商品和服务支出（支出经济分类科目类级）：</w:t>
      </w:r>
      <w:r>
        <w:rPr>
          <w:rFonts w:ascii="Times New Roman" w:eastAsia="方正仿宋_GB2312" w:hAnsi="Times New Roman" w:hint="default"/>
          <w:sz w:val="32"/>
          <w:szCs w:val="32"/>
          <w:shd w:val="clear" w:color="auto" w:fill="FFFFFF"/>
        </w:rPr>
        <w:t>反映单位购买商品和服务的支出（不包括用于购置固定资产的支出、战略性和应急储备支出）。</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（十六）对个人和家庭的补助（支出经济分类科目类级）：</w:t>
      </w:r>
      <w:r>
        <w:rPr>
          <w:rFonts w:ascii="Times New Roman" w:eastAsia="方正仿宋_GB2312" w:hAnsi="Times New Roman" w:hint="default"/>
          <w:sz w:val="32"/>
          <w:szCs w:val="32"/>
          <w:shd w:val="clear" w:color="auto" w:fill="FFFFFF"/>
        </w:rPr>
        <w:t>反映用于对个人和家庭的补助支出。</w:t>
      </w:r>
    </w:p>
    <w:p w:rsidR="000C2E51" w:rsidRDefault="000A5710">
      <w:pPr>
        <w:pStyle w:val="a8"/>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Style w:val="aa"/>
          <w:rFonts w:ascii="方正楷体_GB2312" w:eastAsia="方正楷体_GB2312" w:hAnsi="方正楷体_GB2312" w:cs="方正楷体_GB2312" w:hint="default"/>
          <w:b w:val="0"/>
          <w:bCs/>
          <w:sz w:val="32"/>
          <w:szCs w:val="32"/>
          <w:shd w:val="clear" w:color="auto" w:fill="FFFFFF"/>
        </w:rPr>
        <w:t>（十七）其他资本性支出（支出经济分类科目类级）：</w:t>
      </w:r>
      <w:r>
        <w:rPr>
          <w:rFonts w:ascii="Times New Roman" w:eastAsia="方正仿宋_GB2312"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C2E51" w:rsidRDefault="000A5710">
      <w:pPr>
        <w:pStyle w:val="a8"/>
        <w:widowControl w:val="0"/>
        <w:shd w:val="clear" w:color="auto" w:fill="FFFFFF"/>
        <w:overflowPunct w:val="0"/>
        <w:spacing w:before="0" w:beforeAutospacing="0" w:after="0" w:afterAutospacing="0" w:line="594" w:lineRule="exact"/>
        <w:ind w:firstLineChars="200" w:firstLine="640"/>
        <w:jc w:val="both"/>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七、决算公开联系方式及信息反馈渠道</w:t>
      </w:r>
    </w:p>
    <w:p w:rsidR="000C2E51" w:rsidRDefault="000A5710">
      <w:pPr>
        <w:pStyle w:val="1"/>
        <w:widowControl w:val="0"/>
        <w:overflowPunct w:val="0"/>
        <w:autoSpaceDE w:val="0"/>
        <w:spacing w:line="594" w:lineRule="exact"/>
        <w:ind w:firstLine="640"/>
        <w:jc w:val="both"/>
        <w:rPr>
          <w:rStyle w:val="aa"/>
          <w:rFonts w:ascii="Times New Roman" w:eastAsia="方正仿宋_GB2312" w:hAnsi="Times New Roman"/>
          <w:sz w:val="32"/>
          <w:szCs w:val="32"/>
          <w:shd w:val="clear" w:color="auto" w:fill="FFFF00"/>
        </w:rPr>
        <w:sectPr w:rsidR="000C2E51">
          <w:footerReference w:type="default" r:id="rId7"/>
          <w:pgSz w:w="11915" w:h="16840"/>
          <w:pgMar w:top="2098" w:right="1587" w:bottom="1984" w:left="1587" w:header="851" w:footer="1361" w:gutter="0"/>
          <w:cols w:space="0"/>
          <w:docGrid w:type="lines" w:linePitch="327"/>
        </w:sectPr>
      </w:pPr>
      <w:r>
        <w:rPr>
          <w:rFonts w:ascii="Times New Roman" w:eastAsia="方正仿宋_GB2312" w:hAnsi="Times New Roman"/>
          <w:sz w:val="32"/>
          <w:szCs w:val="32"/>
          <w:shd w:val="clear" w:color="auto" w:fill="FFFFFF"/>
        </w:rPr>
        <w:lastRenderedPageBreak/>
        <w:t>本单位决算公开信息反馈和联系方式：</w:t>
      </w:r>
      <w:r>
        <w:rPr>
          <w:rFonts w:ascii="Times New Roman" w:eastAsia="方正仿宋_GB2312" w:hAnsi="Times New Roman" w:hint="eastAsia"/>
          <w:sz w:val="32"/>
          <w:szCs w:val="32"/>
          <w:shd w:val="clear" w:color="auto" w:fill="FFFFFF"/>
        </w:rPr>
        <w:t>吴老师</w:t>
      </w:r>
      <w:r>
        <w:rPr>
          <w:rFonts w:ascii="Times New Roman" w:eastAsia="方正仿宋_GB2312" w:hAnsi="Times New Roman"/>
          <w:sz w:val="32"/>
          <w:szCs w:val="32"/>
          <w:shd w:val="clear" w:color="auto" w:fill="FFFFFF"/>
        </w:rPr>
        <w:t>023-74512573</w:t>
      </w:r>
    </w:p>
    <w:tbl>
      <w:tblPr>
        <w:tblpPr w:leftFromText="180" w:rightFromText="180" w:vertAnchor="text" w:horzAnchor="page" w:tblpX="1058" w:tblpY="22"/>
        <w:tblOverlap w:val="never"/>
        <w:tblW w:w="14791" w:type="dxa"/>
        <w:tblLayout w:type="fixed"/>
        <w:tblCellMar>
          <w:left w:w="0" w:type="dxa"/>
          <w:right w:w="0" w:type="dxa"/>
        </w:tblCellMar>
        <w:tblLook w:val="04A0" w:firstRow="1" w:lastRow="0" w:firstColumn="1" w:lastColumn="0" w:noHBand="0" w:noVBand="1"/>
      </w:tblPr>
      <w:tblGrid>
        <w:gridCol w:w="4309"/>
        <w:gridCol w:w="3571"/>
        <w:gridCol w:w="4059"/>
        <w:gridCol w:w="2852"/>
      </w:tblGrid>
      <w:tr w:rsidR="000C2E51">
        <w:trPr>
          <w:trHeight w:val="232"/>
        </w:trPr>
        <w:tc>
          <w:tcPr>
            <w:tcW w:w="14791" w:type="dxa"/>
            <w:gridSpan w:val="4"/>
            <w:tcBorders>
              <w:top w:val="nil"/>
              <w:left w:val="nil"/>
              <w:bottom w:val="nil"/>
              <w:right w:val="nil"/>
            </w:tcBorders>
            <w:shd w:val="clear" w:color="auto" w:fill="auto"/>
            <w:tcMar>
              <w:top w:w="15" w:type="dxa"/>
              <w:left w:w="15" w:type="dxa"/>
              <w:right w:w="15" w:type="dxa"/>
            </w:tcMar>
            <w:vAlign w:val="bottom"/>
          </w:tcPr>
          <w:p w:rsidR="000C2E51" w:rsidRDefault="000A5710">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C2E51">
        <w:trPr>
          <w:trHeight w:val="232"/>
        </w:trPr>
        <w:tc>
          <w:tcPr>
            <w:tcW w:w="4309"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ascii="Arial" w:hAnsi="Arial" w:cs="Arial" w:hint="default"/>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jc w:val="right"/>
              <w:rPr>
                <w:rFonts w:ascii="Arial" w:hAnsi="Arial" w:cs="Arial" w:hint="default"/>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ascii="Arial" w:hAnsi="Arial" w:cs="Arial" w:hint="default"/>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rsidR="000C2E51" w:rsidRDefault="000A571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C2E51">
        <w:trPr>
          <w:trHeight w:val="232"/>
        </w:trPr>
        <w:tc>
          <w:tcPr>
            <w:tcW w:w="7880" w:type="dxa"/>
            <w:gridSpan w:val="2"/>
            <w:tcBorders>
              <w:top w:val="nil"/>
              <w:left w:val="nil"/>
              <w:bottom w:val="nil"/>
              <w:right w:val="nil"/>
            </w:tcBorders>
            <w:shd w:val="clear" w:color="auto" w:fill="auto"/>
            <w:tcMar>
              <w:top w:w="15" w:type="dxa"/>
              <w:left w:w="15" w:type="dxa"/>
              <w:right w:w="15" w:type="dxa"/>
            </w:tcMar>
            <w:vAlign w:val="bottom"/>
          </w:tcPr>
          <w:p w:rsidR="000C2E51" w:rsidRDefault="000A5710">
            <w:pPr>
              <w:spacing w:line="200" w:lineRule="exact"/>
              <w:rPr>
                <w:rFonts w:ascii="Arial" w:hAnsi="Arial" w:cs="Arial" w:hint="default"/>
                <w:color w:val="000000"/>
                <w:sz w:val="22"/>
                <w:szCs w:val="22"/>
              </w:rPr>
            </w:pPr>
            <w:r>
              <w:rPr>
                <w:rFonts w:cs="宋体"/>
                <w:sz w:val="20"/>
                <w:szCs w:val="20"/>
              </w:rPr>
              <w:t>单位：</w:t>
            </w:r>
            <w:r>
              <w:rPr>
                <w:sz w:val="20"/>
              </w:rPr>
              <w:t>垫江县统计执法检查大队</w:t>
            </w:r>
          </w:p>
        </w:tc>
        <w:tc>
          <w:tcPr>
            <w:tcW w:w="4059"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ascii="Arial" w:hAnsi="Arial" w:cs="Arial" w:hint="default"/>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rsidR="000C2E51" w:rsidRDefault="000A571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243"/>
        </w:trPr>
        <w:tc>
          <w:tcPr>
            <w:tcW w:w="7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911"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194.89</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71" w:type="dxa"/>
            <w:tcBorders>
              <w:top w:val="nil"/>
              <w:left w:val="nil"/>
              <w:bottom w:val="nil"/>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27.29</w:t>
            </w: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90"/>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10.21</w:t>
            </w: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jc w:val="center"/>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194.89</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194.89</w:t>
            </w: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52"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20"/>
                <w:szCs w:val="20"/>
              </w:rPr>
            </w:pPr>
          </w:p>
        </w:tc>
      </w:tr>
      <w:tr w:rsidR="000C2E51">
        <w:trPr>
          <w:trHeight w:val="25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194.89</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0C2E51" w:rsidRDefault="000A571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194.89</w:t>
            </w:r>
          </w:p>
        </w:tc>
      </w:tr>
    </w:tbl>
    <w:p w:rsidR="000C2E51" w:rsidRDefault="000C2E51">
      <w:pPr>
        <w:rPr>
          <w:rFonts w:cs="宋体" w:hint="default"/>
          <w:sz w:val="21"/>
          <w:szCs w:val="21"/>
        </w:rPr>
      </w:pPr>
    </w:p>
    <w:p w:rsidR="000C2E51" w:rsidRDefault="000A5710">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100" w:type="dxa"/>
        <w:tblLayout w:type="fixed"/>
        <w:tblCellMar>
          <w:left w:w="0" w:type="dxa"/>
          <w:right w:w="0" w:type="dxa"/>
        </w:tblCellMar>
        <w:tblLook w:val="04A0" w:firstRow="1" w:lastRow="0" w:firstColumn="1" w:lastColumn="0" w:noHBand="0" w:noVBand="1"/>
      </w:tblPr>
      <w:tblGrid>
        <w:gridCol w:w="1637"/>
        <w:gridCol w:w="3089"/>
        <w:gridCol w:w="1316"/>
        <w:gridCol w:w="1376"/>
        <w:gridCol w:w="1257"/>
        <w:gridCol w:w="1257"/>
        <w:gridCol w:w="1329"/>
        <w:gridCol w:w="1267"/>
        <w:gridCol w:w="1401"/>
        <w:gridCol w:w="1171"/>
      </w:tblGrid>
      <w:tr w:rsidR="000C2E51">
        <w:trPr>
          <w:trHeight w:val="641"/>
        </w:trPr>
        <w:tc>
          <w:tcPr>
            <w:tcW w:w="15100" w:type="dxa"/>
            <w:gridSpan w:val="10"/>
            <w:tcBorders>
              <w:top w:val="nil"/>
              <w:left w:val="nil"/>
              <w:bottom w:val="nil"/>
              <w:right w:val="nil"/>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C2E51">
        <w:trPr>
          <w:trHeight w:val="328"/>
        </w:trPr>
        <w:tc>
          <w:tcPr>
            <w:tcW w:w="6042" w:type="dxa"/>
            <w:gridSpan w:val="3"/>
            <w:vMerge w:val="restart"/>
            <w:tcBorders>
              <w:top w:val="nil"/>
              <w:left w:val="nil"/>
              <w:right w:val="nil"/>
            </w:tcBorders>
            <w:shd w:val="clear" w:color="auto" w:fill="auto"/>
            <w:tcMar>
              <w:top w:w="15" w:type="dxa"/>
              <w:left w:w="15" w:type="dxa"/>
              <w:right w:w="15" w:type="dxa"/>
            </w:tcMar>
            <w:vAlign w:val="bottom"/>
          </w:tcPr>
          <w:p w:rsidR="000C2E51" w:rsidRDefault="000A5710">
            <w:pPr>
              <w:rPr>
                <w:rFonts w:cs="宋体" w:hint="default"/>
                <w:color w:val="000000"/>
                <w:sz w:val="20"/>
                <w:szCs w:val="20"/>
              </w:rPr>
            </w:pPr>
            <w:r>
              <w:rPr>
                <w:rFonts w:cs="宋体"/>
                <w:sz w:val="20"/>
                <w:szCs w:val="20"/>
              </w:rPr>
              <w:t>单位：</w:t>
            </w:r>
            <w:r>
              <w:rPr>
                <w:sz w:val="20"/>
              </w:rPr>
              <w:t>垫江县统计执法检查大队</w:t>
            </w:r>
          </w:p>
        </w:tc>
        <w:tc>
          <w:tcPr>
            <w:tcW w:w="1376"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171"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C2E51">
        <w:trPr>
          <w:trHeight w:val="328"/>
        </w:trPr>
        <w:tc>
          <w:tcPr>
            <w:tcW w:w="6042" w:type="dxa"/>
            <w:gridSpan w:val="3"/>
            <w:vMerge/>
            <w:tcBorders>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171"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431"/>
        </w:trPr>
        <w:tc>
          <w:tcPr>
            <w:tcW w:w="4726" w:type="dxa"/>
            <w:gridSpan w:val="2"/>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20"/>
                <w:szCs w:val="20"/>
              </w:rPr>
            </w:pPr>
            <w:r>
              <w:rPr>
                <w:rFonts w:cs="宋体"/>
                <w:b/>
                <w:color w:val="000000"/>
                <w:sz w:val="20"/>
                <w:szCs w:val="20"/>
              </w:rPr>
              <w:t>项目</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本年收入合计</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财政拨款收入</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上级补助收入</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20"/>
                <w:szCs w:val="20"/>
              </w:rPr>
            </w:pPr>
            <w:r>
              <w:rPr>
                <w:rFonts w:cs="宋体"/>
                <w:b/>
                <w:color w:val="000000"/>
                <w:sz w:val="20"/>
                <w:szCs w:val="20"/>
              </w:rPr>
              <w:t>事业收入</w:t>
            </w:r>
          </w:p>
        </w:tc>
        <w:tc>
          <w:tcPr>
            <w:tcW w:w="12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经营收入</w:t>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附属单位上缴收入</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其他收入</w:t>
            </w:r>
          </w:p>
        </w:tc>
      </w:tr>
      <w:tr w:rsidR="000C2E51">
        <w:trPr>
          <w:trHeight w:val="334"/>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小计</w:t>
            </w:r>
          </w:p>
        </w:tc>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其中：教育收费</w:t>
            </w: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8"/>
        </w:trPr>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131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194.89</w:t>
            </w:r>
          </w:p>
        </w:tc>
        <w:tc>
          <w:tcPr>
            <w:tcW w:w="13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194.89</w:t>
            </w:r>
          </w:p>
        </w:tc>
        <w:tc>
          <w:tcPr>
            <w:tcW w:w="12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4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一般公共服务支出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20105</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统计信息事务</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2010550</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事业运行</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208</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社会保障和就业支出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20805</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行政事业单位养老支出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2080505</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机关事业单位基本养老保险缴费支出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18.55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18.55</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2080506</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机关事业单位职业年金缴费支出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8.74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8.74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210</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卫生健康支出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21011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行政事业单位医疗</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2101102</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事业单位医疗</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221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住房保障支出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22102</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住房改革支出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2210201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住房公积金</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10.21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10.21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0C2E51" w:rsidRDefault="000A5710">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0C2E51" w:rsidRDefault="000A5710">
      <w:pPr>
        <w:rPr>
          <w:rFonts w:cs="宋体" w:hint="default"/>
          <w:sz w:val="20"/>
          <w:szCs w:val="20"/>
        </w:rPr>
      </w:pPr>
      <w:r>
        <w:rPr>
          <w:rFonts w:cs="宋体"/>
          <w:sz w:val="20"/>
          <w:szCs w:val="20"/>
        </w:rPr>
        <w:br w:type="page"/>
      </w:r>
    </w:p>
    <w:tbl>
      <w:tblPr>
        <w:tblW w:w="15378" w:type="dxa"/>
        <w:tblLayout w:type="fixed"/>
        <w:tblCellMar>
          <w:left w:w="0" w:type="dxa"/>
          <w:right w:w="0" w:type="dxa"/>
        </w:tblCellMar>
        <w:tblLook w:val="04A0" w:firstRow="1" w:lastRow="0" w:firstColumn="1" w:lastColumn="0" w:noHBand="0" w:noVBand="1"/>
      </w:tblPr>
      <w:tblGrid>
        <w:gridCol w:w="1637"/>
        <w:gridCol w:w="3543"/>
        <w:gridCol w:w="1652"/>
        <w:gridCol w:w="1701"/>
        <w:gridCol w:w="1634"/>
        <w:gridCol w:w="1566"/>
        <w:gridCol w:w="1701"/>
        <w:gridCol w:w="1944"/>
      </w:tblGrid>
      <w:tr w:rsidR="000C2E51">
        <w:trPr>
          <w:trHeight w:val="654"/>
        </w:trPr>
        <w:tc>
          <w:tcPr>
            <w:tcW w:w="15378" w:type="dxa"/>
            <w:gridSpan w:val="8"/>
            <w:tcBorders>
              <w:top w:val="nil"/>
              <w:left w:val="nil"/>
              <w:bottom w:val="nil"/>
              <w:right w:val="nil"/>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0C2E51">
        <w:trPr>
          <w:trHeight w:val="342"/>
        </w:trPr>
        <w:tc>
          <w:tcPr>
            <w:tcW w:w="6832" w:type="dxa"/>
            <w:gridSpan w:val="3"/>
            <w:vMerge w:val="restart"/>
            <w:tcBorders>
              <w:top w:val="nil"/>
              <w:left w:val="nil"/>
              <w:right w:val="nil"/>
            </w:tcBorders>
            <w:shd w:val="clear" w:color="auto" w:fill="auto"/>
            <w:tcMar>
              <w:top w:w="15" w:type="dxa"/>
              <w:left w:w="15" w:type="dxa"/>
              <w:right w:w="15" w:type="dxa"/>
            </w:tcMar>
            <w:vAlign w:val="bottom"/>
          </w:tcPr>
          <w:p w:rsidR="000C2E51" w:rsidRDefault="000A571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垫江县统计执法检查大队 </w:t>
            </w:r>
          </w:p>
        </w:tc>
        <w:tc>
          <w:tcPr>
            <w:tcW w:w="1701"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C2E51">
        <w:trPr>
          <w:trHeight w:val="342"/>
        </w:trPr>
        <w:tc>
          <w:tcPr>
            <w:tcW w:w="6832" w:type="dxa"/>
            <w:gridSpan w:val="3"/>
            <w:vMerge/>
            <w:tcBorders>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362"/>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20"/>
                <w:szCs w:val="20"/>
              </w:rPr>
            </w:pPr>
            <w:r>
              <w:rPr>
                <w:rFonts w:cs="宋体"/>
                <w:b/>
                <w:color w:val="000000"/>
                <w:sz w:val="20"/>
                <w:szCs w:val="20"/>
              </w:rPr>
              <w:t>项目</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本年支出合计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基本支出</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项目支出</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上缴上级支出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经营支出</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对附属单位补助支出</w:t>
            </w:r>
          </w:p>
        </w:tc>
      </w:tr>
      <w:tr w:rsidR="000C2E51">
        <w:trPr>
          <w:trHeight w:val="338"/>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62"/>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16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194.89</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194.89</w:t>
            </w:r>
          </w:p>
        </w:tc>
        <w:tc>
          <w:tcPr>
            <w:tcW w:w="16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5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9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一般公共服务支出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20105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统计信息事务</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150.24</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2010550</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事业运行</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208</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社会保障和就业支出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20805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行政事业单位养老支出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2080505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机关事业单位基本养老保险缴费支出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18.55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18.55</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2080506</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机关事业单位职业年金缴费支出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8.74</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210</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卫生健康支出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21011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行政事业单位医疗</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7.16</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2101102</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事业单位医疗</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221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住房保障支出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22102</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住房改革支出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10.21</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C2E51">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2210201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住房公积金</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10.21</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0C2E51" w:rsidRDefault="000A5710">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C2E51" w:rsidRDefault="000A5710">
      <w:pPr>
        <w:rPr>
          <w:rFonts w:cs="宋体" w:hint="default"/>
          <w:sz w:val="21"/>
          <w:szCs w:val="21"/>
        </w:rPr>
      </w:pPr>
      <w:r>
        <w:rPr>
          <w:rFonts w:cs="宋体"/>
          <w:sz w:val="21"/>
          <w:szCs w:val="21"/>
        </w:rPr>
        <w:br w:type="page"/>
      </w:r>
    </w:p>
    <w:p w:rsidR="000C2E51" w:rsidRDefault="000C2E51">
      <w:pPr>
        <w:rPr>
          <w:rFonts w:cs="宋体" w:hint="default"/>
          <w:sz w:val="21"/>
          <w:szCs w:val="21"/>
        </w:rPr>
      </w:pPr>
    </w:p>
    <w:tbl>
      <w:tblPr>
        <w:tblW w:w="14732" w:type="dxa"/>
        <w:tblLayout w:type="fixed"/>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0C2E51">
        <w:trPr>
          <w:trHeight w:val="90"/>
        </w:trPr>
        <w:tc>
          <w:tcPr>
            <w:tcW w:w="14732" w:type="dxa"/>
            <w:gridSpan w:val="7"/>
            <w:tcBorders>
              <w:top w:val="nil"/>
              <w:left w:val="nil"/>
              <w:bottom w:val="nil"/>
              <w:right w:val="nil"/>
            </w:tcBorders>
            <w:shd w:val="clear" w:color="auto" w:fill="auto"/>
            <w:tcMar>
              <w:top w:w="15" w:type="dxa"/>
              <w:left w:w="15" w:type="dxa"/>
              <w:right w:w="15" w:type="dxa"/>
            </w:tcMar>
            <w:vAlign w:val="bottom"/>
          </w:tcPr>
          <w:p w:rsidR="000C2E51" w:rsidRDefault="000A5710">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C2E51">
        <w:trPr>
          <w:trHeight w:val="90"/>
        </w:trPr>
        <w:tc>
          <w:tcPr>
            <w:tcW w:w="7696" w:type="dxa"/>
            <w:gridSpan w:val="3"/>
            <w:vMerge w:val="restart"/>
            <w:tcBorders>
              <w:top w:val="nil"/>
              <w:left w:val="nil"/>
              <w:right w:val="nil"/>
            </w:tcBorders>
            <w:shd w:val="clear" w:color="auto" w:fill="auto"/>
            <w:tcMar>
              <w:top w:w="15" w:type="dxa"/>
              <w:left w:w="15" w:type="dxa"/>
              <w:right w:w="15" w:type="dxa"/>
            </w:tcMar>
            <w:vAlign w:val="bottom"/>
          </w:tcPr>
          <w:p w:rsidR="000C2E51" w:rsidRDefault="000A5710">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垫江县统计执法检查大队</w:t>
            </w:r>
          </w:p>
        </w:tc>
        <w:tc>
          <w:tcPr>
            <w:tcW w:w="1700"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rsidR="000C2E51" w:rsidRDefault="000A5710">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C2E51">
        <w:trPr>
          <w:trHeight w:val="90"/>
        </w:trPr>
        <w:tc>
          <w:tcPr>
            <w:tcW w:w="7696" w:type="dxa"/>
            <w:gridSpan w:val="3"/>
            <w:vMerge/>
            <w:tcBorders>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rsidR="000C2E51" w:rsidRDefault="000A571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0C2E51">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36"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C2E51">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194.89</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150.24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150.24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27.29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7.16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7.16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194.89</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194.89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194.89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rPr>
                <w:rFonts w:ascii="Times New Roman" w:hAnsi="Times New Roman" w:hint="default"/>
                <w:color w:val="000000"/>
                <w:sz w:val="18"/>
                <w:szCs w:val="18"/>
              </w:rPr>
            </w:pP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r>
      <w:tr w:rsidR="000C2E51">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194.89</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194.89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194.89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C2E51" w:rsidRDefault="000A5710">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492"/>
        <w:gridCol w:w="3909"/>
        <w:gridCol w:w="3319"/>
        <w:gridCol w:w="3312"/>
        <w:gridCol w:w="3346"/>
      </w:tblGrid>
      <w:tr w:rsidR="000C2E51">
        <w:trPr>
          <w:trHeight w:val="510"/>
        </w:trPr>
        <w:tc>
          <w:tcPr>
            <w:tcW w:w="15378" w:type="dxa"/>
            <w:gridSpan w:val="5"/>
            <w:tcBorders>
              <w:top w:val="nil"/>
              <w:left w:val="nil"/>
              <w:bottom w:val="nil"/>
              <w:right w:val="nil"/>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C2E51">
        <w:trPr>
          <w:trHeight w:val="255"/>
        </w:trPr>
        <w:tc>
          <w:tcPr>
            <w:tcW w:w="8720" w:type="dxa"/>
            <w:gridSpan w:val="3"/>
            <w:vMerge w:val="restart"/>
            <w:tcBorders>
              <w:top w:val="nil"/>
              <w:left w:val="nil"/>
              <w:right w:val="nil"/>
            </w:tcBorders>
            <w:shd w:val="clear" w:color="auto" w:fill="auto"/>
            <w:tcMar>
              <w:top w:w="15" w:type="dxa"/>
              <w:left w:w="15" w:type="dxa"/>
              <w:right w:w="15" w:type="dxa"/>
            </w:tcMar>
            <w:vAlign w:val="bottom"/>
          </w:tcPr>
          <w:p w:rsidR="000C2E51" w:rsidRDefault="000A571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垫江县统计执法检查大队</w:t>
            </w:r>
          </w:p>
        </w:tc>
        <w:tc>
          <w:tcPr>
            <w:tcW w:w="3312"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C2E51">
        <w:trPr>
          <w:trHeight w:val="285"/>
        </w:trPr>
        <w:tc>
          <w:tcPr>
            <w:tcW w:w="8720" w:type="dxa"/>
            <w:gridSpan w:val="3"/>
            <w:vMerge/>
            <w:tcBorders>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308"/>
        </w:trPr>
        <w:tc>
          <w:tcPr>
            <w:tcW w:w="54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w:t>
            </w:r>
          </w:p>
        </w:tc>
        <w:tc>
          <w:tcPr>
            <w:tcW w:w="997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本年支出</w:t>
            </w:r>
          </w:p>
        </w:tc>
      </w:tr>
      <w:tr w:rsidR="000C2E51">
        <w:trPr>
          <w:trHeight w:val="326"/>
        </w:trPr>
        <w:tc>
          <w:tcPr>
            <w:tcW w:w="14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33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基本支出</w:t>
            </w:r>
          </w:p>
        </w:tc>
        <w:tc>
          <w:tcPr>
            <w:tcW w:w="334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项目支出</w:t>
            </w:r>
          </w:p>
        </w:tc>
      </w:tr>
      <w:tr w:rsidR="000C2E51">
        <w:trPr>
          <w:trHeight w:val="326"/>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615"/>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08"/>
        </w:trPr>
        <w:tc>
          <w:tcPr>
            <w:tcW w:w="540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194.89</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194.89</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一般公共服务支出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150.24</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150.24</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20105</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统计信息事务</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150.24</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150.24</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2010550</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事业运行</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150.24</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150.24</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208</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社会保障和就业支出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20805</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行政事业单位养老支出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2080505</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机关事业单位基本养老保险缴费支出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18.55</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18.55</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2080506</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机关事业单位职业年金缴费支出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8.74</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8.74</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210</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卫生健康支出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21011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行政事业单位医疗</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7.16</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2101102</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事业单位医疗</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7.16</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7.16</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221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住房保障支出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10.21</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10.21</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22102</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b/>
                <w:color w:val="000000"/>
                <w:sz w:val="20"/>
                <w:szCs w:val="20"/>
              </w:rPr>
              <w:t>住房改革支出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10.21</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10.21</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C2E51">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2210201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textAlignment w:val="center"/>
              <w:rPr>
                <w:rFonts w:cs="宋体" w:hint="default"/>
                <w:color w:val="000000"/>
                <w:sz w:val="20"/>
                <w:szCs w:val="20"/>
              </w:rPr>
            </w:pPr>
            <w:r>
              <w:rPr>
                <w:rFonts w:cs="宋体"/>
                <w:color w:val="000000"/>
                <w:sz w:val="20"/>
                <w:szCs w:val="20"/>
              </w:rPr>
              <w:t>住房公积金</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10.21</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10.21</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0C2E51" w:rsidRDefault="000A5710">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C2E51" w:rsidRDefault="000A5710">
      <w:pPr>
        <w:ind w:firstLineChars="300" w:firstLine="630"/>
        <w:rPr>
          <w:rFonts w:cs="宋体" w:hint="default"/>
          <w:sz w:val="21"/>
          <w:szCs w:val="21"/>
        </w:rPr>
      </w:pPr>
      <w:r>
        <w:rPr>
          <w:rFonts w:cs="宋体"/>
          <w:sz w:val="21"/>
          <w:szCs w:val="21"/>
        </w:rPr>
        <w:br w:type="page"/>
      </w:r>
    </w:p>
    <w:tbl>
      <w:tblPr>
        <w:tblW w:w="15360" w:type="dxa"/>
        <w:tblLayout w:type="fixed"/>
        <w:tblCellMar>
          <w:left w:w="0" w:type="dxa"/>
          <w:right w:w="0" w:type="dxa"/>
        </w:tblCellMar>
        <w:tblLook w:val="04A0" w:firstRow="1" w:lastRow="0" w:firstColumn="1" w:lastColumn="0" w:noHBand="0" w:noVBand="1"/>
      </w:tblPr>
      <w:tblGrid>
        <w:gridCol w:w="605"/>
        <w:gridCol w:w="2740"/>
        <w:gridCol w:w="1376"/>
        <w:gridCol w:w="836"/>
        <w:gridCol w:w="1923"/>
        <w:gridCol w:w="1656"/>
        <w:gridCol w:w="808"/>
        <w:gridCol w:w="3527"/>
        <w:gridCol w:w="1889"/>
      </w:tblGrid>
      <w:tr w:rsidR="000C2E51">
        <w:trPr>
          <w:trHeight w:val="90"/>
        </w:trPr>
        <w:tc>
          <w:tcPr>
            <w:tcW w:w="15360" w:type="dxa"/>
            <w:gridSpan w:val="9"/>
            <w:tcBorders>
              <w:top w:val="nil"/>
              <w:left w:val="nil"/>
              <w:bottom w:val="nil"/>
              <w:right w:val="nil"/>
            </w:tcBorders>
            <w:shd w:val="clear" w:color="auto" w:fill="auto"/>
            <w:tcMar>
              <w:top w:w="15" w:type="dxa"/>
              <w:left w:w="15" w:type="dxa"/>
              <w:right w:w="15" w:type="dxa"/>
            </w:tcMar>
            <w:vAlign w:val="bottom"/>
          </w:tcPr>
          <w:p w:rsidR="000C2E51" w:rsidRDefault="000A5710">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0C2E51">
        <w:trPr>
          <w:trHeight w:val="90"/>
        </w:trPr>
        <w:tc>
          <w:tcPr>
            <w:tcW w:w="7480" w:type="dxa"/>
            <w:gridSpan w:val="5"/>
            <w:vMerge w:val="restart"/>
            <w:tcBorders>
              <w:top w:val="nil"/>
              <w:left w:val="nil"/>
              <w:right w:val="nil"/>
            </w:tcBorders>
            <w:shd w:val="clear" w:color="auto" w:fill="auto"/>
            <w:tcMar>
              <w:top w:w="15" w:type="dxa"/>
              <w:left w:w="15" w:type="dxa"/>
              <w:right w:w="15" w:type="dxa"/>
            </w:tcMar>
            <w:vAlign w:val="bottom"/>
          </w:tcPr>
          <w:p w:rsidR="000C2E51" w:rsidRDefault="000A5710">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垫江县统计执法检查大队</w:t>
            </w:r>
          </w:p>
        </w:tc>
        <w:tc>
          <w:tcPr>
            <w:tcW w:w="1656"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rsidR="000C2E51" w:rsidRDefault="000A571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C2E51">
        <w:trPr>
          <w:trHeight w:val="90"/>
        </w:trPr>
        <w:tc>
          <w:tcPr>
            <w:tcW w:w="7480" w:type="dxa"/>
            <w:gridSpan w:val="5"/>
            <w:vMerge/>
            <w:tcBorders>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rsidR="000C2E51" w:rsidRDefault="000C2E51">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rsidR="000C2E51" w:rsidRDefault="000A571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0C2E51">
        <w:trPr>
          <w:trHeight w:val="312"/>
        </w:trPr>
        <w:tc>
          <w:tcPr>
            <w:tcW w:w="6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0C2E51">
        <w:trPr>
          <w:trHeight w:val="312"/>
        </w:trPr>
        <w:tc>
          <w:tcPr>
            <w:tcW w:w="6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2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3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83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9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65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8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352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c>
          <w:tcPr>
            <w:tcW w:w="18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b/>
                <w:color w:val="000000"/>
                <w:sz w:val="18"/>
                <w:szCs w:val="18"/>
              </w:rPr>
            </w:pP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179.02</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bCs/>
                <w:color w:val="000000"/>
                <w:sz w:val="18"/>
                <w:szCs w:val="18"/>
              </w:rPr>
            </w:pPr>
            <w:r>
              <w:rPr>
                <w:rFonts w:cs="宋体"/>
                <w:b/>
                <w:bCs/>
                <w:color w:val="000000"/>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15.88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bCs/>
                <w:color w:val="000000"/>
                <w:sz w:val="18"/>
                <w:szCs w:val="18"/>
              </w:rPr>
            </w:pPr>
            <w:r>
              <w:rPr>
                <w:rFonts w:cs="宋体"/>
                <w:b/>
                <w:bCs/>
                <w:color w:val="000000"/>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38.32</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5.02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1.39</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91.80</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18.55</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8.74</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0.70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7.16</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0.21</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10.21</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1.44</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1.19</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bCs/>
                <w:color w:val="000000"/>
                <w:sz w:val="18"/>
                <w:szCs w:val="18"/>
              </w:rPr>
            </w:pPr>
            <w:r>
              <w:rPr>
                <w:rFonts w:cs="宋体"/>
                <w:b/>
                <w:bCs/>
                <w:color w:val="000000"/>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9.86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31206</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bCs/>
                <w:color w:val="000000"/>
                <w:sz w:val="18"/>
                <w:szCs w:val="18"/>
              </w:rPr>
            </w:pPr>
            <w:r>
              <w:rPr>
                <w:rFonts w:cs="宋体"/>
                <w:b/>
                <w:bCs/>
                <w:color w:val="000000"/>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bCs/>
                <w:color w:val="000000"/>
                <w:sz w:val="18"/>
                <w:szCs w:val="18"/>
              </w:rPr>
            </w:pPr>
            <w:r>
              <w:rPr>
                <w:rFonts w:cs="宋体"/>
                <w:b/>
                <w:bCs/>
                <w:color w:val="000000"/>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r>
      <w:tr w:rsidR="000C2E51">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center"/>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r>
      <w:tr w:rsidR="000C2E51">
        <w:trPr>
          <w:trHeight w:val="155"/>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C2E51">
            <w:pPr>
              <w:spacing w:line="200" w:lineRule="exact"/>
              <w:jc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color w:val="000000"/>
                <w:sz w:val="18"/>
                <w:szCs w:val="18"/>
              </w:rPr>
            </w:pPr>
            <w:r>
              <w:rPr>
                <w:rFonts w:cs="宋体"/>
                <w:color w:val="000000"/>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spacing w:line="200" w:lineRule="exact"/>
              <w:jc w:val="right"/>
              <w:rPr>
                <w:rFonts w:ascii="Times New Roman" w:hAnsi="Times New Roman" w:hint="default"/>
                <w:color w:val="000000"/>
                <w:sz w:val="18"/>
                <w:szCs w:val="18"/>
              </w:rPr>
            </w:pPr>
          </w:p>
        </w:tc>
      </w:tr>
      <w:tr w:rsidR="000C2E51">
        <w:trPr>
          <w:trHeight w:val="310"/>
        </w:trPr>
        <w:tc>
          <w:tcPr>
            <w:tcW w:w="3345"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A5710">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179.02</w:t>
            </w:r>
            <w:r>
              <w:rPr>
                <w:rFonts w:ascii="Times New Roman" w:hAnsi="Times New Roman"/>
                <w:color w:val="000000"/>
                <w:sz w:val="18"/>
              </w:rPr>
              <w:t xml:space="preserve"> </w:t>
            </w:r>
          </w:p>
        </w:tc>
        <w:tc>
          <w:tcPr>
            <w:tcW w:w="8750"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15.88</w:t>
            </w:r>
            <w:r>
              <w:rPr>
                <w:rFonts w:ascii="Times New Roman" w:hAnsi="Times New Roman"/>
                <w:color w:val="000000"/>
                <w:sz w:val="18"/>
              </w:rPr>
              <w:t xml:space="preserve"> </w:t>
            </w:r>
          </w:p>
        </w:tc>
      </w:tr>
    </w:tbl>
    <w:p w:rsidR="000C2E51" w:rsidRDefault="000A5710">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642"/>
        <w:gridCol w:w="3297"/>
        <w:gridCol w:w="1707"/>
        <w:gridCol w:w="1707"/>
        <w:gridCol w:w="1707"/>
        <w:gridCol w:w="1707"/>
        <w:gridCol w:w="1772"/>
        <w:gridCol w:w="1839"/>
      </w:tblGrid>
      <w:tr w:rsidR="000C2E51">
        <w:trPr>
          <w:trHeight w:val="644"/>
        </w:trPr>
        <w:tc>
          <w:tcPr>
            <w:tcW w:w="15378" w:type="dxa"/>
            <w:gridSpan w:val="8"/>
            <w:tcBorders>
              <w:top w:val="nil"/>
              <w:left w:val="nil"/>
              <w:bottom w:val="nil"/>
              <w:right w:val="nil"/>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0C2E51">
        <w:trPr>
          <w:trHeight w:val="329"/>
        </w:trPr>
        <w:tc>
          <w:tcPr>
            <w:tcW w:w="6646" w:type="dxa"/>
            <w:gridSpan w:val="3"/>
            <w:vMerge w:val="restart"/>
            <w:tcBorders>
              <w:top w:val="nil"/>
              <w:left w:val="nil"/>
              <w:right w:val="nil"/>
            </w:tcBorders>
            <w:shd w:val="clear" w:color="auto" w:fill="auto"/>
            <w:tcMar>
              <w:top w:w="15" w:type="dxa"/>
              <w:left w:w="15" w:type="dxa"/>
              <w:right w:w="15" w:type="dxa"/>
            </w:tcMar>
            <w:vAlign w:val="bottom"/>
          </w:tcPr>
          <w:p w:rsidR="000C2E51" w:rsidRDefault="000A571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垫江县统计执法检查大队</w:t>
            </w:r>
          </w:p>
        </w:tc>
        <w:tc>
          <w:tcPr>
            <w:tcW w:w="170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C2E51">
        <w:trPr>
          <w:trHeight w:val="329"/>
        </w:trPr>
        <w:tc>
          <w:tcPr>
            <w:tcW w:w="6646" w:type="dxa"/>
            <w:gridSpan w:val="3"/>
            <w:vMerge/>
            <w:tcBorders>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339"/>
        </w:trPr>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w:t>
            </w:r>
          </w:p>
        </w:tc>
        <w:tc>
          <w:tcPr>
            <w:tcW w:w="170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本年收入</w:t>
            </w:r>
          </w:p>
        </w:tc>
        <w:tc>
          <w:tcPr>
            <w:tcW w:w="5186"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年末结转和结余</w:t>
            </w:r>
          </w:p>
        </w:tc>
      </w:tr>
      <w:tr w:rsidR="000C2E51">
        <w:trPr>
          <w:trHeight w:val="335"/>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功能分类科目编码</w:t>
            </w:r>
          </w:p>
        </w:tc>
        <w:tc>
          <w:tcPr>
            <w:tcW w:w="32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基本支出</w:t>
            </w:r>
          </w:p>
        </w:tc>
        <w:tc>
          <w:tcPr>
            <w:tcW w:w="177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64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9"/>
        </w:trPr>
        <w:tc>
          <w:tcPr>
            <w:tcW w:w="493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7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C2E51">
        <w:trPr>
          <w:trHeight w:val="349"/>
        </w:trPr>
        <w:tc>
          <w:tcPr>
            <w:tcW w:w="164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both"/>
              <w:textAlignment w:val="center"/>
              <w:rPr>
                <w:rFonts w:cs="宋体" w:hint="default"/>
                <w:color w:val="000000"/>
                <w:sz w:val="20"/>
                <w:szCs w:val="20"/>
              </w:rPr>
            </w:pP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both"/>
              <w:textAlignment w:val="center"/>
              <w:rPr>
                <w:rFonts w:cs="宋体" w:hint="default"/>
                <w:color w:val="000000"/>
                <w:sz w:val="20"/>
                <w:szCs w:val="20"/>
              </w:rPr>
            </w:pP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7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0C2E51" w:rsidRDefault="000A5710">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0C2E51" w:rsidRDefault="000A5710">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2008"/>
        <w:gridCol w:w="2928"/>
        <w:gridCol w:w="3276"/>
        <w:gridCol w:w="200"/>
        <w:gridCol w:w="3475"/>
        <w:gridCol w:w="77"/>
        <w:gridCol w:w="3414"/>
      </w:tblGrid>
      <w:tr w:rsidR="000C2E51">
        <w:trPr>
          <w:trHeight w:val="650"/>
        </w:trPr>
        <w:tc>
          <w:tcPr>
            <w:tcW w:w="15378" w:type="dxa"/>
            <w:gridSpan w:val="7"/>
            <w:tcBorders>
              <w:top w:val="nil"/>
              <w:left w:val="nil"/>
              <w:bottom w:val="nil"/>
              <w:right w:val="nil"/>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C2E51">
        <w:trPr>
          <w:trHeight w:val="332"/>
        </w:trPr>
        <w:tc>
          <w:tcPr>
            <w:tcW w:w="8212" w:type="dxa"/>
            <w:gridSpan w:val="3"/>
            <w:vMerge w:val="restart"/>
            <w:tcBorders>
              <w:top w:val="nil"/>
              <w:left w:val="nil"/>
              <w:right w:val="nil"/>
            </w:tcBorders>
            <w:shd w:val="clear" w:color="auto" w:fill="auto"/>
            <w:tcMar>
              <w:top w:w="15" w:type="dxa"/>
              <w:left w:w="15" w:type="dxa"/>
              <w:right w:w="15" w:type="dxa"/>
            </w:tcMar>
            <w:vAlign w:val="bottom"/>
          </w:tcPr>
          <w:p w:rsidR="000C2E51" w:rsidRDefault="000A571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垫江县统计执法检查大队</w:t>
            </w: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C2E51">
        <w:trPr>
          <w:trHeight w:val="332"/>
        </w:trPr>
        <w:tc>
          <w:tcPr>
            <w:tcW w:w="8212" w:type="dxa"/>
            <w:gridSpan w:val="3"/>
            <w:vMerge/>
            <w:tcBorders>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0C2E51" w:rsidRDefault="000C2E51">
            <w:pPr>
              <w:rPr>
                <w:rFonts w:cs="宋体" w:hint="default"/>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rsidR="000C2E51" w:rsidRDefault="000A5710">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C2E51">
        <w:trPr>
          <w:trHeight w:val="422"/>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20"/>
                <w:szCs w:val="20"/>
              </w:rPr>
            </w:pPr>
            <w:r>
              <w:rPr>
                <w:rFonts w:cs="宋体"/>
                <w:b/>
                <w:color w:val="000000"/>
                <w:sz w:val="20"/>
                <w:szCs w:val="20"/>
              </w:rPr>
              <w:t>项目</w:t>
            </w:r>
          </w:p>
        </w:tc>
        <w:tc>
          <w:tcPr>
            <w:tcW w:w="1044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C2E51" w:rsidRDefault="000A5710">
            <w:pPr>
              <w:jc w:val="center"/>
              <w:textAlignment w:val="bottom"/>
              <w:rPr>
                <w:rFonts w:cs="宋体" w:hint="default"/>
                <w:b/>
                <w:color w:val="000000"/>
                <w:sz w:val="20"/>
                <w:szCs w:val="20"/>
              </w:rPr>
            </w:pPr>
            <w:r>
              <w:rPr>
                <w:rFonts w:cs="宋体"/>
                <w:b/>
                <w:color w:val="000000"/>
                <w:sz w:val="20"/>
                <w:szCs w:val="20"/>
              </w:rPr>
              <w:t>本年支出</w:t>
            </w:r>
          </w:p>
        </w:tc>
      </w:tr>
      <w:tr w:rsidR="000C2E51">
        <w:trPr>
          <w:trHeight w:val="339"/>
        </w:trPr>
        <w:tc>
          <w:tcPr>
            <w:tcW w:w="20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34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项目支出</w:t>
            </w:r>
          </w:p>
        </w:tc>
      </w:tr>
      <w:tr w:rsidR="000C2E51">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326"/>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cs="宋体" w:hint="default"/>
                <w:b/>
                <w:color w:val="000000"/>
                <w:sz w:val="20"/>
                <w:szCs w:val="20"/>
              </w:rPr>
            </w:pPr>
          </w:p>
        </w:tc>
      </w:tr>
      <w:tr w:rsidR="000C2E51">
        <w:trPr>
          <w:trHeight w:val="611"/>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cs="宋体" w:hint="default"/>
                <w:b/>
                <w:color w:val="000000"/>
                <w:sz w:val="20"/>
                <w:szCs w:val="20"/>
              </w:rPr>
            </w:pPr>
            <w:r>
              <w:rPr>
                <w:rFonts w:cs="宋体"/>
                <w:b/>
                <w:color w:val="000000"/>
                <w:sz w:val="20"/>
                <w:szCs w:val="20"/>
              </w:rPr>
              <w:t>合计</w:t>
            </w:r>
          </w:p>
        </w:tc>
        <w:tc>
          <w:tcPr>
            <w:tcW w:w="34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4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C2E51">
        <w:trPr>
          <w:trHeight w:val="488"/>
        </w:trPr>
        <w:tc>
          <w:tcPr>
            <w:tcW w:w="20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textAlignment w:val="center"/>
              <w:rPr>
                <w:rFonts w:cs="宋体" w:hint="default"/>
                <w:color w:val="000000"/>
                <w:sz w:val="20"/>
                <w:szCs w:val="20"/>
              </w:rPr>
            </w:pPr>
          </w:p>
        </w:tc>
        <w:tc>
          <w:tcPr>
            <w:tcW w:w="29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textAlignment w:val="center"/>
              <w:rPr>
                <w:rFonts w:cs="宋体" w:hint="default"/>
                <w:color w:val="000000"/>
                <w:sz w:val="20"/>
                <w:szCs w:val="20"/>
              </w:rPr>
            </w:pPr>
          </w:p>
        </w:tc>
        <w:tc>
          <w:tcPr>
            <w:tcW w:w="34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4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C2E51">
            <w:pPr>
              <w:jc w:val="center"/>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C2E51" w:rsidRDefault="000A5710">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0C2E51" w:rsidRDefault="000A5710">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0C2E51" w:rsidRDefault="000A5710">
      <w:pPr>
        <w:rPr>
          <w:rFonts w:cs="宋体" w:hint="default"/>
          <w:sz w:val="21"/>
          <w:szCs w:val="21"/>
        </w:rPr>
      </w:pPr>
      <w:r>
        <w:rPr>
          <w:rFonts w:cs="宋体" w:hint="default"/>
          <w:sz w:val="21"/>
          <w:szCs w:val="21"/>
        </w:rPr>
        <w:br w:type="page"/>
      </w:r>
    </w:p>
    <w:tbl>
      <w:tblPr>
        <w:tblW w:w="14182" w:type="dxa"/>
        <w:tblLayout w:type="fixed"/>
        <w:tblCellMar>
          <w:left w:w="170" w:type="dxa"/>
          <w:right w:w="170" w:type="dxa"/>
        </w:tblCellMar>
        <w:tblLook w:val="04A0" w:firstRow="1" w:lastRow="0" w:firstColumn="1" w:lastColumn="0" w:noHBand="0" w:noVBand="1"/>
      </w:tblPr>
      <w:tblGrid>
        <w:gridCol w:w="3190"/>
        <w:gridCol w:w="2425"/>
        <w:gridCol w:w="2384"/>
        <w:gridCol w:w="3687"/>
        <w:gridCol w:w="2496"/>
      </w:tblGrid>
      <w:tr w:rsidR="000C2E51">
        <w:trPr>
          <w:trHeight w:val="343"/>
        </w:trPr>
        <w:tc>
          <w:tcPr>
            <w:tcW w:w="14182" w:type="dxa"/>
            <w:gridSpan w:val="5"/>
            <w:shd w:val="clear" w:color="auto" w:fill="auto"/>
            <w:tcMar>
              <w:top w:w="15" w:type="dxa"/>
              <w:left w:w="15" w:type="dxa"/>
              <w:right w:w="15" w:type="dxa"/>
            </w:tcMar>
            <w:vAlign w:val="bottom"/>
          </w:tcPr>
          <w:p w:rsidR="000C2E51" w:rsidRDefault="000A5710">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C2E51">
        <w:trPr>
          <w:trHeight w:val="244"/>
        </w:trPr>
        <w:tc>
          <w:tcPr>
            <w:tcW w:w="3190" w:type="dxa"/>
            <w:shd w:val="clear" w:color="auto" w:fill="auto"/>
            <w:tcMar>
              <w:top w:w="15" w:type="dxa"/>
              <w:left w:w="15" w:type="dxa"/>
              <w:right w:w="15" w:type="dxa"/>
            </w:tcMar>
            <w:vAlign w:val="bottom"/>
          </w:tcPr>
          <w:p w:rsidR="000C2E51" w:rsidRDefault="000C2E51">
            <w:pPr>
              <w:spacing w:line="280" w:lineRule="exact"/>
              <w:rPr>
                <w:rFonts w:cs="宋体" w:hint="default"/>
                <w:color w:val="000000"/>
                <w:kern w:val="2"/>
                <w:sz w:val="20"/>
                <w:szCs w:val="20"/>
              </w:rPr>
            </w:pPr>
          </w:p>
        </w:tc>
        <w:tc>
          <w:tcPr>
            <w:tcW w:w="2425" w:type="dxa"/>
            <w:shd w:val="clear" w:color="auto" w:fill="auto"/>
            <w:tcMar>
              <w:top w:w="15" w:type="dxa"/>
              <w:left w:w="15" w:type="dxa"/>
              <w:right w:w="15" w:type="dxa"/>
            </w:tcMar>
            <w:vAlign w:val="bottom"/>
          </w:tcPr>
          <w:p w:rsidR="000C2E51" w:rsidRDefault="000C2E51">
            <w:pPr>
              <w:spacing w:line="280" w:lineRule="exact"/>
              <w:jc w:val="center"/>
              <w:rPr>
                <w:rFonts w:cs="宋体" w:hint="default"/>
                <w:color w:val="000000"/>
                <w:kern w:val="2"/>
                <w:sz w:val="20"/>
                <w:szCs w:val="20"/>
              </w:rPr>
            </w:pPr>
          </w:p>
        </w:tc>
        <w:tc>
          <w:tcPr>
            <w:tcW w:w="2384" w:type="dxa"/>
            <w:shd w:val="clear" w:color="auto" w:fill="auto"/>
            <w:tcMar>
              <w:top w:w="15" w:type="dxa"/>
              <w:left w:w="15" w:type="dxa"/>
              <w:right w:w="15" w:type="dxa"/>
            </w:tcMar>
            <w:vAlign w:val="bottom"/>
          </w:tcPr>
          <w:p w:rsidR="000C2E51" w:rsidRDefault="000C2E51">
            <w:pPr>
              <w:spacing w:line="280" w:lineRule="exact"/>
              <w:jc w:val="right"/>
              <w:rPr>
                <w:rFonts w:cs="宋体" w:hint="default"/>
                <w:color w:val="000000"/>
                <w:kern w:val="2"/>
                <w:sz w:val="20"/>
                <w:szCs w:val="20"/>
              </w:rPr>
            </w:pPr>
          </w:p>
        </w:tc>
        <w:tc>
          <w:tcPr>
            <w:tcW w:w="3687" w:type="dxa"/>
            <w:shd w:val="clear" w:color="auto" w:fill="auto"/>
            <w:tcMar>
              <w:top w:w="15" w:type="dxa"/>
              <w:left w:w="15" w:type="dxa"/>
              <w:right w:w="15" w:type="dxa"/>
            </w:tcMar>
            <w:vAlign w:val="bottom"/>
          </w:tcPr>
          <w:p w:rsidR="000C2E51" w:rsidRDefault="000C2E51">
            <w:pPr>
              <w:spacing w:line="280" w:lineRule="exact"/>
              <w:rPr>
                <w:rFonts w:cs="宋体" w:hint="default"/>
                <w:color w:val="000000"/>
                <w:kern w:val="2"/>
                <w:sz w:val="20"/>
                <w:szCs w:val="20"/>
              </w:rPr>
            </w:pPr>
          </w:p>
        </w:tc>
        <w:tc>
          <w:tcPr>
            <w:tcW w:w="2496" w:type="dxa"/>
            <w:shd w:val="clear" w:color="auto" w:fill="auto"/>
            <w:tcMar>
              <w:top w:w="15" w:type="dxa"/>
              <w:left w:w="15" w:type="dxa"/>
              <w:right w:w="15" w:type="dxa"/>
            </w:tcMar>
            <w:vAlign w:val="bottom"/>
          </w:tcPr>
          <w:p w:rsidR="000C2E51" w:rsidRDefault="000A5710">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C2E51">
        <w:trPr>
          <w:trHeight w:val="244"/>
        </w:trPr>
        <w:tc>
          <w:tcPr>
            <w:tcW w:w="5615" w:type="dxa"/>
            <w:gridSpan w:val="2"/>
            <w:tcBorders>
              <w:top w:val="nil"/>
              <w:left w:val="nil"/>
              <w:bottom w:val="single" w:sz="4" w:space="0" w:color="auto"/>
              <w:right w:val="nil"/>
            </w:tcBorders>
            <w:shd w:val="clear" w:color="auto" w:fill="auto"/>
            <w:tcMar>
              <w:top w:w="15" w:type="dxa"/>
              <w:left w:w="15" w:type="dxa"/>
              <w:right w:w="15" w:type="dxa"/>
            </w:tcMar>
            <w:vAlign w:val="bottom"/>
          </w:tcPr>
          <w:p w:rsidR="000C2E51" w:rsidRDefault="000A5710">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垫江县统计执法检查大队</w:t>
            </w:r>
          </w:p>
        </w:tc>
        <w:tc>
          <w:tcPr>
            <w:tcW w:w="2384" w:type="dxa"/>
            <w:tcBorders>
              <w:top w:val="nil"/>
              <w:left w:val="nil"/>
              <w:bottom w:val="single" w:sz="4" w:space="0" w:color="auto"/>
              <w:right w:val="nil"/>
            </w:tcBorders>
            <w:shd w:val="clear" w:color="auto" w:fill="auto"/>
            <w:tcMar>
              <w:top w:w="15" w:type="dxa"/>
              <w:left w:w="15" w:type="dxa"/>
              <w:right w:w="15" w:type="dxa"/>
            </w:tcMar>
            <w:vAlign w:val="bottom"/>
          </w:tcPr>
          <w:p w:rsidR="000C2E51" w:rsidRDefault="000C2E51">
            <w:pPr>
              <w:spacing w:line="280" w:lineRule="exact"/>
              <w:jc w:val="right"/>
              <w:rPr>
                <w:rFonts w:cs="宋体" w:hint="default"/>
                <w:color w:val="000000"/>
                <w:kern w:val="2"/>
                <w:sz w:val="20"/>
                <w:szCs w:val="20"/>
              </w:rPr>
            </w:pPr>
          </w:p>
        </w:tc>
        <w:tc>
          <w:tcPr>
            <w:tcW w:w="3687" w:type="dxa"/>
            <w:tcBorders>
              <w:top w:val="nil"/>
              <w:left w:val="nil"/>
              <w:bottom w:val="single" w:sz="4" w:space="0" w:color="auto"/>
              <w:right w:val="nil"/>
            </w:tcBorders>
            <w:shd w:val="clear" w:color="auto" w:fill="auto"/>
            <w:tcMar>
              <w:top w:w="15" w:type="dxa"/>
              <w:left w:w="15" w:type="dxa"/>
              <w:right w:w="15" w:type="dxa"/>
            </w:tcMar>
            <w:vAlign w:val="bottom"/>
          </w:tcPr>
          <w:p w:rsidR="000C2E51" w:rsidRDefault="000C2E51">
            <w:pPr>
              <w:spacing w:line="280" w:lineRule="exact"/>
              <w:rPr>
                <w:rFonts w:cs="宋体" w:hint="default"/>
                <w:color w:val="000000"/>
                <w:kern w:val="2"/>
                <w:sz w:val="20"/>
                <w:szCs w:val="20"/>
              </w:rPr>
            </w:pPr>
          </w:p>
        </w:tc>
        <w:tc>
          <w:tcPr>
            <w:tcW w:w="2496" w:type="dxa"/>
            <w:tcBorders>
              <w:top w:val="nil"/>
              <w:left w:val="nil"/>
              <w:bottom w:val="single" w:sz="4" w:space="0" w:color="auto"/>
              <w:right w:val="nil"/>
            </w:tcBorders>
            <w:shd w:val="clear" w:color="auto" w:fill="auto"/>
            <w:tcMar>
              <w:top w:w="15" w:type="dxa"/>
              <w:left w:w="15" w:type="dxa"/>
              <w:right w:w="15" w:type="dxa"/>
            </w:tcMar>
            <w:vAlign w:val="bottom"/>
          </w:tcPr>
          <w:p w:rsidR="000C2E51" w:rsidRDefault="000A5710">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C2E51">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C2E51">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C2E51">
        <w:trPr>
          <w:trHeight w:val="286"/>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C2E51">
            <w:pPr>
              <w:spacing w:line="280" w:lineRule="exact"/>
              <w:rPr>
                <w:rFonts w:cs="宋体" w:hint="default"/>
                <w:color w:val="000000"/>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C2E51">
            <w:pPr>
              <w:spacing w:line="280" w:lineRule="exact"/>
              <w:jc w:val="right"/>
              <w:rPr>
                <w:rFonts w:cs="宋体" w:hint="default"/>
                <w:color w:val="000000"/>
                <w:kern w:val="2"/>
                <w:sz w:val="16"/>
                <w:szCs w:val="16"/>
              </w:rPr>
            </w:pPr>
          </w:p>
        </w:tc>
      </w:tr>
      <w:tr w:rsidR="000C2E51">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C2E51">
            <w:pPr>
              <w:spacing w:line="280" w:lineRule="exact"/>
              <w:rPr>
                <w:rFonts w:cs="宋体" w:hint="default"/>
                <w:color w:val="000000"/>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C2E51">
            <w:pPr>
              <w:spacing w:line="280" w:lineRule="exact"/>
              <w:jc w:val="right"/>
              <w:rPr>
                <w:rFonts w:cs="宋体" w:hint="default"/>
                <w:color w:val="000000"/>
                <w:kern w:val="2"/>
                <w:sz w:val="16"/>
                <w:szCs w:val="16"/>
              </w:rPr>
            </w:pPr>
          </w:p>
        </w:tc>
      </w:tr>
      <w:tr w:rsidR="000C2E51">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A571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A571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C2E51" w:rsidRDefault="000C2E51">
            <w:pPr>
              <w:spacing w:line="280" w:lineRule="exact"/>
              <w:rPr>
                <w:rFonts w:cs="宋体" w:hint="default"/>
                <w:color w:val="000000"/>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C2E51" w:rsidRDefault="000C2E51">
            <w:pPr>
              <w:spacing w:line="280" w:lineRule="exact"/>
              <w:jc w:val="right"/>
              <w:rPr>
                <w:rFonts w:cs="宋体" w:hint="default"/>
                <w:color w:val="000000"/>
                <w:sz w:val="16"/>
                <w:szCs w:val="16"/>
              </w:rPr>
            </w:pPr>
          </w:p>
        </w:tc>
      </w:tr>
    </w:tbl>
    <w:p w:rsidR="000C2E51" w:rsidRDefault="000A5710">
      <w:pPr>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C2E51">
      <w:headerReference w:type="default" r:id="rId8"/>
      <w:footerReference w:type="default" r:id="rId9"/>
      <w:pgSz w:w="16839" w:h="11907" w:orient="landscape"/>
      <w:pgMar w:top="567" w:right="454" w:bottom="567" w:left="1037" w:header="0" w:footer="283"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92" w:rsidRDefault="009E3192">
      <w:pPr>
        <w:rPr>
          <w:rFonts w:hint="default"/>
        </w:rPr>
      </w:pPr>
      <w:r>
        <w:separator/>
      </w:r>
    </w:p>
  </w:endnote>
  <w:endnote w:type="continuationSeparator" w:id="0">
    <w:p w:rsidR="009E3192" w:rsidRDefault="009E31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D128EC18-916D-4002-B507-16FFA84FE249}"/>
  </w:font>
  <w:font w:name="黑体">
    <w:altName w:val="SimHei"/>
    <w:panose1 w:val="02010609060101010101"/>
    <w:charset w:val="86"/>
    <w:family w:val="modern"/>
    <w:pitch w:val="fixed"/>
    <w:sig w:usb0="800002BF" w:usb1="38CF7CFA" w:usb2="00000016" w:usb3="00000000" w:csb0="00040001" w:csb1="00000000"/>
    <w:embedBold r:id="rId2" w:subsetted="1" w:fontKey="{9A0863D7-2B5C-484D-8500-DE703E297EFD}"/>
  </w:font>
  <w:font w:name="楷体">
    <w:panose1 w:val="02010609060101010101"/>
    <w:charset w:val="86"/>
    <w:family w:val="modern"/>
    <w:pitch w:val="fixed"/>
    <w:sig w:usb0="800002BF" w:usb1="38CF7CFA" w:usb2="00000016" w:usb3="00000000" w:csb0="00040001" w:csb1="00000000"/>
    <w:embedBold r:id="rId3" w:subsetted="1" w:fontKey="{93237485-F250-4C84-8524-FE593B7159E1}"/>
  </w:font>
  <w:font w:name="方正仿宋_GB2312">
    <w:altName w:val="Times New Roman"/>
    <w:charset w:val="00"/>
    <w:family w:val="auto"/>
    <w:pitch w:val="default"/>
  </w:font>
  <w:font w:name="方正黑体_GBK">
    <w:panose1 w:val="03000509000000000000"/>
    <w:charset w:val="86"/>
    <w:family w:val="script"/>
    <w:pitch w:val="fixed"/>
    <w:sig w:usb0="00000001" w:usb1="080E0000" w:usb2="00000010" w:usb3="00000000" w:csb0="00040000" w:csb1="00000000"/>
    <w:embedRegular r:id="rId4" w:subsetted="1" w:fontKey="{4336B777-0B58-40D6-B519-DC74DC89602A}"/>
  </w:font>
  <w:font w:name="方正仿宋_GBK">
    <w:panose1 w:val="03000509000000000000"/>
    <w:charset w:val="86"/>
    <w:family w:val="script"/>
    <w:pitch w:val="fixed"/>
    <w:sig w:usb0="00000001" w:usb1="080E0000" w:usb2="00000010" w:usb3="00000000" w:csb0="00040000" w:csb1="00000000"/>
    <w:embedRegular r:id="rId5" w:subsetted="1" w:fontKey="{61D41266-F1CD-4055-A7C1-620CA0ED750A}"/>
    <w:embedBold r:id="rId6" w:subsetted="1" w:fontKey="{76A65989-0171-4E06-80E9-4665056E06AD}"/>
  </w:font>
  <w:font w:name="方正楷体_GB2312">
    <w:altName w:val="hakuyoxingshu7000"/>
    <w:charset w:val="86"/>
    <w:family w:val="auto"/>
    <w:pitch w:val="default"/>
    <w:embedRegular r:id="rId7" w:subsetted="1" w:fontKey="{F0E8B37D-7A0E-4A80-AD79-9E73D55E228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710" w:rsidRDefault="000A5710">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A5710" w:rsidRDefault="000A5710">
                          <w:pPr>
                            <w:pStyle w:val="a5"/>
                            <w:rPr>
                              <w:rFonts w:ascii="Times New Roman" w:hAnsi="Times New Roman" w:hint="default"/>
                              <w:sz w:val="28"/>
                              <w:szCs w:val="28"/>
                            </w:rPr>
                          </w:pPr>
                          <w:r>
                            <w:rPr>
                              <w:rFonts w:ascii="Times New Roman" w:hAnsi="Times New Roman" w:hint="default"/>
                              <w:sz w:val="28"/>
                              <w:szCs w:val="28"/>
                            </w:rPr>
                            <w:t xml:space="preserve">— </w:t>
                          </w:r>
                          <w:r>
                            <w:rPr>
                              <w:rFonts w:ascii="Times New Roman" w:hAnsi="Times New Roman" w:hint="default"/>
                              <w:sz w:val="28"/>
                              <w:szCs w:val="28"/>
                            </w:rPr>
                            <w:fldChar w:fldCharType="begin"/>
                          </w:r>
                          <w:r>
                            <w:rPr>
                              <w:rFonts w:ascii="Times New Roman" w:hAnsi="Times New Roman" w:hint="default"/>
                              <w:sz w:val="28"/>
                              <w:szCs w:val="28"/>
                            </w:rPr>
                            <w:instrText xml:space="preserve"> PAGE  \* MERGEFORMAT </w:instrText>
                          </w:r>
                          <w:r>
                            <w:rPr>
                              <w:rFonts w:ascii="Times New Roman" w:hAnsi="Times New Roman" w:hint="default"/>
                              <w:sz w:val="28"/>
                              <w:szCs w:val="28"/>
                            </w:rPr>
                            <w:fldChar w:fldCharType="separate"/>
                          </w:r>
                          <w:r w:rsidR="00881DD5">
                            <w:rPr>
                              <w:rFonts w:ascii="Times New Roman" w:hAnsi="Times New Roman" w:hint="default"/>
                              <w:noProof/>
                              <w:sz w:val="28"/>
                              <w:szCs w:val="28"/>
                            </w:rPr>
                            <w:t>8</w:t>
                          </w:r>
                          <w:r>
                            <w:rPr>
                              <w:rFonts w:ascii="Times New Roman" w:hAnsi="Times New Roman" w:hint="default"/>
                              <w:sz w:val="28"/>
                              <w:szCs w:val="28"/>
                            </w:rPr>
                            <w:fldChar w:fldCharType="end"/>
                          </w:r>
                          <w:r>
                            <w:rPr>
                              <w:rFonts w:ascii="Times New Roman" w:hAnsi="Times New Roman"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A5710" w:rsidRDefault="000A5710">
                    <w:pPr>
                      <w:pStyle w:val="a5"/>
                      <w:rPr>
                        <w:rFonts w:ascii="Times New Roman" w:hAnsi="Times New Roman" w:hint="default"/>
                        <w:sz w:val="28"/>
                        <w:szCs w:val="28"/>
                      </w:rPr>
                    </w:pPr>
                    <w:r>
                      <w:rPr>
                        <w:rFonts w:ascii="Times New Roman" w:hAnsi="Times New Roman" w:hint="default"/>
                        <w:sz w:val="28"/>
                        <w:szCs w:val="28"/>
                      </w:rPr>
                      <w:t xml:space="preserve">— </w:t>
                    </w:r>
                    <w:r>
                      <w:rPr>
                        <w:rFonts w:ascii="Times New Roman" w:hAnsi="Times New Roman" w:hint="default"/>
                        <w:sz w:val="28"/>
                        <w:szCs w:val="28"/>
                      </w:rPr>
                      <w:fldChar w:fldCharType="begin"/>
                    </w:r>
                    <w:r>
                      <w:rPr>
                        <w:rFonts w:ascii="Times New Roman" w:hAnsi="Times New Roman" w:hint="default"/>
                        <w:sz w:val="28"/>
                        <w:szCs w:val="28"/>
                      </w:rPr>
                      <w:instrText xml:space="preserve"> PAGE  \* MERGEFORMAT </w:instrText>
                    </w:r>
                    <w:r>
                      <w:rPr>
                        <w:rFonts w:ascii="Times New Roman" w:hAnsi="Times New Roman" w:hint="default"/>
                        <w:sz w:val="28"/>
                        <w:szCs w:val="28"/>
                      </w:rPr>
                      <w:fldChar w:fldCharType="separate"/>
                    </w:r>
                    <w:r w:rsidR="00881DD5">
                      <w:rPr>
                        <w:rFonts w:ascii="Times New Roman" w:hAnsi="Times New Roman" w:hint="default"/>
                        <w:noProof/>
                        <w:sz w:val="28"/>
                        <w:szCs w:val="28"/>
                      </w:rPr>
                      <w:t>8</w:t>
                    </w:r>
                    <w:r>
                      <w:rPr>
                        <w:rFonts w:ascii="Times New Roman" w:hAnsi="Times New Roman" w:hint="default"/>
                        <w:sz w:val="28"/>
                        <w:szCs w:val="28"/>
                      </w:rPr>
                      <w:fldChar w:fldCharType="end"/>
                    </w:r>
                    <w:r>
                      <w:rPr>
                        <w:rFonts w:ascii="Times New Roman" w:hAnsi="Times New Roman" w:hint="default"/>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710" w:rsidRDefault="000A5710">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A5710" w:rsidRDefault="000A5710">
                          <w:pPr>
                            <w:pStyle w:val="a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sidR="00881DD5">
                            <w:rPr>
                              <w:rFonts w:hint="default"/>
                              <w:noProof/>
                            </w:rPr>
                            <w:t>21</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0A5710" w:rsidRDefault="000A5710">
                    <w:pPr>
                      <w:pStyle w:val="a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sidR="00881DD5">
                      <w:rPr>
                        <w:rFonts w:hint="default"/>
                        <w:noProof/>
                      </w:rPr>
                      <w:t>21</w:t>
                    </w:r>
                    <w:r>
                      <w:rPr>
                        <w:rFonts w:hint="default"/>
                      </w:rPr>
                      <w:fldChar w:fldCharType="end"/>
                    </w:r>
                    <w:r>
                      <w:rPr>
                        <w:rFonts w:hint="default"/>
                      </w:rP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0A5710" w:rsidRDefault="000A5710">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0A5710" w:rsidRDefault="000A5710">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92" w:rsidRDefault="009E3192">
      <w:pPr>
        <w:rPr>
          <w:rFonts w:hint="default"/>
        </w:rPr>
      </w:pPr>
      <w:r>
        <w:separator/>
      </w:r>
    </w:p>
  </w:footnote>
  <w:footnote w:type="continuationSeparator" w:id="0">
    <w:p w:rsidR="009E3192" w:rsidRDefault="009E31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710" w:rsidRDefault="000A5710">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20"/>
  <w:drawingGridVerticalSpacing w:val="164"/>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A5710"/>
    <w:rsid w:val="000C2E51"/>
    <w:rsid w:val="001D3BB7"/>
    <w:rsid w:val="00285E9D"/>
    <w:rsid w:val="002B254B"/>
    <w:rsid w:val="0040447F"/>
    <w:rsid w:val="004524C0"/>
    <w:rsid w:val="00466C9B"/>
    <w:rsid w:val="00476628"/>
    <w:rsid w:val="00550ABE"/>
    <w:rsid w:val="00637A04"/>
    <w:rsid w:val="00770383"/>
    <w:rsid w:val="007819D4"/>
    <w:rsid w:val="007B419D"/>
    <w:rsid w:val="007B7C4B"/>
    <w:rsid w:val="007C7D8E"/>
    <w:rsid w:val="007D3D39"/>
    <w:rsid w:val="00881DD5"/>
    <w:rsid w:val="00946551"/>
    <w:rsid w:val="00994AF7"/>
    <w:rsid w:val="009B67B8"/>
    <w:rsid w:val="009D2B67"/>
    <w:rsid w:val="009E3192"/>
    <w:rsid w:val="00A566F9"/>
    <w:rsid w:val="00AA36E3"/>
    <w:rsid w:val="00AF2751"/>
    <w:rsid w:val="00B03CCD"/>
    <w:rsid w:val="00BE2B89"/>
    <w:rsid w:val="00C10E9E"/>
    <w:rsid w:val="00C20C3E"/>
    <w:rsid w:val="00CA1433"/>
    <w:rsid w:val="00CF2ACF"/>
    <w:rsid w:val="00CF55AB"/>
    <w:rsid w:val="00EA22C0"/>
    <w:rsid w:val="00EE7CD0"/>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8FF7633"/>
    <w:rsid w:val="194A1770"/>
    <w:rsid w:val="19B906A4"/>
    <w:rsid w:val="1AFD3927"/>
    <w:rsid w:val="1B6F15B6"/>
    <w:rsid w:val="1BAA2EDC"/>
    <w:rsid w:val="1C1A7468"/>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AE412F9"/>
    <w:rsid w:val="2B167953"/>
    <w:rsid w:val="2B200583"/>
    <w:rsid w:val="2B8209DE"/>
    <w:rsid w:val="2B9A0A6E"/>
    <w:rsid w:val="2C0E0D23"/>
    <w:rsid w:val="2C636760"/>
    <w:rsid w:val="2C6762A3"/>
    <w:rsid w:val="2FCA4B37"/>
    <w:rsid w:val="2FE029D7"/>
    <w:rsid w:val="2FF06E00"/>
    <w:rsid w:val="300A1801"/>
    <w:rsid w:val="30586FEC"/>
    <w:rsid w:val="30E10F3A"/>
    <w:rsid w:val="315F0B22"/>
    <w:rsid w:val="31D84415"/>
    <w:rsid w:val="32285F6F"/>
    <w:rsid w:val="32770556"/>
    <w:rsid w:val="329C0913"/>
    <w:rsid w:val="32AA0460"/>
    <w:rsid w:val="3337290D"/>
    <w:rsid w:val="33E31118"/>
    <w:rsid w:val="33E93D5F"/>
    <w:rsid w:val="33EF7674"/>
    <w:rsid w:val="342D7BC6"/>
    <w:rsid w:val="343432F1"/>
    <w:rsid w:val="34757B91"/>
    <w:rsid w:val="352930DB"/>
    <w:rsid w:val="352B41E7"/>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685F87"/>
    <w:rsid w:val="497135DF"/>
    <w:rsid w:val="4A263DF2"/>
    <w:rsid w:val="4A6F6675"/>
    <w:rsid w:val="4B135857"/>
    <w:rsid w:val="4B7951CB"/>
    <w:rsid w:val="4B7C315C"/>
    <w:rsid w:val="4C373014"/>
    <w:rsid w:val="4DAC4ACA"/>
    <w:rsid w:val="4DBE01D2"/>
    <w:rsid w:val="4F0C6BA3"/>
    <w:rsid w:val="4F186D58"/>
    <w:rsid w:val="5013686C"/>
    <w:rsid w:val="501F5FAC"/>
    <w:rsid w:val="50F06B6E"/>
    <w:rsid w:val="51D21804"/>
    <w:rsid w:val="52234D33"/>
    <w:rsid w:val="522F6E0C"/>
    <w:rsid w:val="52463BA1"/>
    <w:rsid w:val="5266660E"/>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CE6AD7"/>
    <w:rsid w:val="5CF66BF3"/>
    <w:rsid w:val="5D290C69"/>
    <w:rsid w:val="5F2D4A41"/>
    <w:rsid w:val="60C74F6C"/>
    <w:rsid w:val="61025A59"/>
    <w:rsid w:val="613D5BBC"/>
    <w:rsid w:val="61536C39"/>
    <w:rsid w:val="61F11ED4"/>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01790F"/>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1E8A4"/>
  <w15:docId w15:val="{01A5783D-EB34-4B23-AD79-850766E8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link w:val="a7"/>
    <w:uiPriority w:val="99"/>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character" w:customStyle="1" w:styleId="a7">
    <w:name w:val="页眉 字符"/>
    <w:basedOn w:val="a0"/>
    <w:link w:val="a6"/>
    <w:uiPriority w:val="99"/>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1851</Words>
  <Characters>10551</Characters>
  <Application>Microsoft Office Word</Application>
  <DocSecurity>0</DocSecurity>
  <Lines>87</Lines>
  <Paragraphs>24</Paragraphs>
  <ScaleCrop>false</ScaleCrop>
  <Company>微软中国</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垫江县统计执法检查大队2024年度决算公开说明</dc:title>
  <dc:creator>Administrator</dc:creator>
  <cp:lastModifiedBy>吴幽</cp:lastModifiedBy>
  <cp:revision>17</cp:revision>
  <cp:lastPrinted>2025-09-03T02:58:00Z</cp:lastPrinted>
  <dcterms:created xsi:type="dcterms:W3CDTF">2024-07-11T02:00:00Z</dcterms:created>
  <dcterms:modified xsi:type="dcterms:W3CDTF">2025-09-04T03:41:00Z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BC2358D58A1643D0A94F6706A0833034_13</vt:lpwstr>
  </property>
  <property fmtid="{D5CDD505-2E9C-101B-9397-08002B2CF9AE}" pid="4" name="KSOTemplateDocerSaveRecord">
    <vt:lpwstr>eyJoZGlkIjoiYWE3Y2JiMTMzNjA4NjZjZDUyMDg1NmNmYzFjNTZkNGQiLCJ1c2VySWQiOiI3MzM4ODgyIn0=</vt:lpwstr>
  </property>
</Properties>
</file>