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垫江县统计局（本级）</w:t>
      </w:r>
    </w:p>
    <w:p>
      <w:pPr>
        <w:pStyle w:val="6"/>
        <w:widowControl w:val="0"/>
        <w:shd w:val="clear" w:color="auto" w:fill="FFFFFF"/>
        <w:spacing w:before="0" w:beforeAutospacing="0" w:after="0" w:afterAutospacing="0" w:line="594" w:lineRule="exact"/>
        <w:ind w:firstLine="880" w:firstLineChars="200"/>
        <w:jc w:val="both"/>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widowControl w:val="0"/>
        <w:shd w:val="clear" w:color="auto" w:fill="FFFFFF"/>
        <w:spacing w:before="0" w:beforeAutospacing="0" w:after="0" w:afterAutospacing="0" w:line="594" w:lineRule="exact"/>
        <w:ind w:firstLine="480" w:firstLineChars="150"/>
        <w:jc w:val="both"/>
        <w:rPr>
          <w:rFonts w:hint="default" w:ascii="方正黑体_GBK" w:hAnsi="方正黑体_GBK" w:eastAsia="方正黑体_GBK" w:cs="方正黑体_GBK"/>
          <w:bCs/>
          <w:sz w:val="32"/>
          <w:szCs w:val="32"/>
        </w:rPr>
      </w:pPr>
      <w:r>
        <w:rPr>
          <w:rStyle w:val="10"/>
          <w:rFonts w:ascii="方正黑体_GBK" w:hAnsi="方正黑体_GBK" w:eastAsia="方正黑体_GBK" w:cs="方正黑体_GBK"/>
          <w:b w:val="0"/>
          <w:bCs/>
          <w:sz w:val="32"/>
          <w:szCs w:val="32"/>
          <w:shd w:val="clear" w:color="auto" w:fill="FFFFFF"/>
        </w:rPr>
        <w:t>一、单位基本情况</w:t>
      </w:r>
    </w:p>
    <w:p>
      <w:pPr>
        <w:pStyle w:val="6"/>
        <w:widowControl w:val="0"/>
        <w:shd w:val="clear" w:color="auto" w:fill="FFFFFF"/>
        <w:spacing w:before="0" w:beforeAutospacing="0" w:after="0" w:afterAutospacing="0" w:line="594" w:lineRule="exact"/>
        <w:ind w:firstLine="640" w:firstLineChars="200"/>
        <w:jc w:val="both"/>
        <w:rPr>
          <w:rFonts w:hint="default" w:ascii="方正楷体_GB2312" w:hAnsi="方正楷体_GB2312" w:eastAsia="方正楷体_GB2312" w:cs="方正楷体_GB2312"/>
          <w:bCs/>
          <w:sz w:val="32"/>
          <w:szCs w:val="32"/>
        </w:rPr>
      </w:pPr>
      <w:r>
        <w:rPr>
          <w:rStyle w:val="10"/>
          <w:rFonts w:ascii="方正楷体_GB2312" w:hAnsi="方正楷体_GB2312" w:eastAsia="方正楷体_GB2312" w:cs="方正楷体_GB2312"/>
          <w:b w:val="0"/>
          <w:bCs/>
          <w:sz w:val="32"/>
          <w:szCs w:val="32"/>
          <w:shd w:val="clear" w:color="auto" w:fill="FFFFFF"/>
        </w:rPr>
        <w:t>（一）职能职责</w:t>
      </w:r>
    </w:p>
    <w:p>
      <w:pPr>
        <w:widowControl w:val="0"/>
        <w:spacing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rPr>
        <w:t xml:space="preserve">1.承担组织领导和管理协调全县统计工作，确保统计数据真实、准确、及时的责任；制定并组织实施地方统计调查制度和统计改革发展规划。 </w:t>
      </w:r>
    </w:p>
    <w:p>
      <w:pPr>
        <w:widowControl w:val="0"/>
        <w:spacing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rPr>
        <w:t xml:space="preserve">2.贯彻执行统计法律、法规、规章和方针政策，查处统计违法违纪行为，承办统计行政复议等法律事务。 </w:t>
      </w:r>
    </w:p>
    <w:p>
      <w:pPr>
        <w:widowControl w:val="0"/>
        <w:spacing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rPr>
        <w:t xml:space="preserve">3.管理和指导部门（行业）统计工作，协调政府综合统计与部门统计之间的关系。 </w:t>
      </w:r>
    </w:p>
    <w:p>
      <w:pPr>
        <w:widowControl w:val="0"/>
        <w:spacing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rPr>
        <w:t xml:space="preserve">4.会同有关部门拟定县情县力普查方案，组织实施全县人口、经济、农业等有关普查、专项调查，搜集、整理和提 供有关统计数据。 </w:t>
      </w:r>
    </w:p>
    <w:p>
      <w:pPr>
        <w:widowControl w:val="0"/>
        <w:spacing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rPr>
        <w:t xml:space="preserve">5.整理、核定、管理、提供、发布全县基本统计资料，发布全县国民经济和社会发展情况的统计信息。 </w:t>
      </w:r>
    </w:p>
    <w:p>
      <w:pPr>
        <w:widowControl w:val="0"/>
        <w:spacing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rPr>
        <w:t xml:space="preserve">6.发挥统计分析、统计预警和统计监督职能。 </w:t>
      </w:r>
    </w:p>
    <w:p>
      <w:pPr>
        <w:widowControl w:val="0"/>
        <w:spacing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rPr>
        <w:t xml:space="preserve">7.促进全县统计人才队伍建设，组织管理全县统计专业资格考试等工作。 </w:t>
      </w:r>
    </w:p>
    <w:p>
      <w:pPr>
        <w:widowControl w:val="0"/>
        <w:spacing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rPr>
        <w:t>8.承办县政府交办的其他事项。</w:t>
      </w:r>
    </w:p>
    <w:p>
      <w:pPr>
        <w:pStyle w:val="6"/>
        <w:widowControl w:val="0"/>
        <w:shd w:val="clear" w:color="auto" w:fill="FFFFFF"/>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（二）机构设置</w:t>
      </w:r>
    </w:p>
    <w:p>
      <w:pPr>
        <w:widowControl w:val="0"/>
        <w:spacing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rPr>
        <w:t>垫江县统计局为县政府工作部门，内设办公室、综合统计科、工业建筑业统计科、商贸服务业统计科4个职能科室。</w:t>
      </w:r>
    </w:p>
    <w:p>
      <w:pPr>
        <w:pStyle w:val="6"/>
        <w:widowControl w:val="0"/>
        <w:shd w:val="clear" w:color="auto" w:fill="FFFFFF"/>
        <w:spacing w:before="0" w:beforeAutospacing="0" w:after="0" w:afterAutospacing="0" w:line="594" w:lineRule="exact"/>
        <w:ind w:firstLine="643" w:firstLineChars="200"/>
        <w:jc w:val="both"/>
        <w:rPr>
          <w:rStyle w:val="10"/>
          <w:rFonts w:hint="default" w:ascii="方正黑体_GBK" w:hAnsi="方正黑体_GBK" w:eastAsia="方正黑体_GBK" w:cs="方正黑体_GBK"/>
          <w:b w:val="0"/>
          <w:bCs/>
          <w:sz w:val="32"/>
          <w:szCs w:val="32"/>
          <w:shd w:val="clear" w:color="auto" w:fill="FFFFFF"/>
        </w:rPr>
      </w:pPr>
      <w:r>
        <w:rPr>
          <w:rStyle w:val="10"/>
          <w:rFonts w:hint="default" w:ascii="黑体" w:hAnsi="黑体" w:eastAsia="黑体" w:cs="黑体"/>
          <w:sz w:val="32"/>
          <w:szCs w:val="32"/>
          <w:shd w:val="clear" w:color="auto" w:fill="FFFFFF"/>
        </w:rPr>
        <w:t>二、单位</w:t>
      </w:r>
      <w:r>
        <w:rPr>
          <w:rStyle w:val="10"/>
          <w:rFonts w:ascii="黑体" w:hAnsi="黑体" w:eastAsia="黑体" w:cs="黑体"/>
          <w:sz w:val="32"/>
          <w:szCs w:val="32"/>
          <w:shd w:val="clear" w:color="auto" w:fill="FFFFFF"/>
        </w:rPr>
        <w:t>决算收支情况说明</w:t>
      </w:r>
    </w:p>
    <w:p>
      <w:pPr>
        <w:pStyle w:val="6"/>
        <w:widowControl w:val="0"/>
        <w:shd w:val="clear" w:color="auto" w:fill="FFFFFF"/>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（一）收入支出决算总体情况说明</w:t>
      </w:r>
    </w:p>
    <w:p>
      <w:pPr>
        <w:pStyle w:val="6"/>
        <w:widowControl w:val="0"/>
        <w:shd w:val="clear" w:color="auto" w:fill="FFFFFF"/>
        <w:spacing w:before="0" w:beforeAutospacing="0" w:after="0" w:afterAutospacing="0" w:line="594" w:lineRule="exact"/>
        <w:ind w:firstLine="643" w:firstLineChars="200"/>
        <w:jc w:val="both"/>
        <w:rPr>
          <w:rFonts w:hint="default" w:ascii="Times New Roman" w:hAnsi="Times New Roman" w:eastAsia="方正仿宋_GB2312"/>
          <w:sz w:val="32"/>
          <w:szCs w:val="32"/>
          <w:shd w:val="clear" w:color="auto" w:fill="FFFFFF"/>
        </w:rPr>
      </w:pPr>
      <w:r>
        <w:rPr>
          <w:rStyle w:val="10"/>
          <w:rFonts w:hint="default" w:ascii="Times New Roman" w:hAnsi="Times New Roman" w:eastAsia="方正仿宋_GB2312"/>
          <w:sz w:val="32"/>
          <w:szCs w:val="32"/>
          <w:shd w:val="clear" w:color="auto" w:fill="FFFFFF"/>
        </w:rPr>
        <w:t>1.总体情况。</w:t>
      </w:r>
      <w:r>
        <w:rPr>
          <w:rFonts w:hint="default" w:ascii="Times New Roman" w:hAnsi="Times New Roman" w:eastAsia="方正仿宋_GB2312"/>
          <w:sz w:val="32"/>
          <w:szCs w:val="32"/>
          <w:shd w:val="clear" w:color="auto" w:fill="FFFFFF"/>
        </w:rPr>
        <w:t>2024年度收入总计697.85万元，支出总计</w:t>
      </w:r>
      <w:r>
        <w:rPr>
          <w:rFonts w:hint="default" w:ascii="Times New Roman" w:hAnsi="Times New Roman" w:eastAsia="方正仿宋_GB2312"/>
          <w:sz w:val="32"/>
          <w:szCs w:val="32"/>
        </w:rPr>
        <w:t>697.85</w:t>
      </w:r>
      <w:r>
        <w:rPr>
          <w:rFonts w:hint="default" w:ascii="Times New Roman" w:hAnsi="Times New Roman" w:eastAsia="方正仿宋_GB2312"/>
          <w:sz w:val="32"/>
          <w:szCs w:val="32"/>
          <w:shd w:val="clear" w:color="auto" w:fill="FFFFFF"/>
        </w:rPr>
        <w:t>万元。收、支与2023年度相比，减少101.47万元，下降12.69%，主要原因是第五次全国经济普查经费减少。</w:t>
      </w:r>
    </w:p>
    <w:p>
      <w:pPr>
        <w:pStyle w:val="6"/>
        <w:widowControl w:val="0"/>
        <w:shd w:val="clear" w:color="auto" w:fill="FFFFFF"/>
        <w:spacing w:before="0" w:beforeAutospacing="0" w:after="0" w:afterAutospacing="0" w:line="594" w:lineRule="exact"/>
        <w:ind w:firstLine="643" w:firstLineChars="200"/>
        <w:jc w:val="both"/>
        <w:rPr>
          <w:rFonts w:hint="default" w:ascii="Times New Roman" w:hAnsi="Times New Roman" w:eastAsia="方正仿宋_GB2312"/>
          <w:sz w:val="32"/>
          <w:szCs w:val="32"/>
          <w:shd w:val="clear" w:color="auto" w:fill="FFFFFF"/>
        </w:rPr>
      </w:pPr>
      <w:r>
        <w:rPr>
          <w:rStyle w:val="10"/>
          <w:rFonts w:hint="default" w:ascii="Times New Roman" w:hAnsi="Times New Roman" w:eastAsia="方正仿宋_GB2312"/>
          <w:sz w:val="32"/>
          <w:szCs w:val="32"/>
          <w:shd w:val="clear" w:color="auto" w:fill="FFFFFF"/>
        </w:rPr>
        <w:t>2.收入情况。</w:t>
      </w:r>
      <w:r>
        <w:rPr>
          <w:rFonts w:hint="default" w:ascii="Times New Roman" w:hAnsi="Times New Roman" w:eastAsia="方正仿宋_GB2312"/>
          <w:sz w:val="32"/>
          <w:szCs w:val="32"/>
          <w:shd w:val="clear" w:color="auto" w:fill="FFFFFF"/>
        </w:rPr>
        <w:t>2024年度收入合计697.85万元，与2023年度相比，增加33.53万元，增长5.05%，主要原因是统计专项业务收入增加。其中：财政拨款收入</w:t>
      </w:r>
      <w:r>
        <w:rPr>
          <w:rFonts w:hint="default" w:ascii="Times New Roman" w:hAnsi="Times New Roman" w:eastAsia="方正仿宋_GB2312"/>
          <w:sz w:val="32"/>
          <w:szCs w:val="32"/>
        </w:rPr>
        <w:t>697.85</w:t>
      </w:r>
      <w:r>
        <w:rPr>
          <w:rFonts w:hint="default" w:ascii="Times New Roman" w:hAnsi="Times New Roman" w:eastAsia="方正仿宋_GB2312"/>
          <w:sz w:val="32"/>
          <w:szCs w:val="32"/>
          <w:shd w:val="clear" w:color="auto" w:fill="FFFFFF"/>
        </w:rPr>
        <w:t>万元，占</w:t>
      </w:r>
      <w:r>
        <w:rPr>
          <w:rFonts w:hint="default" w:ascii="Times New Roman" w:hAnsi="Times New Roman" w:eastAsia="方正仿宋_GB2312"/>
          <w:sz w:val="32"/>
          <w:szCs w:val="32"/>
        </w:rPr>
        <w:t>100.00</w:t>
      </w:r>
      <w:r>
        <w:rPr>
          <w:rFonts w:hint="default" w:ascii="Times New Roman" w:hAnsi="Times New Roman" w:eastAsia="方正仿宋_GB2312"/>
          <w:sz w:val="32"/>
          <w:szCs w:val="32"/>
          <w:shd w:val="clear" w:color="auto" w:fill="FFFFFF"/>
        </w:rPr>
        <w:t>%；事业收入</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万元，占0.00%；经营收入</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万元，占0.00%；其他收入</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万元，占0.00%。此外，使用非财政拨款结余和专用结余</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万元，年初结转和结余</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w:t>
      </w:r>
    </w:p>
    <w:p>
      <w:pPr>
        <w:pStyle w:val="6"/>
        <w:widowControl w:val="0"/>
        <w:snapToGrid w:val="0"/>
        <w:spacing w:before="0" w:beforeAutospacing="0" w:after="0" w:afterAutospacing="0" w:line="594" w:lineRule="exact"/>
        <w:ind w:firstLine="643" w:firstLineChars="200"/>
        <w:jc w:val="both"/>
        <w:rPr>
          <w:rFonts w:hint="default" w:ascii="Times New Roman" w:hAnsi="Times New Roman" w:eastAsia="方正仿宋_GB2312"/>
          <w:sz w:val="32"/>
          <w:szCs w:val="32"/>
          <w:shd w:val="clear" w:color="auto" w:fill="FFFFFF"/>
        </w:rPr>
      </w:pPr>
      <w:r>
        <w:rPr>
          <w:rStyle w:val="10"/>
          <w:rFonts w:hint="default" w:ascii="Times New Roman" w:hAnsi="Times New Roman" w:eastAsia="方正仿宋_GB2312"/>
          <w:sz w:val="32"/>
          <w:szCs w:val="32"/>
          <w:shd w:val="clear" w:color="auto" w:fill="FFFFFF"/>
        </w:rPr>
        <w:t>3.支出情况。</w:t>
      </w:r>
      <w:r>
        <w:rPr>
          <w:rFonts w:hint="default" w:ascii="Times New Roman" w:hAnsi="Times New Roman" w:eastAsia="方正仿宋_GB2312"/>
          <w:sz w:val="32"/>
          <w:szCs w:val="32"/>
          <w:shd w:val="clear" w:color="auto" w:fill="FFFFFF"/>
        </w:rPr>
        <w:t>2024年度支出合计</w:t>
      </w:r>
      <w:r>
        <w:rPr>
          <w:rFonts w:hint="default" w:ascii="Times New Roman" w:hAnsi="Times New Roman" w:eastAsia="方正仿宋_GB2312"/>
          <w:sz w:val="32"/>
          <w:szCs w:val="32"/>
        </w:rPr>
        <w:t>697.85</w:t>
      </w:r>
      <w:r>
        <w:rPr>
          <w:rFonts w:hint="default" w:ascii="Times New Roman" w:hAnsi="Times New Roman" w:eastAsia="方正仿宋_GB2312"/>
          <w:sz w:val="32"/>
          <w:szCs w:val="32"/>
          <w:shd w:val="clear" w:color="auto" w:fill="FFFFFF"/>
        </w:rPr>
        <w:t>万元，与2023年度相比，减少101.47万元，下降12.69%，主要原因是行政运行、专项普查活动支出较上年有所减少。其中：基本支出</w:t>
      </w:r>
      <w:r>
        <w:rPr>
          <w:rFonts w:hint="default" w:ascii="Times New Roman" w:hAnsi="Times New Roman" w:eastAsia="方正仿宋_GB2312"/>
          <w:sz w:val="32"/>
          <w:szCs w:val="32"/>
        </w:rPr>
        <w:t>378.02</w:t>
      </w:r>
      <w:r>
        <w:rPr>
          <w:rFonts w:hint="default" w:ascii="Times New Roman" w:hAnsi="Times New Roman" w:eastAsia="方正仿宋_GB2312"/>
          <w:sz w:val="32"/>
          <w:szCs w:val="32"/>
          <w:shd w:val="clear" w:color="auto" w:fill="FFFFFF"/>
        </w:rPr>
        <w:t>万元，占54.17%；项目支出</w:t>
      </w:r>
      <w:r>
        <w:rPr>
          <w:rFonts w:hint="default" w:ascii="Times New Roman" w:hAnsi="Times New Roman" w:eastAsia="方正仿宋_GB2312"/>
          <w:sz w:val="32"/>
          <w:szCs w:val="32"/>
        </w:rPr>
        <w:t>319.83</w:t>
      </w:r>
      <w:r>
        <w:rPr>
          <w:rFonts w:hint="default" w:ascii="Times New Roman" w:hAnsi="Times New Roman" w:eastAsia="方正仿宋_GB2312"/>
          <w:sz w:val="32"/>
          <w:szCs w:val="32"/>
          <w:shd w:val="clear" w:color="auto" w:fill="FFFFFF"/>
        </w:rPr>
        <w:t>万元，占45.83%；经营支出</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万元，占0.00%。此外，结余分配</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w:t>
      </w:r>
    </w:p>
    <w:p>
      <w:pPr>
        <w:pStyle w:val="6"/>
        <w:widowControl w:val="0"/>
        <w:snapToGrid w:val="0"/>
        <w:spacing w:before="0" w:beforeAutospacing="0" w:after="0" w:afterAutospacing="0" w:line="594" w:lineRule="exact"/>
        <w:ind w:firstLine="643" w:firstLineChars="200"/>
        <w:jc w:val="both"/>
        <w:rPr>
          <w:rFonts w:hint="default" w:ascii="Times New Roman" w:hAnsi="Times New Roman" w:eastAsia="方正仿宋_GB2312"/>
          <w:sz w:val="32"/>
          <w:szCs w:val="32"/>
        </w:rPr>
      </w:pPr>
      <w:r>
        <w:rPr>
          <w:rStyle w:val="10"/>
          <w:rFonts w:hint="default" w:ascii="Times New Roman" w:hAnsi="Times New Roman" w:eastAsia="方正仿宋_GB2312"/>
          <w:sz w:val="32"/>
          <w:szCs w:val="32"/>
          <w:shd w:val="clear" w:color="auto" w:fill="FFFFFF"/>
        </w:rPr>
        <w:t>4.结转结余情况。</w:t>
      </w:r>
      <w:r>
        <w:rPr>
          <w:rFonts w:hint="default" w:ascii="Times New Roman" w:hAnsi="Times New Roman" w:eastAsia="方正仿宋_GB2312"/>
          <w:sz w:val="32"/>
          <w:szCs w:val="32"/>
          <w:shd w:val="clear" w:color="auto" w:fill="FFFFFF"/>
        </w:rPr>
        <w:t>2024年度年末结转和结余</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万元，与2023年度相比，无增减，主要原因是资金已使用完，无年末结转和结余。</w:t>
      </w:r>
    </w:p>
    <w:p>
      <w:pPr>
        <w:pStyle w:val="6"/>
        <w:widowControl w:val="0"/>
        <w:shd w:val="clear" w:color="auto" w:fill="FFFFFF"/>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（二）财政拨款收入支出决算总体情况说明</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2024年度财政拨款收、支总计697.85万元。与</w:t>
      </w:r>
      <w:r>
        <w:rPr>
          <w:rFonts w:ascii="Times New Roman" w:hAnsi="Times New Roman" w:eastAsia="方正仿宋_GB2312"/>
          <w:sz w:val="32"/>
          <w:szCs w:val="32"/>
          <w:shd w:val="clear" w:color="auto" w:fill="FFFFFF"/>
        </w:rPr>
        <w:t>2023</w:t>
      </w:r>
      <w:r>
        <w:rPr>
          <w:rFonts w:hint="default" w:ascii="Times New Roman" w:hAnsi="Times New Roman" w:eastAsia="方正仿宋_GB2312"/>
          <w:sz w:val="32"/>
          <w:szCs w:val="32"/>
          <w:shd w:val="clear" w:color="auto" w:fill="FFFFFF"/>
        </w:rPr>
        <w:t>年相比，财政拨款收、支总计各减少101.47万元，下降12.69%。主要原因是第五次全国经济普查支出较上年有所减少。</w:t>
      </w:r>
    </w:p>
    <w:p>
      <w:pPr>
        <w:pStyle w:val="6"/>
        <w:widowControl w:val="0"/>
        <w:shd w:val="clear" w:color="auto" w:fill="FFFFFF"/>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（三）一般公共预算财政拨款收入支出决算情况说明</w:t>
      </w:r>
    </w:p>
    <w:p>
      <w:pPr>
        <w:pStyle w:val="6"/>
        <w:widowControl w:val="0"/>
        <w:snapToGrid w:val="0"/>
        <w:spacing w:before="0" w:beforeAutospacing="0" w:after="0" w:afterAutospacing="0" w:line="594" w:lineRule="exact"/>
        <w:ind w:firstLine="643" w:firstLineChars="200"/>
        <w:jc w:val="both"/>
        <w:rPr>
          <w:rFonts w:hint="default" w:ascii="Times New Roman" w:hAnsi="Times New Roman" w:eastAsia="方正仿宋_GB2312"/>
          <w:sz w:val="32"/>
          <w:szCs w:val="32"/>
        </w:rPr>
      </w:pPr>
      <w:r>
        <w:rPr>
          <w:rStyle w:val="10"/>
          <w:rFonts w:hint="default" w:ascii="Times New Roman" w:hAnsi="Times New Roman" w:eastAsia="方正仿宋_GB2312"/>
          <w:sz w:val="32"/>
          <w:szCs w:val="32"/>
          <w:shd w:val="clear" w:color="auto" w:fill="FFFFFF"/>
        </w:rPr>
        <w:t>1.收入情况。</w:t>
      </w:r>
      <w:r>
        <w:rPr>
          <w:rFonts w:hint="default" w:ascii="Times New Roman" w:hAnsi="Times New Roman" w:eastAsia="方正仿宋_GB2312"/>
          <w:sz w:val="32"/>
          <w:szCs w:val="32"/>
          <w:shd w:val="clear" w:color="auto" w:fill="FFFFFF"/>
        </w:rPr>
        <w:t>2024年度一般公共预算财政拨款收入</w:t>
      </w:r>
      <w:r>
        <w:rPr>
          <w:rFonts w:hint="default" w:ascii="Times New Roman" w:hAnsi="Times New Roman" w:eastAsia="方正仿宋_GB2312"/>
          <w:sz w:val="32"/>
          <w:szCs w:val="32"/>
        </w:rPr>
        <w:t>697.85</w:t>
      </w:r>
      <w:r>
        <w:rPr>
          <w:rFonts w:hint="default" w:ascii="Times New Roman" w:hAnsi="Times New Roman" w:eastAsia="方正仿宋_GB2312"/>
          <w:sz w:val="32"/>
          <w:szCs w:val="32"/>
          <w:shd w:val="clear" w:color="auto" w:fill="FFFFFF"/>
        </w:rPr>
        <w:t>万元，与2023年度相比，增加33.53万元，增长5.05%。主要原因是专项统计业务收入较上年有所增加。较年初预算数减少88.79万元，下降11.29%。主要原因是财政收回部分第五次全国经济普查工作经费直接发放到乡镇。此外，年初财政拨款结转和结余</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w:t>
      </w:r>
    </w:p>
    <w:p>
      <w:pPr>
        <w:pStyle w:val="6"/>
        <w:widowControl w:val="0"/>
        <w:snapToGrid w:val="0"/>
        <w:spacing w:before="0" w:beforeAutospacing="0" w:after="0" w:afterAutospacing="0" w:line="594" w:lineRule="exact"/>
        <w:ind w:firstLine="643" w:firstLineChars="200"/>
        <w:jc w:val="both"/>
        <w:rPr>
          <w:rFonts w:hint="default" w:ascii="Times New Roman" w:hAnsi="Times New Roman" w:eastAsia="方正仿宋_GB2312"/>
          <w:sz w:val="32"/>
          <w:szCs w:val="32"/>
        </w:rPr>
      </w:pPr>
      <w:r>
        <w:rPr>
          <w:rStyle w:val="10"/>
          <w:rFonts w:hint="default" w:ascii="Times New Roman" w:hAnsi="Times New Roman" w:eastAsia="方正仿宋_GB2312"/>
          <w:sz w:val="32"/>
          <w:szCs w:val="32"/>
          <w:shd w:val="clear" w:color="auto" w:fill="FFFFFF"/>
        </w:rPr>
        <w:t>2.支出情况。</w:t>
      </w:r>
      <w:r>
        <w:rPr>
          <w:rFonts w:hint="default" w:ascii="Times New Roman" w:hAnsi="Times New Roman" w:eastAsia="方正仿宋_GB2312"/>
          <w:sz w:val="32"/>
          <w:szCs w:val="32"/>
          <w:shd w:val="clear" w:color="auto" w:fill="FFFFFF"/>
        </w:rPr>
        <w:t>2024年度一般公共预算财政拨款支出</w:t>
      </w:r>
      <w:r>
        <w:rPr>
          <w:rFonts w:hint="default" w:ascii="Times New Roman" w:hAnsi="Times New Roman" w:eastAsia="方正仿宋_GB2312"/>
          <w:sz w:val="32"/>
          <w:szCs w:val="32"/>
        </w:rPr>
        <w:t>697.85</w:t>
      </w:r>
      <w:r>
        <w:rPr>
          <w:rFonts w:hint="default" w:ascii="Times New Roman" w:hAnsi="Times New Roman" w:eastAsia="方正仿宋_GB2312"/>
          <w:sz w:val="32"/>
          <w:szCs w:val="32"/>
          <w:shd w:val="clear" w:color="auto" w:fill="FFFFFF"/>
        </w:rPr>
        <w:t>万元，与2023年度相比，减少101.47万元，下降12.69%。主要原因是第五次全国经济普查支出较上年减少。较年初预算数减少88.79万元，下降11.29%。主要原因是财政收回部分第五次全国经济普查工作经费直接发放到乡镇。</w:t>
      </w:r>
    </w:p>
    <w:p>
      <w:pPr>
        <w:pStyle w:val="6"/>
        <w:widowControl w:val="0"/>
        <w:snapToGrid w:val="0"/>
        <w:spacing w:before="0" w:beforeAutospacing="0" w:after="0" w:afterAutospacing="0" w:line="594" w:lineRule="exact"/>
        <w:ind w:firstLine="643" w:firstLineChars="200"/>
        <w:jc w:val="both"/>
        <w:rPr>
          <w:rFonts w:hint="default" w:ascii="Times New Roman" w:hAnsi="Times New Roman" w:eastAsia="方正仿宋_GB2312"/>
          <w:sz w:val="32"/>
          <w:szCs w:val="32"/>
        </w:rPr>
      </w:pPr>
      <w:r>
        <w:rPr>
          <w:rStyle w:val="10"/>
          <w:rFonts w:hint="default" w:ascii="Times New Roman" w:hAnsi="Times New Roman" w:eastAsia="方正仿宋_GB2312"/>
          <w:sz w:val="32"/>
          <w:szCs w:val="32"/>
          <w:shd w:val="clear" w:color="auto" w:fill="FFFFFF"/>
        </w:rPr>
        <w:t>3.结转结余情况。</w:t>
      </w:r>
      <w:r>
        <w:rPr>
          <w:rFonts w:hint="default" w:ascii="Times New Roman" w:hAnsi="Times New Roman" w:eastAsia="方正仿宋_GB2312"/>
          <w:sz w:val="32"/>
          <w:szCs w:val="32"/>
          <w:shd w:val="clear" w:color="auto" w:fill="FFFFFF"/>
        </w:rPr>
        <w:t>2024年度年末一般公共预算财政拨款结转和结余</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万元，与2023年度相比，无增减，主要原因是资金已使用完，无年末结转和结余。</w:t>
      </w:r>
    </w:p>
    <w:p>
      <w:pPr>
        <w:pStyle w:val="6"/>
        <w:widowControl w:val="0"/>
        <w:snapToGrid w:val="0"/>
        <w:spacing w:before="0" w:beforeAutospacing="0" w:after="0" w:afterAutospacing="0" w:line="594" w:lineRule="exact"/>
        <w:ind w:firstLine="643" w:firstLineChars="200"/>
        <w:jc w:val="both"/>
        <w:rPr>
          <w:rFonts w:hint="default" w:ascii="Times New Roman" w:hAnsi="Times New Roman" w:eastAsia="方正仿宋_GB2312"/>
          <w:sz w:val="32"/>
          <w:szCs w:val="32"/>
          <w:highlight w:val="cyan"/>
          <w:shd w:val="clear" w:color="auto" w:fill="FFFFFF"/>
        </w:rPr>
      </w:pPr>
      <w:r>
        <w:rPr>
          <w:rStyle w:val="10"/>
          <w:rFonts w:hint="default" w:ascii="Times New Roman" w:hAnsi="Times New Roman" w:eastAsia="方正仿宋_GB2312"/>
          <w:sz w:val="32"/>
          <w:szCs w:val="32"/>
          <w:shd w:val="clear" w:color="auto" w:fill="FFFFFF"/>
        </w:rPr>
        <w:t xml:space="preserve"> 4.比较情况。</w:t>
      </w:r>
      <w:r>
        <w:rPr>
          <w:rFonts w:hint="default" w:ascii="Times New Roman" w:hAnsi="Times New Roman" w:eastAsia="方正仿宋_GB2312"/>
          <w:sz w:val="32"/>
          <w:szCs w:val="32"/>
          <w:shd w:val="clear" w:color="auto" w:fill="FFFFFF"/>
        </w:rPr>
        <w:t>本单位2024年度一般公共预算财政拨款支出主要用于以下几个方面：</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（1）一般公共服务支出</w:t>
      </w:r>
      <w:r>
        <w:rPr>
          <w:rFonts w:hint="default" w:ascii="Times New Roman" w:hAnsi="Times New Roman" w:eastAsia="方正仿宋_GB2312"/>
          <w:sz w:val="32"/>
          <w:szCs w:val="32"/>
        </w:rPr>
        <w:t>576.94</w:t>
      </w:r>
      <w:r>
        <w:rPr>
          <w:rFonts w:hint="default" w:ascii="Times New Roman" w:hAnsi="Times New Roman" w:eastAsia="方正仿宋_GB2312"/>
          <w:sz w:val="32"/>
          <w:szCs w:val="32"/>
          <w:shd w:val="clear" w:color="auto" w:fill="FFFFFF"/>
        </w:rPr>
        <w:t>万元，占</w:t>
      </w:r>
      <w:r>
        <w:rPr>
          <w:rFonts w:hint="default" w:ascii="Times New Roman" w:hAnsi="Times New Roman" w:eastAsia="方正仿宋_GB2312"/>
          <w:sz w:val="32"/>
          <w:szCs w:val="32"/>
        </w:rPr>
        <w:t>82.67</w:t>
      </w:r>
      <w:r>
        <w:rPr>
          <w:rFonts w:hint="default" w:ascii="Times New Roman" w:hAnsi="Times New Roman" w:eastAsia="方正仿宋_GB2312"/>
          <w:sz w:val="32"/>
          <w:szCs w:val="32"/>
          <w:shd w:val="clear" w:color="auto" w:fill="FFFFFF"/>
        </w:rPr>
        <w:t>%，较年初预算数减少99.34万元，下降14.69%，主要原因是第五次全国经济普查支出经费减少。</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（2）社会保障与就业支出</w:t>
      </w:r>
      <w:r>
        <w:rPr>
          <w:rFonts w:hint="default" w:ascii="Times New Roman" w:hAnsi="Times New Roman" w:eastAsia="方正仿宋_GB2312"/>
          <w:sz w:val="32"/>
          <w:szCs w:val="32"/>
        </w:rPr>
        <w:t>79.76</w:t>
      </w:r>
      <w:r>
        <w:rPr>
          <w:rFonts w:hint="default" w:ascii="Times New Roman" w:hAnsi="Times New Roman" w:eastAsia="方正仿宋_GB2312"/>
          <w:sz w:val="32"/>
          <w:szCs w:val="32"/>
          <w:shd w:val="clear" w:color="auto" w:fill="FFFFFF"/>
        </w:rPr>
        <w:t>万元，占</w:t>
      </w:r>
      <w:r>
        <w:rPr>
          <w:rFonts w:hint="default" w:ascii="Times New Roman" w:hAnsi="Times New Roman" w:eastAsia="方正仿宋_GB2312"/>
          <w:sz w:val="32"/>
          <w:szCs w:val="32"/>
        </w:rPr>
        <w:t>11.43</w:t>
      </w:r>
      <w:r>
        <w:rPr>
          <w:rFonts w:hint="default" w:ascii="Times New Roman" w:hAnsi="Times New Roman" w:eastAsia="方正仿宋_GB2312"/>
          <w:sz w:val="32"/>
          <w:szCs w:val="32"/>
          <w:shd w:val="clear" w:color="auto" w:fill="FFFFFF"/>
        </w:rPr>
        <w:t>%，较年初预算数增加8.31万元，增长11.63%，主要原因是社保基数调整。</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shd w:val="clear" w:color="auto" w:fill="FFFFFF"/>
        </w:rPr>
      </w:pPr>
      <w:r>
        <w:rPr>
          <w:rFonts w:hint="default" w:ascii="Times New Roman" w:hAnsi="Times New Roman" w:eastAsia="方正仿宋_GB2312"/>
          <w:sz w:val="32"/>
          <w:szCs w:val="32"/>
          <w:shd w:val="clear" w:color="auto" w:fill="FFFFFF"/>
        </w:rPr>
        <w:t>（3）卫生健康支出</w:t>
      </w:r>
      <w:r>
        <w:rPr>
          <w:rFonts w:hint="default" w:ascii="Times New Roman" w:hAnsi="Times New Roman" w:eastAsia="方正仿宋_GB2312"/>
          <w:sz w:val="32"/>
          <w:szCs w:val="32"/>
        </w:rPr>
        <w:t>18.64</w:t>
      </w:r>
      <w:r>
        <w:rPr>
          <w:rFonts w:hint="default" w:ascii="Times New Roman" w:hAnsi="Times New Roman" w:eastAsia="方正仿宋_GB2312"/>
          <w:sz w:val="32"/>
          <w:szCs w:val="32"/>
          <w:shd w:val="clear" w:color="auto" w:fill="FFFFFF"/>
        </w:rPr>
        <w:t>万元，占</w:t>
      </w:r>
      <w:r>
        <w:rPr>
          <w:rFonts w:hint="default" w:ascii="Times New Roman" w:hAnsi="Times New Roman" w:eastAsia="方正仿宋_GB2312"/>
          <w:sz w:val="32"/>
          <w:szCs w:val="32"/>
        </w:rPr>
        <w:t>2.67</w:t>
      </w:r>
      <w:r>
        <w:rPr>
          <w:rFonts w:hint="default" w:ascii="Times New Roman" w:hAnsi="Times New Roman" w:eastAsia="方正仿宋_GB2312"/>
          <w:sz w:val="32"/>
          <w:szCs w:val="32"/>
          <w:shd w:val="clear" w:color="auto" w:fill="FFFFFF"/>
        </w:rPr>
        <w:t>%，较年初预算数增加2.52万元，增长15.63%，主要原因是缴费基数调整。</w:t>
      </w:r>
    </w:p>
    <w:p>
      <w:pPr>
        <w:widowControl w:val="0"/>
        <w:spacing w:line="594" w:lineRule="exact"/>
        <w:ind w:firstLine="640" w:firstLineChars="200"/>
        <w:jc w:val="both"/>
        <w:rPr>
          <w:rFonts w:hint="default" w:ascii="Times New Roman" w:hAnsi="Times New Roman" w:eastAsia="方正仿宋_GB2312"/>
          <w:sz w:val="32"/>
          <w:szCs w:val="32"/>
          <w:shd w:val="clear" w:color="auto" w:fill="FFFFFF"/>
        </w:rPr>
      </w:pPr>
      <w:r>
        <w:rPr>
          <w:rFonts w:hint="default" w:ascii="Times New Roman" w:hAnsi="Times New Roman" w:eastAsia="方正仿宋_GB2312"/>
          <w:sz w:val="32"/>
          <w:szCs w:val="32"/>
          <w:shd w:val="clear" w:color="auto" w:fill="FFFFFF"/>
        </w:rPr>
        <w:t>（4）</w:t>
      </w:r>
      <w:r>
        <w:rPr>
          <w:rFonts w:hint="default" w:ascii="Times New Roman" w:hAnsi="Times New Roman" w:eastAsia="方正仿宋_GB2312"/>
          <w:sz w:val="32"/>
          <w:szCs w:val="32"/>
        </w:rPr>
        <w:t>住房保障支出22.52</w:t>
      </w:r>
      <w:r>
        <w:rPr>
          <w:rFonts w:hint="default" w:ascii="Times New Roman" w:hAnsi="Times New Roman" w:eastAsia="方正仿宋_GB2312"/>
          <w:sz w:val="32"/>
          <w:szCs w:val="32"/>
          <w:shd w:val="clear" w:color="auto" w:fill="FFFFFF"/>
        </w:rPr>
        <w:t>万元，占</w:t>
      </w:r>
      <w:r>
        <w:rPr>
          <w:rFonts w:hint="default" w:ascii="Times New Roman" w:hAnsi="Times New Roman" w:eastAsia="方正仿宋_GB2312"/>
          <w:sz w:val="32"/>
          <w:szCs w:val="32"/>
        </w:rPr>
        <w:t>3.23</w:t>
      </w:r>
      <w:r>
        <w:rPr>
          <w:rFonts w:hint="default" w:ascii="Times New Roman" w:hAnsi="Times New Roman" w:eastAsia="方正仿宋_GB2312"/>
          <w:sz w:val="32"/>
          <w:szCs w:val="32"/>
          <w:shd w:val="clear" w:color="auto" w:fill="FFFFFF"/>
        </w:rPr>
        <w:t>%，较年初预算数增加0.65万元，增长2.97%，主要原因是职工工资变动。</w:t>
      </w:r>
    </w:p>
    <w:p>
      <w:pPr>
        <w:pStyle w:val="6"/>
        <w:widowControl w:val="0"/>
        <w:shd w:val="clear" w:color="auto" w:fill="FFFFFF"/>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（四）一般公共预算财政拨款基本支出决算情况说明</w:t>
      </w:r>
    </w:p>
    <w:p>
      <w:pPr>
        <w:widowControl w:val="0"/>
        <w:spacing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2024年度一般公共财政拨款基本支出</w:t>
      </w:r>
      <w:r>
        <w:rPr>
          <w:rFonts w:hint="default" w:ascii="Times New Roman" w:hAnsi="Times New Roman" w:eastAsia="方正仿宋_GB2312"/>
          <w:sz w:val="32"/>
          <w:szCs w:val="32"/>
        </w:rPr>
        <w:t>378.02</w:t>
      </w:r>
      <w:r>
        <w:rPr>
          <w:rFonts w:hint="default" w:ascii="Times New Roman" w:hAnsi="Times New Roman" w:eastAsia="方正仿宋_GB2312"/>
          <w:sz w:val="32"/>
          <w:szCs w:val="32"/>
          <w:shd w:val="clear" w:color="auto" w:fill="FFFFFF"/>
        </w:rPr>
        <w:t>万元。其中：人员经费</w:t>
      </w:r>
      <w:r>
        <w:rPr>
          <w:rFonts w:hint="default" w:ascii="Times New Roman" w:hAnsi="Times New Roman" w:eastAsia="方正仿宋_GB2312"/>
          <w:sz w:val="32"/>
          <w:szCs w:val="32"/>
        </w:rPr>
        <w:t>324.79</w:t>
      </w:r>
      <w:r>
        <w:rPr>
          <w:rFonts w:hint="default" w:ascii="Times New Roman" w:hAnsi="Times New Roman" w:eastAsia="方正仿宋_GB2312"/>
          <w:sz w:val="32"/>
          <w:szCs w:val="32"/>
          <w:shd w:val="clear" w:color="auto" w:fill="FFFFFF"/>
        </w:rPr>
        <w:t>万元，与2023年度相比，减少27.01万元，下降7.68%，主要原因是单位人员调出、退休。人员经费用途主要包括</w:t>
      </w:r>
      <w:r>
        <w:rPr>
          <w:rFonts w:hint="default" w:ascii="Times New Roman" w:hAnsi="Times New Roman" w:eastAsia="方正仿宋_GB2312"/>
          <w:kern w:val="2"/>
          <w:sz w:val="32"/>
          <w:szCs w:val="32"/>
        </w:rPr>
        <w:t>人员工资、社会保障缴费、公积金缴费等。</w:t>
      </w:r>
      <w:r>
        <w:rPr>
          <w:rFonts w:hint="default" w:ascii="Times New Roman" w:hAnsi="Times New Roman" w:eastAsia="方正仿宋_GB2312"/>
          <w:sz w:val="32"/>
          <w:szCs w:val="32"/>
          <w:shd w:val="clear" w:color="auto" w:fill="FFFFFF"/>
        </w:rPr>
        <w:t>公用经费</w:t>
      </w:r>
      <w:r>
        <w:rPr>
          <w:rFonts w:hint="default" w:ascii="Times New Roman" w:hAnsi="Times New Roman" w:eastAsia="方正仿宋_GB2312"/>
          <w:sz w:val="32"/>
          <w:szCs w:val="32"/>
        </w:rPr>
        <w:t>53.23</w:t>
      </w:r>
      <w:r>
        <w:rPr>
          <w:rFonts w:hint="default" w:ascii="Times New Roman" w:hAnsi="Times New Roman" w:eastAsia="方正仿宋_GB2312"/>
          <w:sz w:val="32"/>
          <w:szCs w:val="32"/>
          <w:shd w:val="clear" w:color="auto" w:fill="FFFFFF"/>
        </w:rPr>
        <w:t>万元，与2023年度相比，增加1.92万元，增长3.74%，主要原因是工会经费较上年增长较多。公用经费用途主要包括</w:t>
      </w:r>
      <w:r>
        <w:rPr>
          <w:rFonts w:hint="default" w:ascii="Times New Roman" w:hAnsi="Times New Roman" w:eastAsia="方正仿宋_GB2312"/>
          <w:kern w:val="2"/>
          <w:sz w:val="32"/>
          <w:szCs w:val="32"/>
        </w:rPr>
        <w:t>办公费、工会经费、公务用车运行维护费等。</w:t>
      </w:r>
    </w:p>
    <w:p>
      <w:pPr>
        <w:pStyle w:val="6"/>
        <w:widowControl w:val="0"/>
        <w:shd w:val="clear" w:color="auto" w:fill="FFFFFF"/>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（五）政府性基金预算收支决算情况说明</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是本年度无政府性基金预算财政拨款支出。本单位2024年度无政府性基金预算财政拨款收支。</w:t>
      </w:r>
    </w:p>
    <w:p>
      <w:pPr>
        <w:pStyle w:val="6"/>
        <w:widowControl w:val="0"/>
        <w:shd w:val="clear" w:color="auto" w:fill="FFFFFF"/>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（六）国有资本经营预算财政拨款支出决算情况说明</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widowControl w:val="0"/>
        <w:shd w:val="clear" w:color="auto" w:fill="FFFFFF"/>
        <w:spacing w:before="0" w:beforeAutospacing="0" w:after="0" w:afterAutospacing="0" w:line="594" w:lineRule="exact"/>
        <w:ind w:firstLine="640" w:firstLineChars="200"/>
        <w:jc w:val="both"/>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三、</w:t>
      </w:r>
      <w:r>
        <w:rPr>
          <w:rStyle w:val="10"/>
          <w:rFonts w:ascii="黑体" w:hAnsi="黑体" w:eastAsia="黑体" w:cs="黑体"/>
          <w:sz w:val="32"/>
          <w:szCs w:val="32"/>
          <w:shd w:val="clear" w:color="auto" w:fill="FFFFFF"/>
        </w:rPr>
        <w:t>财政拨款“三公”经费情况说明</w:t>
      </w:r>
    </w:p>
    <w:p>
      <w:pPr>
        <w:pStyle w:val="6"/>
        <w:widowControl w:val="0"/>
        <w:shd w:val="clear" w:color="auto" w:fill="FFFFFF"/>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（一）“三公”经费支出总体情况说明</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2024年度“三公”经费支出共计</w:t>
      </w:r>
      <w:r>
        <w:rPr>
          <w:rFonts w:hint="default" w:ascii="Times New Roman" w:hAnsi="Times New Roman" w:eastAsia="方正仿宋_GB2312"/>
          <w:sz w:val="32"/>
          <w:szCs w:val="32"/>
        </w:rPr>
        <w:t>28.35</w:t>
      </w:r>
      <w:r>
        <w:rPr>
          <w:rFonts w:hint="default" w:ascii="Times New Roman" w:hAnsi="Times New Roman" w:eastAsia="方正仿宋_GB2312"/>
          <w:sz w:val="32"/>
          <w:szCs w:val="32"/>
          <w:shd w:val="clear" w:color="auto" w:fill="FFFFFF"/>
        </w:rPr>
        <w:t>万元，较年初预算数增加19.35万元，增长215.00%，主要原因是</w:t>
      </w:r>
      <w:bookmarkStart w:id="0" w:name="_GoBack"/>
      <w:bookmarkEnd w:id="0"/>
      <w:r>
        <w:rPr>
          <w:rFonts w:hint="default" w:ascii="Times New Roman" w:hAnsi="Times New Roman" w:eastAsia="方正仿宋_GB2312"/>
          <w:sz w:val="32"/>
          <w:szCs w:val="32"/>
          <w:shd w:val="clear" w:color="auto" w:fill="FFFFFF"/>
        </w:rPr>
        <w:t>业务</w:t>
      </w:r>
      <w:r>
        <w:rPr>
          <w:rFonts w:ascii="Times New Roman" w:hAnsi="Times New Roman" w:eastAsia="方正仿宋_GB2312"/>
          <w:sz w:val="32"/>
          <w:szCs w:val="32"/>
          <w:shd w:val="clear" w:color="auto" w:fill="FFFFFF"/>
        </w:rPr>
        <w:t>开展</w:t>
      </w:r>
      <w:r>
        <w:rPr>
          <w:rFonts w:hint="default" w:ascii="Times New Roman" w:hAnsi="Times New Roman" w:eastAsia="方正仿宋_GB2312"/>
          <w:sz w:val="32"/>
          <w:szCs w:val="32"/>
          <w:shd w:val="clear" w:color="auto" w:fill="FFFFFF"/>
        </w:rPr>
        <w:t>需要，</w:t>
      </w:r>
      <w:r>
        <w:rPr>
          <w:rFonts w:ascii="Times New Roman" w:hAnsi="Times New Roman" w:eastAsia="方正仿宋_GB2312"/>
          <w:sz w:val="32"/>
          <w:szCs w:val="32"/>
          <w:shd w:val="clear" w:color="auto" w:fill="FFFFFF"/>
        </w:rPr>
        <w:t>增加</w:t>
      </w:r>
      <w:r>
        <w:rPr>
          <w:rFonts w:hint="default" w:ascii="Times New Roman" w:hAnsi="Times New Roman" w:eastAsia="方正仿宋_GB2312"/>
          <w:sz w:val="32"/>
          <w:szCs w:val="32"/>
          <w:shd w:val="clear" w:color="auto" w:fill="FFFFFF"/>
        </w:rPr>
        <w:t>购置公务车预算。较上年支出数增加24.74万元，增长685.32%，主要原因是购置新公务车一辆。</w:t>
      </w:r>
    </w:p>
    <w:p>
      <w:pPr>
        <w:pStyle w:val="6"/>
        <w:widowControl w:val="0"/>
        <w:shd w:val="clear" w:color="auto" w:fill="FFFFFF"/>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（二）“三公”经费分项支出情况</w:t>
      </w:r>
    </w:p>
    <w:p>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 公务车购置费</w:t>
      </w:r>
      <w:r>
        <w:rPr>
          <w:rFonts w:hint="default" w:ascii="Times New Roman" w:hAnsi="Times New Roman" w:eastAsia="方正仿宋_GB2312"/>
          <w:sz w:val="32"/>
          <w:szCs w:val="32"/>
        </w:rPr>
        <w:t>24.96</w:t>
      </w:r>
      <w:r>
        <w:rPr>
          <w:rFonts w:hint="default" w:ascii="Times New Roman" w:hAnsi="Times New Roman" w:eastAsia="方正仿宋_GB2312"/>
          <w:sz w:val="32"/>
          <w:szCs w:val="32"/>
          <w:shd w:val="clear" w:color="auto" w:fill="FFFFFF"/>
        </w:rPr>
        <w:t>万元，主要用于购买新公务车满足日常公务出差需求。费用支出较年初预算数增加24.96万元，增长100.00%，主要原因是购置新公务车。较上年支出数增加24.96万元，增长100.00%，主要原因是购置新公务车。</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公务车运行维护费</w:t>
      </w:r>
      <w:r>
        <w:rPr>
          <w:rFonts w:hint="default" w:ascii="Times New Roman" w:hAnsi="Times New Roman" w:eastAsia="方正仿宋_GB2312"/>
          <w:sz w:val="32"/>
          <w:szCs w:val="32"/>
        </w:rPr>
        <w:t>3.39</w:t>
      </w:r>
      <w:r>
        <w:rPr>
          <w:rFonts w:hint="default" w:ascii="Times New Roman" w:hAnsi="Times New Roman" w:eastAsia="方正仿宋_GB2312"/>
          <w:sz w:val="32"/>
          <w:szCs w:val="32"/>
          <w:shd w:val="clear" w:color="auto" w:fill="FFFFFF"/>
        </w:rPr>
        <w:t>万元，主要用于</w:t>
      </w:r>
      <w:r>
        <w:rPr>
          <w:rFonts w:hint="default" w:ascii="Times New Roman" w:hAnsi="Times New Roman" w:eastAsia="方正仿宋_GB2312"/>
          <w:kern w:val="2"/>
          <w:sz w:val="32"/>
          <w:szCs w:val="32"/>
        </w:rPr>
        <w:t>公务用车加油、充电、公务用车保险费、公务用车维修费</w:t>
      </w:r>
      <w:r>
        <w:rPr>
          <w:rFonts w:hint="default" w:ascii="Times New Roman" w:hAnsi="Times New Roman" w:eastAsia="方正仿宋_GB2312"/>
          <w:sz w:val="32"/>
          <w:szCs w:val="32"/>
          <w:shd w:val="clear" w:color="auto" w:fill="FFFFFF"/>
        </w:rPr>
        <w:t>。费用支出较年初预算数减少0.61万元，下降15.25%，主要原因是</w:t>
      </w:r>
      <w:r>
        <w:rPr>
          <w:rFonts w:hint="default" w:ascii="Times New Roman" w:hAnsi="Times New Roman" w:eastAsia="方正仿宋_GB2312"/>
          <w:kern w:val="2"/>
          <w:sz w:val="32"/>
          <w:szCs w:val="32"/>
        </w:rPr>
        <w:t>公务用车次数减少</w:t>
      </w:r>
      <w:r>
        <w:rPr>
          <w:rFonts w:hint="default" w:ascii="Times New Roman" w:hAnsi="Times New Roman" w:eastAsia="方正仿宋_GB2312"/>
          <w:sz w:val="32"/>
          <w:szCs w:val="32"/>
          <w:shd w:val="clear" w:color="auto" w:fill="FFFFFF"/>
        </w:rPr>
        <w:t>。较上年支出数增加0.03万元，增长0.89%，主要原因是旧车维修</w:t>
      </w:r>
      <w:r>
        <w:rPr>
          <w:rFonts w:ascii="Times New Roman" w:hAnsi="Times New Roman" w:eastAsiaTheme="minorEastAsia"/>
          <w:sz w:val="32"/>
          <w:szCs w:val="32"/>
          <w:shd w:val="clear" w:color="auto" w:fill="FFFFFF"/>
        </w:rPr>
        <w:t>增多</w:t>
      </w:r>
      <w:r>
        <w:rPr>
          <w:rFonts w:hint="default" w:ascii="Times New Roman" w:hAnsi="Times New Roman" w:eastAsia="方正仿宋_GB2312"/>
          <w:sz w:val="32"/>
          <w:szCs w:val="32"/>
          <w:shd w:val="clear" w:color="auto" w:fill="FFFFFF"/>
        </w:rPr>
        <w:t>。</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公务接待费</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万元，费用支出较年初预算数减少5.00万元，下降100.00%，较上年支出数减少0.25万元，下降100.00%，主要原因是本年未发生公务接待。</w:t>
      </w:r>
    </w:p>
    <w:p>
      <w:pPr>
        <w:pStyle w:val="6"/>
        <w:widowControl w:val="0"/>
        <w:shd w:val="clear" w:color="auto" w:fill="FFFFFF"/>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（三）“三公”经费实物量情况</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2024年度本单位因公出国（境）共计</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个团组，</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人；公务用车购置</w:t>
      </w:r>
      <w:r>
        <w:rPr>
          <w:rFonts w:hint="default" w:ascii="Times New Roman" w:hAnsi="Times New Roman" w:eastAsia="方正仿宋_GB2312"/>
          <w:sz w:val="32"/>
          <w:szCs w:val="32"/>
        </w:rPr>
        <w:t>1</w:t>
      </w:r>
      <w:r>
        <w:rPr>
          <w:rFonts w:hint="default" w:ascii="Times New Roman" w:hAnsi="Times New Roman" w:eastAsia="方正仿宋_GB2312"/>
          <w:sz w:val="32"/>
          <w:szCs w:val="32"/>
          <w:shd w:val="clear" w:color="auto" w:fill="FFFFFF"/>
        </w:rPr>
        <w:t>辆，公务车保有量为</w:t>
      </w:r>
      <w:r>
        <w:rPr>
          <w:rFonts w:hint="default" w:ascii="Times New Roman" w:hAnsi="Times New Roman" w:eastAsia="方正仿宋_GB2312"/>
          <w:sz w:val="32"/>
          <w:szCs w:val="32"/>
        </w:rPr>
        <w:t>1</w:t>
      </w:r>
      <w:r>
        <w:rPr>
          <w:rFonts w:hint="default" w:ascii="Times New Roman" w:hAnsi="Times New Roman" w:eastAsia="方正仿宋_GB2312"/>
          <w:sz w:val="32"/>
          <w:szCs w:val="32"/>
          <w:shd w:val="clear" w:color="auto" w:fill="FFFFFF"/>
        </w:rPr>
        <w:t>辆；国内公务接待</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批次</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人，其中：国内外事接待</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批次，</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人；国（境）外公务接待</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批次，</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人。2024年本单位人均接待费</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元，车均购置费</w:t>
      </w:r>
      <w:r>
        <w:rPr>
          <w:rFonts w:hint="default" w:ascii="Times New Roman" w:hAnsi="Times New Roman" w:eastAsia="方正仿宋_GB2312"/>
          <w:sz w:val="32"/>
          <w:szCs w:val="32"/>
        </w:rPr>
        <w:t>24.96</w:t>
      </w:r>
      <w:r>
        <w:rPr>
          <w:rFonts w:hint="default" w:ascii="Times New Roman" w:hAnsi="Times New Roman" w:eastAsia="方正仿宋_GB2312"/>
          <w:sz w:val="32"/>
          <w:szCs w:val="32"/>
          <w:shd w:val="clear" w:color="auto" w:fill="FFFFFF"/>
        </w:rPr>
        <w:t>万元，车均维护费</w:t>
      </w:r>
      <w:r>
        <w:rPr>
          <w:rFonts w:hint="default" w:ascii="Times New Roman" w:hAnsi="Times New Roman" w:eastAsia="方正仿宋_GB2312"/>
          <w:sz w:val="32"/>
          <w:szCs w:val="32"/>
        </w:rPr>
        <w:t>3.39</w:t>
      </w:r>
      <w:r>
        <w:rPr>
          <w:rFonts w:hint="default" w:ascii="Times New Roman" w:hAnsi="Times New Roman" w:eastAsia="方正仿宋_GB2312"/>
          <w:sz w:val="32"/>
          <w:szCs w:val="32"/>
          <w:shd w:val="clear" w:color="auto" w:fill="FFFFFF"/>
        </w:rPr>
        <w:t>万元。</w:t>
      </w:r>
    </w:p>
    <w:p>
      <w:pPr>
        <w:pStyle w:val="6"/>
        <w:widowControl w:val="0"/>
        <w:shd w:val="clear" w:color="auto" w:fill="FFFFFF"/>
        <w:spacing w:before="0" w:beforeAutospacing="0" w:after="0" w:afterAutospacing="0" w:line="594" w:lineRule="exact"/>
        <w:ind w:firstLine="640" w:firstLineChars="200"/>
        <w:jc w:val="both"/>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四、其他需要说明的事项</w:t>
      </w:r>
    </w:p>
    <w:p>
      <w:pPr>
        <w:pStyle w:val="6"/>
        <w:widowControl w:val="0"/>
        <w:shd w:val="clear" w:color="auto" w:fill="FFFFFF"/>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（一）财政拨款会议费和培训费情况说明</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本年度会议费支出</w:t>
      </w:r>
      <w:r>
        <w:rPr>
          <w:rFonts w:hint="default" w:ascii="Times New Roman" w:hAnsi="Times New Roman" w:eastAsia="方正仿宋_GB2312"/>
          <w:sz w:val="32"/>
          <w:szCs w:val="32"/>
        </w:rPr>
        <w:t>0.72</w:t>
      </w:r>
      <w:r>
        <w:rPr>
          <w:rFonts w:hint="default" w:ascii="Times New Roman" w:hAnsi="Times New Roman" w:eastAsia="方正仿宋_GB2312"/>
          <w:sz w:val="32"/>
          <w:szCs w:val="32"/>
          <w:shd w:val="clear" w:color="auto" w:fill="FFFFFF"/>
        </w:rPr>
        <w:t>万元，与2023年度相比，减少4.96万元，下降87.32%，主要原因是上年因第五次全国经济普查开展各个阶段工作布置及培训会议次数较多。本年度培训费支出</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万元，与2023年度相比，减少1.53万元，下降100.00%，主要原因是本年无培训费支出。</w:t>
      </w:r>
    </w:p>
    <w:p>
      <w:pPr>
        <w:pStyle w:val="6"/>
        <w:widowControl w:val="0"/>
        <w:shd w:val="clear" w:color="auto" w:fill="FFFFFF"/>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（二）机关运行经费情况说明</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2024年度本单位机关运行经费支出</w:t>
      </w:r>
      <w:r>
        <w:rPr>
          <w:rFonts w:hint="default" w:ascii="Times New Roman" w:hAnsi="Times New Roman" w:eastAsia="方正仿宋_GB2312"/>
          <w:sz w:val="32"/>
          <w:szCs w:val="32"/>
        </w:rPr>
        <w:t>53.23</w:t>
      </w:r>
      <w:r>
        <w:rPr>
          <w:rFonts w:hint="default" w:ascii="Times New Roman" w:hAnsi="Times New Roman" w:eastAsia="方正仿宋_GB2312"/>
          <w:sz w:val="32"/>
          <w:szCs w:val="32"/>
          <w:shd w:val="clear" w:color="auto" w:fill="FFFFFF"/>
        </w:rPr>
        <w:t>万元，机关运行经费主要用于开支</w:t>
      </w:r>
      <w:r>
        <w:rPr>
          <w:rFonts w:hint="default" w:ascii="Times New Roman" w:hAnsi="Times New Roman" w:eastAsia="方正仿宋_GB2312"/>
          <w:kern w:val="2"/>
          <w:sz w:val="32"/>
          <w:szCs w:val="32"/>
        </w:rPr>
        <w:t>办公费6.48万元、印刷费1.42万元、邮电费1.35万元、差旅费3.73万元、会议费0.3万元、工会经费22.3万元、福利费3.14万元、公务用车运行维护费3.39万元、其他交通费用11.11万元。</w:t>
      </w:r>
      <w:r>
        <w:rPr>
          <w:rFonts w:hint="default" w:ascii="Times New Roman" w:hAnsi="Times New Roman" w:eastAsia="方正仿宋_GB2312"/>
          <w:sz w:val="32"/>
          <w:szCs w:val="32"/>
          <w:shd w:val="clear" w:color="auto" w:fill="FFFFFF"/>
        </w:rPr>
        <w:t>机关运行经费较上年支出数增加1.92万元，增长3.74%，主要原因是工会经费较上年增长较多。</w:t>
      </w:r>
    </w:p>
    <w:p>
      <w:pPr>
        <w:pStyle w:val="6"/>
        <w:widowControl w:val="0"/>
        <w:shd w:val="clear" w:color="auto" w:fill="FFFFFF"/>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（三）国有资产占用情况说明</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rPr>
      </w:pPr>
      <w:r>
        <w:rPr>
          <w:rFonts w:hint="default" w:ascii="Times New Roman" w:hAnsi="Times New Roman" w:eastAsia="方正仿宋_GB2312"/>
          <w:sz w:val="32"/>
          <w:szCs w:val="32"/>
          <w:shd w:val="clear" w:color="auto" w:fill="FFFFFF"/>
        </w:rPr>
        <w:t>截至2024年12月31日，本单位共有车辆</w:t>
      </w:r>
      <w:r>
        <w:rPr>
          <w:rFonts w:hint="default" w:ascii="Times New Roman" w:hAnsi="Times New Roman" w:eastAsia="方正仿宋_GB2312"/>
          <w:sz w:val="32"/>
          <w:szCs w:val="32"/>
        </w:rPr>
        <w:t>1</w:t>
      </w:r>
      <w:r>
        <w:rPr>
          <w:rFonts w:hint="default" w:ascii="Times New Roman" w:hAnsi="Times New Roman" w:eastAsia="方正仿宋_GB2312"/>
          <w:sz w:val="32"/>
          <w:szCs w:val="32"/>
          <w:shd w:val="clear" w:color="auto" w:fill="FFFFFF"/>
        </w:rPr>
        <w:t>辆，其中，副部（省）级及以上领导用车</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辆、主要负责人用车</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辆、机要通信用车</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辆、应急保障用车</w:t>
      </w:r>
      <w:r>
        <w:rPr>
          <w:rFonts w:hint="default" w:ascii="Times New Roman" w:hAnsi="Times New Roman" w:eastAsia="方正仿宋_GB2312"/>
          <w:sz w:val="32"/>
          <w:szCs w:val="32"/>
        </w:rPr>
        <w:t>1</w:t>
      </w:r>
      <w:r>
        <w:rPr>
          <w:rFonts w:hint="default" w:ascii="Times New Roman" w:hAnsi="Times New Roman" w:eastAsia="方正仿宋_GB2312"/>
          <w:sz w:val="32"/>
          <w:szCs w:val="32"/>
          <w:shd w:val="clear" w:color="auto" w:fill="FFFFFF"/>
        </w:rPr>
        <w:t>辆、执法执勤用车</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辆，特种专业技术用车</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辆，离退休干部用车</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辆。单价100万元（含）以上专用设备</w:t>
      </w:r>
      <w:r>
        <w:rPr>
          <w:rFonts w:hint="default" w:ascii="Times New Roman" w:hAnsi="Times New Roman" w:eastAsia="方正仿宋_GB2312"/>
          <w:sz w:val="32"/>
          <w:szCs w:val="32"/>
        </w:rPr>
        <w:t>0</w:t>
      </w:r>
      <w:r>
        <w:rPr>
          <w:rFonts w:hint="default" w:ascii="Times New Roman" w:hAnsi="Times New Roman" w:eastAsia="方正仿宋_GB2312"/>
          <w:sz w:val="32"/>
          <w:szCs w:val="32"/>
          <w:shd w:val="clear" w:color="auto" w:fill="FFFFFF"/>
        </w:rPr>
        <w:t>台（套）。</w:t>
      </w:r>
    </w:p>
    <w:p>
      <w:pPr>
        <w:pStyle w:val="6"/>
        <w:widowControl w:val="0"/>
        <w:shd w:val="clear" w:color="auto" w:fill="FFFFFF"/>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（四）政府采购支出情况说明</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2312"/>
          <w:sz w:val="32"/>
          <w:szCs w:val="32"/>
          <w:shd w:val="clear" w:color="auto" w:fill="FFFFFF"/>
        </w:rPr>
      </w:pPr>
      <w:r>
        <w:rPr>
          <w:rFonts w:hint="default" w:ascii="Times New Roman" w:hAnsi="Times New Roman" w:eastAsia="方正仿宋_GB2312"/>
          <w:sz w:val="32"/>
          <w:szCs w:val="32"/>
          <w:shd w:val="clear" w:color="auto" w:fill="FFFFFF"/>
        </w:rPr>
        <w:t>2024年度本单位政府采购支出总额</w:t>
      </w:r>
      <w:r>
        <w:rPr>
          <w:rFonts w:hint="default" w:ascii="Times New Roman" w:hAnsi="Times New Roman" w:eastAsia="方正仿宋_GB2312"/>
          <w:sz w:val="32"/>
          <w:szCs w:val="32"/>
        </w:rPr>
        <w:t>29.91</w:t>
      </w:r>
      <w:r>
        <w:rPr>
          <w:rFonts w:hint="default" w:ascii="Times New Roman" w:hAnsi="Times New Roman" w:eastAsia="方正仿宋_GB2312"/>
          <w:sz w:val="32"/>
          <w:szCs w:val="32"/>
          <w:shd w:val="clear" w:color="auto" w:fill="FFFFFF"/>
        </w:rPr>
        <w:t>万元，其中：政府采购货物支出</w:t>
      </w:r>
      <w:r>
        <w:rPr>
          <w:rFonts w:hint="default" w:ascii="Times New Roman" w:hAnsi="Times New Roman" w:eastAsia="方正仿宋_GB2312"/>
          <w:sz w:val="32"/>
          <w:szCs w:val="32"/>
        </w:rPr>
        <w:t>29.91</w:t>
      </w:r>
      <w:r>
        <w:rPr>
          <w:rFonts w:hint="default" w:ascii="Times New Roman" w:hAnsi="Times New Roman" w:eastAsia="方正仿宋_GB2312"/>
          <w:sz w:val="32"/>
          <w:szCs w:val="32"/>
          <w:shd w:val="clear" w:color="auto" w:fill="FFFFFF"/>
        </w:rPr>
        <w:t>万元、政府采购工程支出</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万元、政府采购服务支出</w:t>
      </w:r>
      <w:r>
        <w:rPr>
          <w:rFonts w:hint="default" w:ascii="Times New Roman" w:hAnsi="Times New Roman" w:eastAsia="方正仿宋_GB2312"/>
          <w:sz w:val="32"/>
          <w:szCs w:val="32"/>
        </w:rPr>
        <w:t>0.00</w:t>
      </w:r>
      <w:r>
        <w:rPr>
          <w:rFonts w:hint="default" w:ascii="Times New Roman" w:hAnsi="Times New Roman" w:eastAsia="方正仿宋_GB2312"/>
          <w:sz w:val="32"/>
          <w:szCs w:val="32"/>
          <w:shd w:val="clear" w:color="auto" w:fill="FFFFFF"/>
        </w:rPr>
        <w:t>万元。授予中小企业合同金额</w:t>
      </w:r>
      <w:r>
        <w:rPr>
          <w:rFonts w:hint="default" w:ascii="Times New Roman" w:hAnsi="Times New Roman" w:eastAsia="方正仿宋_GB2312"/>
          <w:sz w:val="32"/>
          <w:szCs w:val="32"/>
        </w:rPr>
        <w:t>29.91万</w:t>
      </w:r>
      <w:r>
        <w:rPr>
          <w:rFonts w:hint="default" w:ascii="Times New Roman" w:hAnsi="Times New Roman" w:eastAsia="方正仿宋_GB2312"/>
          <w:sz w:val="32"/>
          <w:szCs w:val="32"/>
          <w:shd w:val="clear" w:color="auto" w:fill="FFFFFF"/>
        </w:rPr>
        <w:t>元，占政府采购支出总额的</w:t>
      </w:r>
      <w:r>
        <w:rPr>
          <w:rFonts w:hint="default" w:ascii="Times New Roman" w:hAnsi="Times New Roman" w:eastAsia="方正仿宋_GB2312"/>
          <w:sz w:val="32"/>
          <w:szCs w:val="32"/>
        </w:rPr>
        <w:t>100.00</w:t>
      </w:r>
      <w:r>
        <w:rPr>
          <w:rFonts w:hint="default" w:ascii="Times New Roman" w:hAnsi="Times New Roman" w:eastAsia="方正仿宋_GB2312"/>
          <w:sz w:val="32"/>
          <w:szCs w:val="32"/>
          <w:shd w:val="clear" w:color="auto" w:fill="FFFFFF"/>
        </w:rPr>
        <w:t>%，其中：授予小微企业合同金额</w:t>
      </w:r>
      <w:r>
        <w:rPr>
          <w:rFonts w:hint="default" w:ascii="Times New Roman" w:hAnsi="Times New Roman" w:eastAsia="方正仿宋_GB2312"/>
          <w:sz w:val="32"/>
          <w:szCs w:val="32"/>
        </w:rPr>
        <w:t>29.91</w:t>
      </w:r>
      <w:r>
        <w:rPr>
          <w:rFonts w:hint="default" w:ascii="Times New Roman" w:hAnsi="Times New Roman" w:eastAsia="方正仿宋_GB2312"/>
          <w:sz w:val="32"/>
          <w:szCs w:val="32"/>
          <w:shd w:val="clear" w:color="auto" w:fill="FFFFFF"/>
        </w:rPr>
        <w:t>万元，占政府采购支出总额的</w:t>
      </w:r>
      <w:r>
        <w:rPr>
          <w:rFonts w:hint="default" w:ascii="Times New Roman" w:hAnsi="Times New Roman" w:eastAsia="方正仿宋_GB2312"/>
          <w:sz w:val="32"/>
          <w:szCs w:val="32"/>
        </w:rPr>
        <w:t>100.00</w:t>
      </w:r>
      <w:r>
        <w:rPr>
          <w:rFonts w:hint="default" w:ascii="Times New Roman" w:hAnsi="Times New Roman" w:eastAsia="方正仿宋_GB2312"/>
          <w:sz w:val="32"/>
          <w:szCs w:val="32"/>
          <w:shd w:val="clear" w:color="auto" w:fill="FFFFFF"/>
        </w:rPr>
        <w:t xml:space="preserve"> %。主要用于采购办公设备。</w:t>
      </w:r>
    </w:p>
    <w:p>
      <w:pPr>
        <w:pStyle w:val="6"/>
        <w:widowControl w:val="0"/>
        <w:shd w:val="clear" w:color="auto" w:fill="FFFFFF"/>
        <w:spacing w:before="0" w:beforeAutospacing="0" w:after="0" w:afterAutospacing="0" w:line="594" w:lineRule="exact"/>
        <w:ind w:firstLine="640" w:firstLineChars="200"/>
        <w:jc w:val="both"/>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五、</w:t>
      </w:r>
      <w:r>
        <w:rPr>
          <w:rStyle w:val="10"/>
          <w:rFonts w:ascii="黑体" w:hAnsi="黑体" w:eastAsia="黑体" w:cs="黑体"/>
          <w:sz w:val="32"/>
          <w:szCs w:val="32"/>
          <w:shd w:val="clear" w:color="auto" w:fill="FFFFFF"/>
        </w:rPr>
        <w:t>2024年度预算绩效管理情况说明</w:t>
      </w:r>
    </w:p>
    <w:p>
      <w:pPr>
        <w:pStyle w:val="6"/>
        <w:widowControl w:val="0"/>
        <w:shd w:val="clear" w:color="auto" w:fill="FFFFFF"/>
        <w:spacing w:before="0" w:beforeAutospacing="0" w:after="0" w:afterAutospacing="0" w:line="594" w:lineRule="exact"/>
        <w:ind w:firstLine="640" w:firstLineChars="200"/>
        <w:jc w:val="both"/>
        <w:rPr>
          <w:rStyle w:val="10"/>
          <w:rFonts w:hint="default" w:ascii="方正楷体_GB2312" w:hAnsi="方正楷体_GB2312" w:eastAsia="方正楷体_GB2312" w:cs="方正楷体_GB2312"/>
          <w:b w:val="0"/>
          <w:bCs/>
          <w:sz w:val="32"/>
          <w:szCs w:val="32"/>
          <w:shd w:val="clear" w:color="auto" w:fill="FFFFFF"/>
        </w:rPr>
      </w:pPr>
      <w:r>
        <w:rPr>
          <w:rStyle w:val="10"/>
          <w:rFonts w:hint="default" w:ascii="方正楷体_GB2312" w:hAnsi="方正楷体_GB2312" w:eastAsia="方正楷体_GB2312" w:cs="方正楷体_GB2312"/>
          <w:b w:val="0"/>
          <w:bCs/>
          <w:sz w:val="32"/>
          <w:szCs w:val="32"/>
          <w:shd w:val="clear" w:color="auto" w:fill="FFFFFF"/>
        </w:rPr>
        <w:t>（一）单位自评情况</w:t>
      </w:r>
    </w:p>
    <w:p>
      <w:pPr>
        <w:pStyle w:val="12"/>
        <w:widowControl w:val="0"/>
        <w:autoSpaceDE w:val="0"/>
        <w:spacing w:before="0" w:beforeAutospacing="0" w:after="0" w:afterAutospacing="0" w:line="594" w:lineRule="exact"/>
        <w:ind w:firstLine="640" w:firstLineChars="200"/>
        <w:jc w:val="both"/>
        <w:rPr>
          <w:rFonts w:hint="eastAsia" w:ascii="Times New Roman" w:hAnsi="Times New Roman" w:eastAsiaTheme="minorEastAsia"/>
          <w:sz w:val="32"/>
          <w:szCs w:val="32"/>
          <w:shd w:val="clear" w:color="auto" w:fill="FFFFFF"/>
        </w:rPr>
      </w:pPr>
      <w:r>
        <w:rPr>
          <w:rFonts w:ascii="Times New Roman" w:hAnsi="Times New Roman" w:eastAsia="方正仿宋_GB2312"/>
          <w:sz w:val="32"/>
          <w:szCs w:val="32"/>
          <w:shd w:val="clear" w:color="auto" w:fill="FFFFFF"/>
        </w:rPr>
        <w:t>根据预算绩效管理要求，我单位对11个二级项目开展了绩效自评，涉及财政拨款项目支出资金319.92万元.</w:t>
      </w:r>
    </w:p>
    <w:p>
      <w:pPr>
        <w:pStyle w:val="12"/>
        <w:widowControl w:val="0"/>
        <w:autoSpaceDE w:val="0"/>
        <w:spacing w:before="0" w:beforeAutospacing="0" w:after="0" w:afterAutospacing="0" w:line="594" w:lineRule="exact"/>
        <w:ind w:firstLine="640" w:firstLineChars="200"/>
        <w:jc w:val="both"/>
        <w:rPr>
          <w:rFonts w:ascii="Times New Roman" w:hAnsi="Times New Roman" w:eastAsia="方正仿宋_GB2312"/>
          <w:sz w:val="32"/>
          <w:szCs w:val="32"/>
          <w:shd w:val="clear" w:color="auto" w:fill="FFFFFF"/>
        </w:rPr>
      </w:pPr>
    </w:p>
    <w:tbl>
      <w:tblPr>
        <w:tblStyle w:val="7"/>
        <w:tblW w:w="9480" w:type="dxa"/>
        <w:jc w:val="center"/>
        <w:tblLayout w:type="fixed"/>
        <w:tblCellMar>
          <w:top w:w="0" w:type="dxa"/>
          <w:left w:w="0" w:type="dxa"/>
          <w:bottom w:w="0" w:type="dxa"/>
          <w:right w:w="0" w:type="dxa"/>
        </w:tblCellMar>
      </w:tblPr>
      <w:tblGrid>
        <w:gridCol w:w="859"/>
        <w:gridCol w:w="543"/>
        <w:gridCol w:w="785"/>
        <w:gridCol w:w="984"/>
        <w:gridCol w:w="978"/>
        <w:gridCol w:w="1223"/>
        <w:gridCol w:w="799"/>
        <w:gridCol w:w="498"/>
        <w:gridCol w:w="830"/>
        <w:gridCol w:w="951"/>
        <w:gridCol w:w="1030"/>
      </w:tblGrid>
      <w:tr>
        <w:tblPrEx>
          <w:tblCellMar>
            <w:top w:w="0" w:type="dxa"/>
            <w:left w:w="0" w:type="dxa"/>
            <w:bottom w:w="0" w:type="dxa"/>
            <w:right w:w="0" w:type="dxa"/>
          </w:tblCellMar>
        </w:tblPrEx>
        <w:trPr>
          <w:trHeight w:val="434" w:hRule="atLeast"/>
          <w:jc w:val="center"/>
        </w:trPr>
        <w:tc>
          <w:tcPr>
            <w:tcW w:w="9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b/>
                <w:sz w:val="18"/>
                <w:szCs w:val="18"/>
              </w:rPr>
            </w:pPr>
            <w:r>
              <w:rPr>
                <w:rFonts w:ascii="Times New Roman" w:hAnsi="Times New Roman" w:eastAsia="方正仿宋_GB2312"/>
                <w:sz w:val="32"/>
                <w:szCs w:val="32"/>
              </w:rPr>
              <w:t>2024年度二级项目绩效自评表</w:t>
            </w:r>
          </w:p>
        </w:tc>
      </w:tr>
      <w:tr>
        <w:tblPrEx>
          <w:tblCellMar>
            <w:top w:w="0" w:type="dxa"/>
            <w:left w:w="0" w:type="dxa"/>
            <w:bottom w:w="0" w:type="dxa"/>
            <w:right w:w="0" w:type="dxa"/>
          </w:tblCellMar>
        </w:tblPrEx>
        <w:trPr>
          <w:trHeight w:val="220" w:hRule="atLeast"/>
          <w:jc w:val="center"/>
        </w:trPr>
        <w:tc>
          <w:tcPr>
            <w:tcW w:w="9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181" w:firstLineChars="10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状态：绩效审核已审</w:t>
            </w:r>
          </w:p>
        </w:tc>
      </w:tr>
      <w:tr>
        <w:tblPrEx>
          <w:tblCellMar>
            <w:top w:w="0" w:type="dxa"/>
            <w:left w:w="0" w:type="dxa"/>
            <w:bottom w:w="0" w:type="dxa"/>
            <w:right w:w="0" w:type="dxa"/>
          </w:tblCellMar>
        </w:tblPrEx>
        <w:trPr>
          <w:trHeight w:val="479"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项目名称：</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第五次全国经济普查</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项目编码：</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50023122T000000115875</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lang w:bidi="ar"/>
              </w:rPr>
            </w:pPr>
            <w:r>
              <w:rPr>
                <w:rFonts w:asciiTheme="minorEastAsia" w:hAnsiTheme="minorEastAsia" w:eastAsiaTheme="minorEastAsia" w:cstheme="minorEastAsia"/>
                <w:b/>
                <w:sz w:val="18"/>
                <w:szCs w:val="18"/>
                <w:lang w:bidi="ar"/>
              </w:rPr>
              <w:t>自评</w:t>
            </w:r>
          </w:p>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总分：</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99.99</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heme="minorEastAsia" w:hAnsiTheme="minorEastAsia" w:eastAsiaTheme="minorEastAsia" w:cstheme="minorEastAsia"/>
                <w:b/>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559"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项目主管部门：</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123-垫江县统计局</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财政归口处室：</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004-行财科</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lang w:bidi="ar"/>
              </w:rPr>
            </w:pPr>
            <w:r>
              <w:rPr>
                <w:rFonts w:asciiTheme="minorEastAsia" w:hAnsiTheme="minorEastAsia" w:eastAsiaTheme="minorEastAsia" w:cstheme="minorEastAsia"/>
                <w:b/>
                <w:sz w:val="18"/>
                <w:szCs w:val="18"/>
                <w:lang w:bidi="ar"/>
              </w:rPr>
              <w:t>部门</w:t>
            </w:r>
          </w:p>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联系人：</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胡莹</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联系电话：</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74512573</w:t>
            </w:r>
          </w:p>
        </w:tc>
      </w:tr>
      <w:tr>
        <w:tblPrEx>
          <w:tblCellMar>
            <w:top w:w="0" w:type="dxa"/>
            <w:left w:w="0" w:type="dxa"/>
            <w:bottom w:w="0" w:type="dxa"/>
            <w:right w:w="0" w:type="dxa"/>
          </w:tblCellMar>
        </w:tblPrEx>
        <w:trPr>
          <w:trHeight w:val="212" w:hRule="atLeast"/>
          <w:jc w:val="center"/>
        </w:trPr>
        <w:tc>
          <w:tcPr>
            <w:tcW w:w="9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资金情况</w:t>
            </w:r>
          </w:p>
        </w:tc>
      </w:tr>
      <w:tr>
        <w:tblPrEx>
          <w:tblCellMar>
            <w:top w:w="0" w:type="dxa"/>
            <w:left w:w="0" w:type="dxa"/>
            <w:bottom w:w="0" w:type="dxa"/>
            <w:right w:w="0" w:type="dxa"/>
          </w:tblCellMar>
        </w:tblPrEx>
        <w:trPr>
          <w:trHeight w:val="380" w:hRule="atLeast"/>
          <w:jc w:val="center"/>
        </w:trPr>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heme="minorEastAsia" w:hAnsiTheme="minorEastAsia" w:eastAsiaTheme="minorEastAsia" w:cstheme="minorEastAsia"/>
                <w:sz w:val="18"/>
                <w:szCs w:val="18"/>
              </w:rPr>
            </w:pP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年初预算数</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全年（调整）预算数</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全年执行数</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执行率</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执行率权重</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执行率得分</w:t>
            </w:r>
          </w:p>
        </w:tc>
      </w:tr>
      <w:tr>
        <w:tblPrEx>
          <w:tblCellMar>
            <w:top w:w="0" w:type="dxa"/>
            <w:left w:w="0" w:type="dxa"/>
            <w:bottom w:w="0" w:type="dxa"/>
            <w:right w:w="0" w:type="dxa"/>
          </w:tblCellMar>
        </w:tblPrEx>
        <w:trPr>
          <w:trHeight w:val="197" w:hRule="atLeast"/>
          <w:jc w:val="center"/>
        </w:trPr>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年度总金额</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2,090,000.00</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1,092,901.82</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1,092,001.82</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heme="minorEastAsia" w:hAnsiTheme="minorEastAsia" w:eastAsiaTheme="minorEastAsia" w:cstheme="minorEastAsia"/>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heme="minorEastAsia" w:hAnsiTheme="minorEastAsia" w:eastAsiaTheme="minorEastAsia" w:cstheme="minorEastAsia"/>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220" w:hRule="atLeast"/>
          <w:jc w:val="center"/>
        </w:trPr>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其中：财政拨款</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2,090,000.00</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1,092,901.82</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sz w:val="18"/>
                <w:szCs w:val="18"/>
                <w:lang w:bidi="ar"/>
              </w:rPr>
            </w:pPr>
            <w:r>
              <w:rPr>
                <w:rFonts w:asciiTheme="minorEastAsia" w:hAnsiTheme="minorEastAsia" w:eastAsiaTheme="minorEastAsia" w:cstheme="minorEastAsia"/>
                <w:sz w:val="18"/>
                <w:szCs w:val="18"/>
                <w:lang w:bidi="ar"/>
              </w:rPr>
              <w:t>1,092,001.82</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99.92</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9.99</w:t>
            </w:r>
          </w:p>
        </w:tc>
      </w:tr>
      <w:tr>
        <w:tblPrEx>
          <w:tblCellMar>
            <w:top w:w="0" w:type="dxa"/>
            <w:left w:w="0" w:type="dxa"/>
            <w:bottom w:w="0" w:type="dxa"/>
            <w:right w:w="0" w:type="dxa"/>
          </w:tblCellMar>
        </w:tblPrEx>
        <w:trPr>
          <w:trHeight w:val="92" w:hRule="atLeast"/>
          <w:jc w:val="center"/>
        </w:trPr>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一般公共预算</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2,090,000.00</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1,092,901.82</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1,092,001.82</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99.92</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heme="minorEastAsia" w:hAnsiTheme="minorEastAsia" w:eastAsiaTheme="minorEastAsia" w:cstheme="minorEastAsia"/>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235" w:hRule="atLeast"/>
          <w:jc w:val="center"/>
        </w:trPr>
        <w:tc>
          <w:tcPr>
            <w:tcW w:w="9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绩效目标</w:t>
            </w:r>
          </w:p>
        </w:tc>
      </w:tr>
      <w:tr>
        <w:tblPrEx>
          <w:tblCellMar>
            <w:top w:w="0" w:type="dxa"/>
            <w:left w:w="0" w:type="dxa"/>
            <w:bottom w:w="0" w:type="dxa"/>
            <w:right w:w="0" w:type="dxa"/>
          </w:tblCellMar>
        </w:tblPrEx>
        <w:trPr>
          <w:trHeight w:val="310" w:hRule="atLeast"/>
          <w:jc w:val="center"/>
        </w:trPr>
        <w:tc>
          <w:tcPr>
            <w:tcW w:w="31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年初绩效目标</w:t>
            </w:r>
          </w:p>
        </w:tc>
        <w:tc>
          <w:tcPr>
            <w:tcW w:w="349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全年（调整）绩效目标</w:t>
            </w:r>
          </w:p>
        </w:tc>
        <w:tc>
          <w:tcPr>
            <w:tcW w:w="28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全年目标实际完成情况</w:t>
            </w:r>
          </w:p>
        </w:tc>
      </w:tr>
      <w:tr>
        <w:tblPrEx>
          <w:tblCellMar>
            <w:top w:w="0" w:type="dxa"/>
            <w:left w:w="0" w:type="dxa"/>
            <w:bottom w:w="0" w:type="dxa"/>
            <w:right w:w="0" w:type="dxa"/>
          </w:tblCellMar>
        </w:tblPrEx>
        <w:trPr>
          <w:trHeight w:val="1133" w:hRule="atLeast"/>
          <w:jc w:val="center"/>
        </w:trPr>
        <w:tc>
          <w:tcPr>
            <w:tcW w:w="31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top"/>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掌握全县经济运行情况，掌握自第四次全国经济普查以来我县经济发展变化情况。完成第五次全国经济普查各项工作。</w:t>
            </w:r>
          </w:p>
        </w:tc>
        <w:tc>
          <w:tcPr>
            <w:tcW w:w="349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both"/>
              <w:textAlignment w:val="top"/>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掌握全县经济运行情况，掌握自第四次全国经济普查以来我县经济发展变化情况。完成第五次全国经济普查各项工作。</w:t>
            </w:r>
          </w:p>
        </w:tc>
        <w:tc>
          <w:tcPr>
            <w:tcW w:w="28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both"/>
              <w:textAlignment w:val="top"/>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掌握全县经济运行情况，掌握自第四次全国经济普查以来我县经济发展变化情况。完成第五次全国经济普查各项工作。</w:t>
            </w:r>
          </w:p>
        </w:tc>
      </w:tr>
      <w:tr>
        <w:tblPrEx>
          <w:tblCellMar>
            <w:top w:w="0" w:type="dxa"/>
            <w:left w:w="0" w:type="dxa"/>
            <w:bottom w:w="0" w:type="dxa"/>
            <w:right w:w="0" w:type="dxa"/>
          </w:tblCellMar>
        </w:tblPrEx>
        <w:trPr>
          <w:trHeight w:val="182" w:hRule="atLeast"/>
          <w:jc w:val="center"/>
        </w:trPr>
        <w:tc>
          <w:tcPr>
            <w:tcW w:w="9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绩效指标</w:t>
            </w:r>
          </w:p>
        </w:tc>
      </w:tr>
      <w:tr>
        <w:tblPrEx>
          <w:tblCellMar>
            <w:top w:w="0" w:type="dxa"/>
            <w:left w:w="0" w:type="dxa"/>
            <w:bottom w:w="0" w:type="dxa"/>
            <w:right w:w="0" w:type="dxa"/>
          </w:tblCellMar>
        </w:tblPrEx>
        <w:trPr>
          <w:trHeight w:val="53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指标名称</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计量单位</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指标性质</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指标值</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全年完成值</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偏离度（%）</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得分系数（%）</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指标权重</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指标得分</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是否核心指标</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asciiTheme="minorEastAsia" w:hAnsiTheme="minorEastAsia" w:eastAsiaTheme="minorEastAsia" w:cstheme="minorEastAsia"/>
                <w:b/>
                <w:sz w:val="18"/>
                <w:szCs w:val="18"/>
              </w:rPr>
            </w:pPr>
            <w:r>
              <w:rPr>
                <w:rFonts w:asciiTheme="minorEastAsia" w:hAnsiTheme="minorEastAsia" w:eastAsiaTheme="minorEastAsia" w:cstheme="minorEastAsia"/>
                <w:b/>
                <w:sz w:val="18"/>
                <w:szCs w:val="18"/>
                <w:lang w:bidi="ar"/>
              </w:rPr>
              <w:t>说明</w:t>
            </w:r>
          </w:p>
        </w:tc>
      </w:tr>
      <w:tr>
        <w:tblPrEx>
          <w:tblCellMar>
            <w:top w:w="0" w:type="dxa"/>
            <w:left w:w="0" w:type="dxa"/>
            <w:bottom w:w="0" w:type="dxa"/>
            <w:right w:w="0" w:type="dxa"/>
          </w:tblCellMar>
        </w:tblPrEx>
        <w:trPr>
          <w:trHeight w:val="527"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普查登记审核验收率</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是</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103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普查工作培训次数</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次</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6</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200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否</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业务复杂，培训次数较年初设定值增加</w:t>
            </w:r>
          </w:p>
        </w:tc>
      </w:tr>
      <w:tr>
        <w:tblPrEx>
          <w:tblCellMar>
            <w:top w:w="0" w:type="dxa"/>
            <w:left w:w="0" w:type="dxa"/>
            <w:bottom w:w="0" w:type="dxa"/>
            <w:right w:w="0" w:type="dxa"/>
          </w:tblCellMar>
        </w:tblPrEx>
        <w:trPr>
          <w:trHeight w:val="53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统计宣传覆盖率</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95</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95</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否</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458"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普查数据质量达标率</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是</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53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普查登记及时率</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否</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783"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国家核定一级指标通过率</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95</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95</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30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30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是</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1804"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反映统计调查对象、企业等有关服务对象对统计工作的满意度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90</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90</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100</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asciiTheme="minorEastAsia" w:hAnsiTheme="minorEastAsia" w:eastAsiaTheme="minorEastAsia" w:cstheme="minorEastAsia"/>
                <w:sz w:val="18"/>
                <w:szCs w:val="18"/>
              </w:rPr>
            </w:pPr>
            <w:r>
              <w:rPr>
                <w:rFonts w:asciiTheme="minorEastAsia" w:hAnsiTheme="minorEastAsia" w:eastAsiaTheme="minorEastAsia" w:cstheme="minorEastAsia"/>
                <w:sz w:val="18"/>
                <w:szCs w:val="18"/>
                <w:lang w:bidi="ar"/>
              </w:rPr>
              <w:t>否</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heme="minorEastAsia" w:hAnsiTheme="minorEastAsia" w:eastAsiaTheme="minorEastAsia" w:cstheme="minorEastAsia"/>
                <w:sz w:val="18"/>
                <w:szCs w:val="18"/>
              </w:rPr>
            </w:pPr>
          </w:p>
        </w:tc>
      </w:tr>
    </w:tbl>
    <w:tbl>
      <w:tblPr>
        <w:tblStyle w:val="7"/>
        <w:tblpPr w:leftFromText="180" w:rightFromText="180" w:vertAnchor="text" w:horzAnchor="page" w:tblpXSpec="center" w:tblpY="817"/>
        <w:tblOverlap w:val="never"/>
        <w:tblW w:w="9570" w:type="dxa"/>
        <w:jc w:val="center"/>
        <w:tblLayout w:type="fixed"/>
        <w:tblCellMar>
          <w:top w:w="0" w:type="dxa"/>
          <w:left w:w="0" w:type="dxa"/>
          <w:bottom w:w="0" w:type="dxa"/>
          <w:right w:w="0" w:type="dxa"/>
        </w:tblCellMar>
      </w:tblPr>
      <w:tblGrid>
        <w:gridCol w:w="886"/>
        <w:gridCol w:w="500"/>
        <w:gridCol w:w="621"/>
        <w:gridCol w:w="613"/>
        <w:gridCol w:w="904"/>
        <w:gridCol w:w="1013"/>
        <w:gridCol w:w="1224"/>
        <w:gridCol w:w="550"/>
        <w:gridCol w:w="1109"/>
        <w:gridCol w:w="1169"/>
        <w:gridCol w:w="974"/>
        <w:gridCol w:w="7"/>
      </w:tblGrid>
      <w:tr>
        <w:tblPrEx>
          <w:tblCellMar>
            <w:top w:w="0" w:type="dxa"/>
            <w:left w:w="0" w:type="dxa"/>
            <w:bottom w:w="0" w:type="dxa"/>
            <w:right w:w="0" w:type="dxa"/>
          </w:tblCellMar>
        </w:tblPrEx>
        <w:trPr>
          <w:trHeight w:val="379" w:hRule="atLeast"/>
          <w:jc w:val="center"/>
        </w:trPr>
        <w:tc>
          <w:tcPr>
            <w:tcW w:w="957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微软雅黑" w:hAnsi="微软雅黑" w:eastAsia="微软雅黑" w:cs="微软雅黑"/>
                <w:b/>
                <w:sz w:val="40"/>
                <w:szCs w:val="40"/>
              </w:rPr>
            </w:pPr>
            <w:r>
              <w:rPr>
                <w:rFonts w:cs="宋体"/>
                <w:b/>
                <w:sz w:val="32"/>
                <w:szCs w:val="32"/>
                <w:lang w:bidi="ar"/>
              </w:rPr>
              <w:t>2024年度二级项目绩效自评表</w:t>
            </w:r>
          </w:p>
        </w:tc>
      </w:tr>
      <w:tr>
        <w:tblPrEx>
          <w:tblCellMar>
            <w:top w:w="0" w:type="dxa"/>
            <w:left w:w="0" w:type="dxa"/>
            <w:bottom w:w="0" w:type="dxa"/>
            <w:right w:w="0" w:type="dxa"/>
          </w:tblCellMar>
        </w:tblPrEx>
        <w:trPr>
          <w:trHeight w:val="507" w:hRule="atLeast"/>
          <w:jc w:val="center"/>
        </w:trPr>
        <w:tc>
          <w:tcPr>
            <w:tcW w:w="957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1" w:firstLineChars="100"/>
              <w:jc w:val="right"/>
              <w:textAlignment w:val="center"/>
              <w:rPr>
                <w:rFonts w:hint="default" w:cs="宋体"/>
                <w:b/>
                <w:sz w:val="22"/>
                <w:szCs w:val="22"/>
              </w:rPr>
            </w:pPr>
            <w:r>
              <w:rPr>
                <w:rFonts w:cs="宋体"/>
                <w:b/>
                <w:sz w:val="22"/>
                <w:szCs w:val="22"/>
                <w:lang w:bidi="ar"/>
              </w:rPr>
              <w:t>状态：绩效审核已审</w:t>
            </w:r>
          </w:p>
        </w:tc>
      </w:tr>
      <w:tr>
        <w:tblPrEx>
          <w:tblCellMar>
            <w:top w:w="0" w:type="dxa"/>
            <w:left w:w="0" w:type="dxa"/>
            <w:bottom w:w="0" w:type="dxa"/>
            <w:right w:w="0" w:type="dxa"/>
          </w:tblCellMar>
        </w:tblPrEx>
        <w:trPr>
          <w:gridAfter w:val="1"/>
          <w:wAfter w:w="5" w:type="dxa"/>
          <w:trHeight w:val="517"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b/>
                <w:sz w:val="18"/>
                <w:szCs w:val="18"/>
              </w:rPr>
            </w:pPr>
            <w:r>
              <w:rPr>
                <w:rFonts w:cs="宋体"/>
                <w:b/>
                <w:sz w:val="18"/>
                <w:szCs w:val="18"/>
                <w:lang w:bidi="ar"/>
              </w:rPr>
              <w:t>项目名称：</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180" w:firstLineChars="100"/>
              <w:textAlignment w:val="center"/>
              <w:rPr>
                <w:rFonts w:hint="default" w:cs="宋体"/>
                <w:sz w:val="18"/>
                <w:szCs w:val="18"/>
              </w:rPr>
            </w:pPr>
            <w:r>
              <w:rPr>
                <w:rFonts w:cs="宋体"/>
                <w:sz w:val="18"/>
                <w:szCs w:val="18"/>
                <w:lang w:bidi="ar"/>
              </w:rPr>
              <w:t>抽样调查网络经费</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b/>
                <w:sz w:val="18"/>
                <w:szCs w:val="18"/>
              </w:rPr>
            </w:pPr>
            <w:r>
              <w:rPr>
                <w:rFonts w:cs="宋体"/>
                <w:b/>
                <w:sz w:val="18"/>
                <w:szCs w:val="18"/>
                <w:lang w:bidi="ar"/>
              </w:rPr>
              <w:t>项目编码：</w:t>
            </w: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180" w:firstLineChars="100"/>
              <w:textAlignment w:val="center"/>
              <w:rPr>
                <w:rFonts w:hint="default" w:cs="宋体"/>
                <w:sz w:val="18"/>
                <w:szCs w:val="18"/>
              </w:rPr>
            </w:pPr>
            <w:r>
              <w:rPr>
                <w:rFonts w:cs="宋体"/>
                <w:sz w:val="18"/>
                <w:szCs w:val="18"/>
                <w:lang w:bidi="ar"/>
              </w:rPr>
              <w:t>50023123T000003496587</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b/>
                <w:sz w:val="18"/>
                <w:szCs w:val="18"/>
              </w:rPr>
            </w:pPr>
            <w:r>
              <w:rPr>
                <w:rFonts w:cs="宋体"/>
                <w:b/>
                <w:sz w:val="18"/>
                <w:szCs w:val="18"/>
                <w:lang w:bidi="ar"/>
              </w:rPr>
              <w:t>自评总分：</w:t>
            </w:r>
          </w:p>
        </w:tc>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180" w:firstLineChars="100"/>
              <w:textAlignment w:val="center"/>
              <w:rPr>
                <w:rFonts w:hint="default" w:cs="宋体"/>
                <w:sz w:val="18"/>
                <w:szCs w:val="18"/>
              </w:rPr>
            </w:pPr>
            <w:r>
              <w:rPr>
                <w:rFonts w:cs="宋体"/>
                <w:sz w:val="18"/>
                <w:szCs w:val="18"/>
                <w:lang w:bidi="ar"/>
              </w:rPr>
              <w:t>100.00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b/>
                <w:sz w:val="18"/>
                <w:szCs w:val="18"/>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sz w:val="18"/>
                <w:szCs w:val="18"/>
              </w:rPr>
            </w:pPr>
          </w:p>
        </w:tc>
      </w:tr>
      <w:tr>
        <w:tblPrEx>
          <w:tblCellMar>
            <w:top w:w="0" w:type="dxa"/>
            <w:left w:w="0" w:type="dxa"/>
            <w:bottom w:w="0" w:type="dxa"/>
            <w:right w:w="0" w:type="dxa"/>
          </w:tblCellMar>
        </w:tblPrEx>
        <w:trPr>
          <w:gridAfter w:val="1"/>
          <w:wAfter w:w="5" w:type="dxa"/>
          <w:trHeight w:val="492"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b/>
                <w:sz w:val="18"/>
                <w:szCs w:val="18"/>
              </w:rPr>
            </w:pPr>
            <w:r>
              <w:rPr>
                <w:rFonts w:cs="宋体"/>
                <w:b/>
                <w:sz w:val="18"/>
                <w:szCs w:val="18"/>
                <w:lang w:bidi="ar"/>
              </w:rPr>
              <w:t>项目主管部门：</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180" w:firstLineChars="100"/>
              <w:textAlignment w:val="center"/>
              <w:rPr>
                <w:rFonts w:hint="default" w:cs="宋体"/>
                <w:sz w:val="18"/>
                <w:szCs w:val="18"/>
              </w:rPr>
            </w:pPr>
            <w:r>
              <w:rPr>
                <w:rFonts w:cs="宋体"/>
                <w:sz w:val="18"/>
                <w:szCs w:val="18"/>
                <w:lang w:bidi="ar"/>
              </w:rPr>
              <w:t>123-垫江县统计局</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b/>
                <w:sz w:val="18"/>
                <w:szCs w:val="18"/>
              </w:rPr>
            </w:pPr>
            <w:r>
              <w:rPr>
                <w:rFonts w:cs="宋体"/>
                <w:b/>
                <w:sz w:val="18"/>
                <w:szCs w:val="18"/>
                <w:lang w:bidi="ar"/>
              </w:rPr>
              <w:t>财政归口处室：</w:t>
            </w: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180" w:firstLineChars="100"/>
              <w:textAlignment w:val="center"/>
              <w:rPr>
                <w:rFonts w:hint="default" w:cs="宋体"/>
                <w:sz w:val="18"/>
                <w:szCs w:val="18"/>
              </w:rPr>
            </w:pPr>
            <w:r>
              <w:rPr>
                <w:rFonts w:cs="宋体"/>
                <w:sz w:val="18"/>
                <w:szCs w:val="18"/>
                <w:lang w:bidi="ar"/>
              </w:rPr>
              <w:t>004-行财科</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b/>
                <w:sz w:val="18"/>
                <w:szCs w:val="18"/>
              </w:rPr>
            </w:pPr>
            <w:r>
              <w:rPr>
                <w:rFonts w:cs="宋体"/>
                <w:b/>
                <w:sz w:val="18"/>
                <w:szCs w:val="18"/>
                <w:lang w:bidi="ar"/>
              </w:rPr>
              <w:t>部门联系人：</w:t>
            </w:r>
          </w:p>
        </w:tc>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180" w:firstLineChars="100"/>
              <w:textAlignment w:val="center"/>
              <w:rPr>
                <w:rFonts w:hint="default" w:cs="宋体"/>
                <w:sz w:val="18"/>
                <w:szCs w:val="18"/>
              </w:rPr>
            </w:pPr>
            <w:r>
              <w:rPr>
                <w:rFonts w:cs="宋体"/>
                <w:sz w:val="18"/>
                <w:szCs w:val="18"/>
                <w:lang w:bidi="ar"/>
              </w:rPr>
              <w:t>赵丹丹</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b/>
                <w:sz w:val="18"/>
                <w:szCs w:val="18"/>
              </w:rPr>
            </w:pPr>
            <w:r>
              <w:rPr>
                <w:rFonts w:cs="宋体"/>
                <w:b/>
                <w:sz w:val="18"/>
                <w:szCs w:val="18"/>
                <w:lang w:bidi="ar"/>
              </w:rPr>
              <w:t>联系电话：</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18"/>
                <w:szCs w:val="18"/>
              </w:rPr>
            </w:pPr>
            <w:r>
              <w:rPr>
                <w:rFonts w:cs="宋体"/>
                <w:sz w:val="18"/>
                <w:szCs w:val="18"/>
                <w:lang w:bidi="ar"/>
              </w:rPr>
              <w:t>74512573</w:t>
            </w:r>
          </w:p>
        </w:tc>
      </w:tr>
      <w:tr>
        <w:tblPrEx>
          <w:tblCellMar>
            <w:top w:w="0" w:type="dxa"/>
            <w:left w:w="0" w:type="dxa"/>
            <w:bottom w:w="0" w:type="dxa"/>
            <w:right w:w="0" w:type="dxa"/>
          </w:tblCellMar>
        </w:tblPrEx>
        <w:trPr>
          <w:trHeight w:val="340" w:hRule="atLeast"/>
          <w:jc w:val="center"/>
        </w:trPr>
        <w:tc>
          <w:tcPr>
            <w:tcW w:w="957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18"/>
                <w:szCs w:val="18"/>
              </w:rPr>
            </w:pPr>
            <w:r>
              <w:rPr>
                <w:rFonts w:cs="宋体"/>
                <w:b/>
                <w:sz w:val="18"/>
                <w:szCs w:val="18"/>
                <w:lang w:bidi="ar"/>
              </w:rPr>
              <w:t>资金情况</w:t>
            </w:r>
          </w:p>
        </w:tc>
      </w:tr>
      <w:tr>
        <w:tblPrEx>
          <w:tblCellMar>
            <w:top w:w="0" w:type="dxa"/>
            <w:left w:w="0" w:type="dxa"/>
            <w:bottom w:w="0" w:type="dxa"/>
            <w:right w:w="0" w:type="dxa"/>
          </w:tblCellMar>
        </w:tblPrEx>
        <w:trPr>
          <w:gridAfter w:val="1"/>
          <w:wAfter w:w="4" w:type="dxa"/>
          <w:trHeight w:val="507" w:hRule="atLeast"/>
          <w:jc w:val="center"/>
        </w:trPr>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sz w:val="18"/>
                <w:szCs w:val="18"/>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18"/>
                <w:szCs w:val="18"/>
              </w:rPr>
            </w:pPr>
            <w:r>
              <w:rPr>
                <w:rFonts w:cs="宋体"/>
                <w:b/>
                <w:sz w:val="18"/>
                <w:szCs w:val="18"/>
                <w:lang w:bidi="ar"/>
              </w:rPr>
              <w:t>年初预算数</w:t>
            </w: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18"/>
                <w:szCs w:val="18"/>
              </w:rPr>
            </w:pPr>
            <w:r>
              <w:rPr>
                <w:rFonts w:cs="宋体"/>
                <w:b/>
                <w:sz w:val="18"/>
                <w:szCs w:val="18"/>
                <w:lang w:bidi="ar"/>
              </w:rPr>
              <w:t>全年（调整）预算数</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18"/>
                <w:szCs w:val="18"/>
              </w:rPr>
            </w:pPr>
            <w:r>
              <w:rPr>
                <w:rFonts w:cs="宋体"/>
                <w:b/>
                <w:sz w:val="18"/>
                <w:szCs w:val="18"/>
                <w:lang w:bidi="ar"/>
              </w:rPr>
              <w:t>全年执行数</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18"/>
                <w:szCs w:val="18"/>
              </w:rPr>
            </w:pPr>
            <w:r>
              <w:rPr>
                <w:rFonts w:cs="宋体"/>
                <w:b/>
                <w:sz w:val="18"/>
                <w:szCs w:val="18"/>
                <w:lang w:bidi="ar"/>
              </w:rPr>
              <w:t>执行率</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b/>
                <w:sz w:val="18"/>
                <w:szCs w:val="18"/>
              </w:rPr>
            </w:pPr>
            <w:r>
              <w:rPr>
                <w:rFonts w:cs="宋体"/>
                <w:b/>
                <w:sz w:val="18"/>
                <w:szCs w:val="18"/>
                <w:lang w:bidi="ar"/>
              </w:rPr>
              <w:t>执行率权重</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18"/>
                <w:szCs w:val="18"/>
              </w:rPr>
            </w:pPr>
            <w:r>
              <w:rPr>
                <w:rFonts w:cs="宋体"/>
                <w:b/>
                <w:sz w:val="18"/>
                <w:szCs w:val="18"/>
                <w:lang w:bidi="ar"/>
              </w:rPr>
              <w:t>执行率得分</w:t>
            </w:r>
          </w:p>
        </w:tc>
      </w:tr>
      <w:tr>
        <w:tblPrEx>
          <w:tblCellMar>
            <w:top w:w="0" w:type="dxa"/>
            <w:left w:w="0" w:type="dxa"/>
            <w:bottom w:w="0" w:type="dxa"/>
            <w:right w:w="0" w:type="dxa"/>
          </w:tblCellMar>
        </w:tblPrEx>
        <w:trPr>
          <w:gridAfter w:val="1"/>
          <w:wAfter w:w="4" w:type="dxa"/>
          <w:trHeight w:val="355" w:hRule="atLeast"/>
          <w:jc w:val="center"/>
        </w:trPr>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18"/>
                <w:szCs w:val="18"/>
              </w:rPr>
            </w:pPr>
            <w:r>
              <w:rPr>
                <w:rFonts w:cs="宋体"/>
                <w:sz w:val="18"/>
                <w:szCs w:val="18"/>
                <w:lang w:bidi="ar"/>
              </w:rPr>
              <w:t>年度总金额</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18"/>
                <w:szCs w:val="18"/>
              </w:rPr>
            </w:pPr>
            <w:r>
              <w:rPr>
                <w:rFonts w:cs="宋体"/>
                <w:sz w:val="18"/>
                <w:szCs w:val="18"/>
                <w:lang w:bidi="ar"/>
              </w:rPr>
              <w:t>277,200.00</w:t>
            </w: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18"/>
                <w:szCs w:val="18"/>
              </w:rPr>
            </w:pPr>
            <w:r>
              <w:rPr>
                <w:rFonts w:cs="宋体"/>
                <w:sz w:val="18"/>
                <w:szCs w:val="18"/>
                <w:lang w:bidi="ar"/>
              </w:rPr>
              <w:t>277,109.91</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18"/>
                <w:szCs w:val="18"/>
              </w:rPr>
            </w:pPr>
            <w:r>
              <w:rPr>
                <w:rFonts w:cs="宋体"/>
                <w:sz w:val="18"/>
                <w:szCs w:val="18"/>
                <w:lang w:bidi="ar"/>
              </w:rPr>
              <w:t>277,109.91</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sz w:val="18"/>
                <w:szCs w:val="18"/>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sz w:val="18"/>
                <w:szCs w:val="18"/>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sz w:val="18"/>
                <w:szCs w:val="18"/>
              </w:rPr>
            </w:pPr>
          </w:p>
        </w:tc>
      </w:tr>
      <w:tr>
        <w:tblPrEx>
          <w:tblCellMar>
            <w:top w:w="0" w:type="dxa"/>
            <w:left w:w="0" w:type="dxa"/>
            <w:bottom w:w="0" w:type="dxa"/>
            <w:right w:w="0" w:type="dxa"/>
          </w:tblCellMar>
        </w:tblPrEx>
        <w:trPr>
          <w:gridAfter w:val="1"/>
          <w:wAfter w:w="4" w:type="dxa"/>
          <w:trHeight w:val="360" w:hRule="atLeast"/>
          <w:jc w:val="center"/>
        </w:trPr>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18"/>
                <w:szCs w:val="18"/>
              </w:rPr>
            </w:pPr>
            <w:r>
              <w:rPr>
                <w:rFonts w:cs="宋体"/>
                <w:sz w:val="18"/>
                <w:szCs w:val="18"/>
                <w:lang w:bidi="ar"/>
              </w:rPr>
              <w:t>其中：财政拨款</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18"/>
                <w:szCs w:val="18"/>
              </w:rPr>
            </w:pPr>
            <w:r>
              <w:rPr>
                <w:rFonts w:cs="宋体"/>
                <w:sz w:val="18"/>
                <w:szCs w:val="18"/>
                <w:lang w:bidi="ar"/>
              </w:rPr>
              <w:t>277,200.00</w:t>
            </w: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18"/>
                <w:szCs w:val="18"/>
              </w:rPr>
            </w:pPr>
            <w:r>
              <w:rPr>
                <w:rFonts w:cs="宋体"/>
                <w:sz w:val="18"/>
                <w:szCs w:val="18"/>
                <w:lang w:bidi="ar"/>
              </w:rPr>
              <w:t>277,109.91</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18"/>
                <w:szCs w:val="18"/>
              </w:rPr>
            </w:pPr>
            <w:r>
              <w:rPr>
                <w:rFonts w:cs="宋体"/>
                <w:sz w:val="18"/>
                <w:szCs w:val="18"/>
                <w:lang w:bidi="ar"/>
              </w:rPr>
              <w:t>277,109.91</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18"/>
                <w:szCs w:val="18"/>
              </w:rPr>
            </w:pPr>
            <w:r>
              <w:rPr>
                <w:rFonts w:cs="宋体"/>
                <w:sz w:val="18"/>
                <w:szCs w:val="18"/>
                <w:lang w:bidi="ar"/>
              </w:rPr>
              <w:t>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18"/>
                <w:szCs w:val="18"/>
              </w:rPr>
            </w:pPr>
            <w:r>
              <w:rPr>
                <w:rFonts w:cs="宋体"/>
                <w:sz w:val="18"/>
                <w:szCs w:val="18"/>
                <w:lang w:bidi="ar"/>
              </w:rPr>
              <w:t>10.00</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180" w:firstLineChars="100"/>
              <w:jc w:val="center"/>
              <w:textAlignment w:val="center"/>
              <w:rPr>
                <w:rFonts w:hint="default" w:cs="宋体"/>
                <w:sz w:val="18"/>
                <w:szCs w:val="18"/>
              </w:rPr>
            </w:pPr>
            <w:r>
              <w:rPr>
                <w:rFonts w:cs="宋体"/>
                <w:sz w:val="18"/>
                <w:szCs w:val="18"/>
                <w:lang w:bidi="ar"/>
              </w:rPr>
              <w:t>10.00</w:t>
            </w:r>
          </w:p>
        </w:tc>
      </w:tr>
      <w:tr>
        <w:tblPrEx>
          <w:tblCellMar>
            <w:top w:w="0" w:type="dxa"/>
            <w:left w:w="0" w:type="dxa"/>
            <w:bottom w:w="0" w:type="dxa"/>
            <w:right w:w="0" w:type="dxa"/>
          </w:tblCellMar>
        </w:tblPrEx>
        <w:trPr>
          <w:gridAfter w:val="1"/>
          <w:wAfter w:w="4" w:type="dxa"/>
          <w:trHeight w:val="345" w:hRule="atLeast"/>
          <w:jc w:val="center"/>
        </w:trPr>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18"/>
                <w:szCs w:val="18"/>
              </w:rPr>
            </w:pPr>
            <w:r>
              <w:rPr>
                <w:rFonts w:cs="宋体"/>
                <w:sz w:val="18"/>
                <w:szCs w:val="18"/>
                <w:lang w:bidi="ar"/>
              </w:rPr>
              <w:t>一般公共预算</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18"/>
                <w:szCs w:val="18"/>
              </w:rPr>
            </w:pPr>
            <w:r>
              <w:rPr>
                <w:rFonts w:cs="宋体"/>
                <w:sz w:val="18"/>
                <w:szCs w:val="18"/>
                <w:lang w:bidi="ar"/>
              </w:rPr>
              <w:t>277,200.00</w:t>
            </w: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18"/>
                <w:szCs w:val="18"/>
              </w:rPr>
            </w:pPr>
            <w:r>
              <w:rPr>
                <w:rFonts w:cs="宋体"/>
                <w:sz w:val="18"/>
                <w:szCs w:val="18"/>
                <w:lang w:bidi="ar"/>
              </w:rPr>
              <w:t>277,109.91</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18"/>
                <w:szCs w:val="18"/>
              </w:rPr>
            </w:pPr>
            <w:r>
              <w:rPr>
                <w:rFonts w:cs="宋体"/>
                <w:sz w:val="18"/>
                <w:szCs w:val="18"/>
                <w:lang w:bidi="ar"/>
              </w:rPr>
              <w:t>277,109.91</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18"/>
                <w:szCs w:val="18"/>
              </w:rPr>
            </w:pPr>
            <w:r>
              <w:rPr>
                <w:rFonts w:cs="宋体"/>
                <w:sz w:val="18"/>
                <w:szCs w:val="18"/>
                <w:lang w:bidi="ar"/>
              </w:rPr>
              <w:t>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sz w:val="18"/>
                <w:szCs w:val="18"/>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sz w:val="18"/>
                <w:szCs w:val="18"/>
              </w:rPr>
            </w:pPr>
          </w:p>
        </w:tc>
      </w:tr>
      <w:tr>
        <w:tblPrEx>
          <w:tblCellMar>
            <w:top w:w="0" w:type="dxa"/>
            <w:left w:w="0" w:type="dxa"/>
            <w:bottom w:w="0" w:type="dxa"/>
            <w:right w:w="0" w:type="dxa"/>
          </w:tblCellMar>
        </w:tblPrEx>
        <w:trPr>
          <w:trHeight w:val="370" w:hRule="atLeast"/>
          <w:jc w:val="center"/>
        </w:trPr>
        <w:tc>
          <w:tcPr>
            <w:tcW w:w="957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18"/>
                <w:szCs w:val="18"/>
              </w:rPr>
            </w:pPr>
            <w:r>
              <w:rPr>
                <w:rFonts w:cs="宋体"/>
                <w:b/>
                <w:sz w:val="18"/>
                <w:szCs w:val="18"/>
                <w:lang w:bidi="ar"/>
              </w:rPr>
              <w:t>绩效目标</w:t>
            </w:r>
          </w:p>
        </w:tc>
      </w:tr>
      <w:tr>
        <w:tblPrEx>
          <w:tblCellMar>
            <w:top w:w="0" w:type="dxa"/>
            <w:left w:w="0" w:type="dxa"/>
            <w:bottom w:w="0" w:type="dxa"/>
            <w:right w:w="0" w:type="dxa"/>
          </w:tblCellMar>
        </w:tblPrEx>
        <w:trPr>
          <w:trHeight w:val="390" w:hRule="atLeast"/>
          <w:jc w:val="center"/>
        </w:trPr>
        <w:tc>
          <w:tcPr>
            <w:tcW w:w="262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年初绩效目标</w:t>
            </w:r>
          </w:p>
        </w:tc>
        <w:tc>
          <w:tcPr>
            <w:tcW w:w="369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全年（调整）绩效目标</w:t>
            </w:r>
          </w:p>
        </w:tc>
        <w:tc>
          <w:tcPr>
            <w:tcW w:w="32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全年目标实际完成情况</w:t>
            </w:r>
          </w:p>
        </w:tc>
      </w:tr>
      <w:tr>
        <w:tblPrEx>
          <w:tblCellMar>
            <w:top w:w="0" w:type="dxa"/>
            <w:left w:w="0" w:type="dxa"/>
            <w:bottom w:w="0" w:type="dxa"/>
            <w:right w:w="0" w:type="dxa"/>
          </w:tblCellMar>
        </w:tblPrEx>
        <w:trPr>
          <w:trHeight w:val="858" w:hRule="atLeast"/>
          <w:jc w:val="center"/>
        </w:trPr>
        <w:tc>
          <w:tcPr>
            <w:tcW w:w="262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napToGrid w:val="0"/>
              <w:textAlignment w:val="top"/>
              <w:rPr>
                <w:rFonts w:hint="default" w:cs="宋体"/>
                <w:sz w:val="18"/>
                <w:szCs w:val="18"/>
              </w:rPr>
            </w:pPr>
            <w:r>
              <w:rPr>
                <w:rFonts w:cs="宋体"/>
                <w:sz w:val="18"/>
                <w:szCs w:val="18"/>
                <w:lang w:bidi="ar"/>
              </w:rPr>
              <w:t>用于规下工业、规下服务业、农产品产量、城镇居民收入、农村居民收入及农民工等12个方面的抽样工作</w:t>
            </w:r>
          </w:p>
        </w:tc>
        <w:tc>
          <w:tcPr>
            <w:tcW w:w="369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napToGrid w:val="0"/>
              <w:rPr>
                <w:rFonts w:hint="default" w:cs="宋体"/>
                <w:sz w:val="18"/>
                <w:szCs w:val="18"/>
              </w:rPr>
            </w:pPr>
          </w:p>
        </w:tc>
        <w:tc>
          <w:tcPr>
            <w:tcW w:w="32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napToGrid w:val="0"/>
              <w:textAlignment w:val="top"/>
              <w:rPr>
                <w:rFonts w:hint="default" w:cs="宋体"/>
                <w:sz w:val="18"/>
                <w:szCs w:val="18"/>
              </w:rPr>
            </w:pPr>
            <w:r>
              <w:rPr>
                <w:rFonts w:cs="宋体"/>
                <w:sz w:val="18"/>
                <w:szCs w:val="18"/>
                <w:lang w:bidi="ar"/>
              </w:rPr>
              <w:t>用于规下工业、规下服务业、农产品产量、城镇居民收入、农村居民收入及农民工等12个方面的抽样工作</w:t>
            </w:r>
          </w:p>
        </w:tc>
      </w:tr>
      <w:tr>
        <w:tblPrEx>
          <w:tblCellMar>
            <w:top w:w="0" w:type="dxa"/>
            <w:left w:w="0" w:type="dxa"/>
            <w:bottom w:w="0" w:type="dxa"/>
            <w:right w:w="0" w:type="dxa"/>
          </w:tblCellMar>
        </w:tblPrEx>
        <w:trPr>
          <w:trHeight w:val="309" w:hRule="atLeast"/>
          <w:jc w:val="center"/>
        </w:trPr>
        <w:tc>
          <w:tcPr>
            <w:tcW w:w="957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绩效指标</w:t>
            </w:r>
          </w:p>
        </w:tc>
      </w:tr>
      <w:tr>
        <w:tblPrEx>
          <w:tblCellMar>
            <w:top w:w="0" w:type="dxa"/>
            <w:left w:w="0" w:type="dxa"/>
            <w:bottom w:w="0" w:type="dxa"/>
            <w:right w:w="0" w:type="dxa"/>
          </w:tblCellMar>
        </w:tblPrEx>
        <w:trPr>
          <w:gridAfter w:val="1"/>
          <w:wAfter w:w="7" w:type="dxa"/>
          <w:trHeight w:val="577"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指标名称</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计量单位</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lang w:bidi="ar"/>
              </w:rPr>
            </w:pPr>
            <w:r>
              <w:rPr>
                <w:rFonts w:cs="宋体"/>
                <w:b/>
                <w:sz w:val="18"/>
                <w:szCs w:val="18"/>
                <w:lang w:bidi="ar"/>
              </w:rPr>
              <w:t xml:space="preserve">指标 </w:t>
            </w:r>
          </w:p>
          <w:p>
            <w:pPr>
              <w:snapToGrid w:val="0"/>
              <w:jc w:val="center"/>
              <w:textAlignment w:val="center"/>
              <w:rPr>
                <w:rFonts w:hint="default" w:cs="宋体"/>
                <w:b/>
                <w:sz w:val="18"/>
                <w:szCs w:val="18"/>
              </w:rPr>
            </w:pPr>
            <w:r>
              <w:rPr>
                <w:rFonts w:cs="宋体"/>
                <w:b/>
                <w:sz w:val="18"/>
                <w:szCs w:val="18"/>
                <w:lang w:bidi="ar"/>
              </w:rPr>
              <w:t>性质</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指标值</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全年完成值</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偏离度（%）</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得分系数（%）</w:t>
            </w:r>
          </w:p>
        </w:tc>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lang w:bidi="ar"/>
              </w:rPr>
            </w:pPr>
            <w:r>
              <w:rPr>
                <w:rFonts w:cs="宋体"/>
                <w:b/>
                <w:sz w:val="18"/>
                <w:szCs w:val="18"/>
                <w:lang w:bidi="ar"/>
              </w:rPr>
              <w:t xml:space="preserve">指标 </w:t>
            </w:r>
          </w:p>
          <w:p>
            <w:pPr>
              <w:snapToGrid w:val="0"/>
              <w:jc w:val="center"/>
              <w:textAlignment w:val="center"/>
              <w:rPr>
                <w:rFonts w:hint="default" w:cs="宋体"/>
                <w:b/>
                <w:sz w:val="18"/>
                <w:szCs w:val="18"/>
              </w:rPr>
            </w:pPr>
            <w:r>
              <w:rPr>
                <w:rFonts w:cs="宋体"/>
                <w:b/>
                <w:sz w:val="18"/>
                <w:szCs w:val="18"/>
                <w:lang w:bidi="ar"/>
              </w:rPr>
              <w:t>权重</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指标得分</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是否核心指标</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18"/>
                <w:szCs w:val="18"/>
              </w:rPr>
            </w:pPr>
            <w:r>
              <w:rPr>
                <w:rFonts w:cs="宋体"/>
                <w:b/>
                <w:sz w:val="18"/>
                <w:szCs w:val="18"/>
                <w:lang w:bidi="ar"/>
              </w:rPr>
              <w:t>说明</w:t>
            </w:r>
          </w:p>
        </w:tc>
      </w:tr>
      <w:tr>
        <w:tblPrEx>
          <w:tblCellMar>
            <w:top w:w="0" w:type="dxa"/>
            <w:left w:w="0" w:type="dxa"/>
            <w:bottom w:w="0" w:type="dxa"/>
            <w:right w:w="0" w:type="dxa"/>
          </w:tblCellMar>
        </w:tblPrEx>
        <w:trPr>
          <w:gridAfter w:val="1"/>
          <w:wAfter w:w="7" w:type="dxa"/>
          <w:trHeight w:val="436"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textAlignment w:val="center"/>
              <w:rPr>
                <w:rFonts w:hint="default" w:cs="宋体"/>
                <w:sz w:val="18"/>
                <w:szCs w:val="18"/>
              </w:rPr>
            </w:pPr>
            <w:r>
              <w:rPr>
                <w:rFonts w:cs="宋体"/>
                <w:sz w:val="18"/>
                <w:szCs w:val="18"/>
                <w:lang w:bidi="ar"/>
              </w:rPr>
              <w:t>常规调查完成度</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20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是</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sz w:val="18"/>
                <w:szCs w:val="18"/>
              </w:rPr>
            </w:pPr>
          </w:p>
        </w:tc>
      </w:tr>
      <w:tr>
        <w:tblPrEx>
          <w:tblCellMar>
            <w:top w:w="0" w:type="dxa"/>
            <w:left w:w="0" w:type="dxa"/>
            <w:bottom w:w="0" w:type="dxa"/>
            <w:right w:w="0" w:type="dxa"/>
          </w:tblCellMar>
        </w:tblPrEx>
        <w:trPr>
          <w:gridAfter w:val="1"/>
          <w:wAfter w:w="7" w:type="dxa"/>
          <w:trHeight w:val="563"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textAlignment w:val="center"/>
              <w:rPr>
                <w:rFonts w:hint="default" w:cs="宋体"/>
                <w:sz w:val="18"/>
                <w:szCs w:val="18"/>
              </w:rPr>
            </w:pPr>
            <w:r>
              <w:rPr>
                <w:rFonts w:cs="宋体"/>
                <w:sz w:val="18"/>
                <w:szCs w:val="18"/>
                <w:lang w:bidi="ar"/>
              </w:rPr>
              <w:t>数据分析研究数</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篇</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是</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sz w:val="18"/>
                <w:szCs w:val="18"/>
              </w:rPr>
            </w:pPr>
          </w:p>
        </w:tc>
      </w:tr>
      <w:tr>
        <w:tblPrEx>
          <w:tblCellMar>
            <w:top w:w="0" w:type="dxa"/>
            <w:left w:w="0" w:type="dxa"/>
            <w:bottom w:w="0" w:type="dxa"/>
            <w:right w:w="0" w:type="dxa"/>
          </w:tblCellMar>
        </w:tblPrEx>
        <w:trPr>
          <w:gridAfter w:val="1"/>
          <w:wAfter w:w="7" w:type="dxa"/>
          <w:trHeight w:val="507"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textAlignment w:val="center"/>
              <w:rPr>
                <w:rFonts w:hint="default" w:cs="宋体"/>
                <w:sz w:val="18"/>
                <w:szCs w:val="18"/>
              </w:rPr>
            </w:pPr>
            <w:r>
              <w:rPr>
                <w:rFonts w:cs="宋体"/>
                <w:sz w:val="18"/>
                <w:szCs w:val="18"/>
                <w:lang w:bidi="ar"/>
              </w:rPr>
              <w:t>主要统计指标数据质量合格率</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否</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sz w:val="18"/>
                <w:szCs w:val="18"/>
              </w:rPr>
            </w:pPr>
          </w:p>
        </w:tc>
      </w:tr>
      <w:tr>
        <w:tblPrEx>
          <w:tblCellMar>
            <w:top w:w="0" w:type="dxa"/>
            <w:left w:w="0" w:type="dxa"/>
            <w:bottom w:w="0" w:type="dxa"/>
            <w:right w:w="0" w:type="dxa"/>
          </w:tblCellMar>
        </w:tblPrEx>
        <w:trPr>
          <w:gridAfter w:val="1"/>
          <w:wAfter w:w="7" w:type="dxa"/>
          <w:trHeight w:val="543"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textAlignment w:val="center"/>
              <w:rPr>
                <w:rFonts w:hint="default" w:cs="宋体"/>
                <w:sz w:val="18"/>
                <w:szCs w:val="18"/>
              </w:rPr>
            </w:pPr>
            <w:r>
              <w:rPr>
                <w:rFonts w:cs="宋体"/>
                <w:sz w:val="18"/>
                <w:szCs w:val="18"/>
                <w:lang w:bidi="ar"/>
              </w:rPr>
              <w:t>常规调查完成及时率</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否</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sz w:val="18"/>
                <w:szCs w:val="18"/>
              </w:rPr>
            </w:pPr>
          </w:p>
        </w:tc>
      </w:tr>
      <w:tr>
        <w:tblPrEx>
          <w:tblCellMar>
            <w:top w:w="0" w:type="dxa"/>
            <w:left w:w="0" w:type="dxa"/>
            <w:bottom w:w="0" w:type="dxa"/>
            <w:right w:w="0" w:type="dxa"/>
          </w:tblCellMar>
        </w:tblPrEx>
        <w:trPr>
          <w:gridAfter w:val="1"/>
          <w:wAfter w:w="7" w:type="dxa"/>
          <w:trHeight w:val="401"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textAlignment w:val="center"/>
              <w:rPr>
                <w:rFonts w:hint="default" w:cs="宋体"/>
                <w:sz w:val="18"/>
                <w:szCs w:val="18"/>
              </w:rPr>
            </w:pPr>
            <w:r>
              <w:rPr>
                <w:rFonts w:cs="宋体"/>
                <w:sz w:val="18"/>
                <w:szCs w:val="18"/>
                <w:lang w:bidi="ar"/>
              </w:rPr>
              <w:t>使用财政资金</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万元</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27.72</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27.71</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0.04</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否</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sz w:val="18"/>
                <w:szCs w:val="18"/>
              </w:rPr>
            </w:pPr>
          </w:p>
        </w:tc>
      </w:tr>
      <w:tr>
        <w:tblPrEx>
          <w:tblCellMar>
            <w:top w:w="0" w:type="dxa"/>
            <w:left w:w="0" w:type="dxa"/>
            <w:bottom w:w="0" w:type="dxa"/>
            <w:right w:w="0" w:type="dxa"/>
          </w:tblCellMar>
        </w:tblPrEx>
        <w:trPr>
          <w:gridAfter w:val="1"/>
          <w:wAfter w:w="7" w:type="dxa"/>
          <w:trHeight w:val="370"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textAlignment w:val="center"/>
              <w:rPr>
                <w:rFonts w:hint="default" w:cs="宋体"/>
                <w:sz w:val="18"/>
                <w:szCs w:val="18"/>
              </w:rPr>
            </w:pPr>
            <w:r>
              <w:rPr>
                <w:rFonts w:cs="宋体"/>
                <w:sz w:val="18"/>
                <w:szCs w:val="18"/>
                <w:lang w:bidi="ar"/>
              </w:rPr>
              <w:t>提升统计数据质量</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95</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20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是</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sz w:val="18"/>
                <w:szCs w:val="18"/>
              </w:rPr>
            </w:pPr>
          </w:p>
        </w:tc>
      </w:tr>
      <w:tr>
        <w:tblPrEx>
          <w:tblCellMar>
            <w:top w:w="0" w:type="dxa"/>
            <w:left w:w="0" w:type="dxa"/>
            <w:bottom w:w="0" w:type="dxa"/>
            <w:right w:w="0" w:type="dxa"/>
          </w:tblCellMar>
        </w:tblPrEx>
        <w:trPr>
          <w:gridAfter w:val="1"/>
          <w:wAfter w:w="7" w:type="dxa"/>
          <w:trHeight w:val="1223"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textAlignment w:val="center"/>
              <w:rPr>
                <w:rFonts w:hint="default" w:cs="宋体"/>
                <w:sz w:val="18"/>
                <w:szCs w:val="18"/>
              </w:rPr>
            </w:pPr>
            <w:r>
              <w:rPr>
                <w:rFonts w:cs="宋体"/>
                <w:sz w:val="18"/>
                <w:szCs w:val="18"/>
                <w:lang w:bidi="ar"/>
              </w:rPr>
              <w:t>反映统计调查对象、企业等有关服务对象对统计工作的满意度</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95</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10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ind w:firstLine="180" w:firstLineChars="100"/>
              <w:jc w:val="center"/>
              <w:textAlignment w:val="center"/>
              <w:rPr>
                <w:rFonts w:hint="default" w:cs="宋体"/>
                <w:sz w:val="18"/>
                <w:szCs w:val="18"/>
              </w:rPr>
            </w:pPr>
            <w:r>
              <w:rPr>
                <w:rFonts w:cs="宋体"/>
                <w:sz w:val="18"/>
                <w:szCs w:val="18"/>
                <w:lang w:bidi="ar"/>
              </w:rPr>
              <w:t>否</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sz w:val="18"/>
                <w:szCs w:val="18"/>
              </w:rPr>
            </w:pPr>
          </w:p>
        </w:tc>
      </w:tr>
    </w:tbl>
    <w:p>
      <w:pPr>
        <w:pStyle w:val="12"/>
        <w:autoSpaceDE w:val="0"/>
        <w:snapToGrid w:val="0"/>
        <w:spacing w:before="0" w:beforeAutospacing="0" w:after="0" w:afterAutospacing="0"/>
        <w:ind w:firstLine="360" w:firstLineChars="200"/>
        <w:rPr>
          <w:rFonts w:cs="宋体"/>
          <w:sz w:val="18"/>
          <w:szCs w:val="18"/>
          <w:shd w:val="clear" w:color="auto" w:fill="FFFFFF"/>
        </w:rPr>
      </w:pPr>
    </w:p>
    <w:p>
      <w:pPr>
        <w:pStyle w:val="6"/>
        <w:widowControl w:val="0"/>
        <w:shd w:val="clear" w:color="auto" w:fill="FFFFFF"/>
        <w:spacing w:before="0" w:beforeAutospacing="0" w:after="0" w:afterAutospacing="0" w:line="594" w:lineRule="exact"/>
        <w:ind w:firstLine="420"/>
        <w:jc w:val="both"/>
        <w:rPr>
          <w:rStyle w:val="10"/>
          <w:rFonts w:hint="default" w:ascii="Times New Roman" w:hAnsi="Times New Roman" w:eastAsia="方正楷体_GB2312"/>
          <w:b w:val="0"/>
          <w:bCs/>
          <w:sz w:val="32"/>
          <w:szCs w:val="32"/>
          <w:shd w:val="clear" w:color="auto" w:fill="FFFFFF"/>
        </w:rPr>
      </w:pPr>
      <w:r>
        <w:rPr>
          <w:rStyle w:val="10"/>
          <w:rFonts w:hint="default" w:ascii="Times New Roman" w:hAnsi="Times New Roman" w:eastAsia="方正楷体_GB2312"/>
          <w:b w:val="0"/>
          <w:bCs/>
          <w:sz w:val="32"/>
          <w:szCs w:val="32"/>
          <w:shd w:val="clear" w:color="auto" w:fill="FFFFFF"/>
        </w:rPr>
        <w:t>（二）单位绩效评价情况</w:t>
      </w:r>
    </w:p>
    <w:p>
      <w:pPr>
        <w:pStyle w:val="11"/>
        <w:widowControl w:val="0"/>
        <w:autoSpaceDE w:val="0"/>
        <w:spacing w:line="594"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我单位未组织开展绩效评价。</w:t>
      </w:r>
    </w:p>
    <w:p>
      <w:pPr>
        <w:pStyle w:val="6"/>
        <w:widowControl w:val="0"/>
        <w:shd w:val="clear" w:color="auto" w:fill="FFFFFF"/>
        <w:spacing w:before="0" w:beforeAutospacing="0" w:after="0" w:afterAutospacing="0" w:line="594" w:lineRule="exact"/>
        <w:ind w:firstLine="420"/>
        <w:jc w:val="both"/>
        <w:rPr>
          <w:rStyle w:val="10"/>
          <w:rFonts w:hint="default" w:ascii="Times New Roman" w:hAnsi="Times New Roman" w:eastAsia="方正楷体_GB2312"/>
          <w:b w:val="0"/>
          <w:bCs/>
          <w:sz w:val="32"/>
          <w:szCs w:val="32"/>
          <w:shd w:val="clear" w:color="auto" w:fill="FFFFFF"/>
        </w:rPr>
      </w:pPr>
      <w:r>
        <w:rPr>
          <w:rStyle w:val="10"/>
          <w:rFonts w:hint="default" w:ascii="Times New Roman" w:hAnsi="Times New Roman" w:eastAsia="方正楷体_GB2312"/>
          <w:b w:val="0"/>
          <w:bCs/>
          <w:sz w:val="32"/>
          <w:szCs w:val="32"/>
          <w:shd w:val="clear" w:color="auto" w:fill="FFFFFF"/>
        </w:rPr>
        <w:t>（三）财政绩效评价情况</w:t>
      </w:r>
    </w:p>
    <w:p>
      <w:pPr>
        <w:pStyle w:val="11"/>
        <w:widowControl w:val="0"/>
        <w:autoSpaceDE w:val="0"/>
        <w:spacing w:line="594" w:lineRule="exact"/>
        <w:ind w:firstLine="64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县</w:t>
      </w:r>
      <w:r>
        <w:rPr>
          <w:rFonts w:ascii="Times New Roman" w:hAnsi="Times New Roman" w:eastAsia="方正仿宋_GBK"/>
          <w:sz w:val="32"/>
          <w:szCs w:val="32"/>
          <w:shd w:val="clear" w:color="auto" w:fill="FFFFFF"/>
        </w:rPr>
        <w:t>财政局未委托第三方对我单位开展绩效评价。</w:t>
      </w:r>
    </w:p>
    <w:p>
      <w:pPr>
        <w:pStyle w:val="6"/>
        <w:widowControl w:val="0"/>
        <w:shd w:val="clear" w:color="auto" w:fill="FFFFFF"/>
        <w:spacing w:beforeAutospacing="0" w:afterAutospacing="0" w:line="594" w:lineRule="exact"/>
        <w:ind w:firstLine="640"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方正黑体_GBK"/>
          <w:b w:val="0"/>
          <w:bCs/>
          <w:sz w:val="32"/>
          <w:szCs w:val="32"/>
          <w:shd w:val="clear" w:color="auto" w:fill="FFFFFF"/>
        </w:rPr>
        <w:t>六、专业名词解释</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2312"/>
          <w:b w:val="0"/>
          <w:bCs/>
          <w:sz w:val="32"/>
          <w:szCs w:val="32"/>
          <w:shd w:val="clear" w:color="auto" w:fill="FFFFFF"/>
        </w:rPr>
        <w:t>（一）财政拨款收入</w:t>
      </w:r>
      <w:r>
        <w:rPr>
          <w:rFonts w:hint="default" w:ascii="Times New Roman" w:hAnsi="Times New Roman" w:eastAsia="楷体"/>
          <w:b/>
          <w:bCs/>
          <w:sz w:val="32"/>
          <w:szCs w:val="32"/>
          <w:shd w:val="clear" w:color="auto" w:fill="FFFFFF"/>
        </w:rPr>
        <w:t>：</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2312"/>
          <w:b w:val="0"/>
          <w:bCs/>
          <w:sz w:val="32"/>
          <w:szCs w:val="32"/>
          <w:shd w:val="clear" w:color="auto" w:fill="FFFFFF"/>
        </w:rPr>
        <w:t>（二）事业收入：</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2312"/>
          <w:b w:val="0"/>
          <w:bCs/>
          <w:sz w:val="32"/>
          <w:szCs w:val="32"/>
          <w:shd w:val="clear" w:color="auto" w:fill="FFFFFF"/>
        </w:rPr>
        <w:t>（三）经营收入：</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2312"/>
          <w:b w:val="0"/>
          <w:bCs/>
          <w:sz w:val="32"/>
          <w:szCs w:val="32"/>
          <w:shd w:val="clear" w:color="auto" w:fill="FFFFFF"/>
        </w:rPr>
        <w:t>（四）其他收入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2312"/>
          <w:b w:val="0"/>
          <w:bCs/>
          <w:sz w:val="32"/>
          <w:szCs w:val="32"/>
          <w:shd w:val="clear" w:color="auto" w:fill="FFFFFF"/>
        </w:rPr>
        <w:t>（五）使用非财政拨款结余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2312"/>
          <w:b w:val="0"/>
          <w:bCs/>
          <w:sz w:val="32"/>
          <w:szCs w:val="32"/>
          <w:shd w:val="clear" w:color="auto" w:fill="FFFFFF"/>
        </w:rPr>
        <w:t>（六）年初结转和结余：</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2312"/>
          <w:b w:val="0"/>
          <w:bCs/>
          <w:sz w:val="32"/>
          <w:szCs w:val="32"/>
          <w:shd w:val="clear" w:color="auto" w:fill="FFFFFF"/>
        </w:rPr>
        <w:t>（七）结余分配：</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2312"/>
          <w:b w:val="0"/>
          <w:bCs/>
          <w:sz w:val="32"/>
          <w:szCs w:val="32"/>
          <w:shd w:val="clear" w:color="auto" w:fill="FFFFFF"/>
        </w:rPr>
        <w:t>（八）年末结转和结余：</w:t>
      </w:r>
      <w:r>
        <w:rPr>
          <w:rFonts w:hint="default" w:ascii="Times New Roman" w:hAnsi="Times New Roman" w:eastAsia="方正仿宋_GBK"/>
          <w:sz w:val="32"/>
          <w:szCs w:val="32"/>
          <w:shd w:val="clear" w:color="auto" w:fill="FFFFFF"/>
        </w:rPr>
        <w:t>指单位结转下年的基本支出结转、项目支出结转和结余、经营结余。</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2312"/>
          <w:b w:val="0"/>
          <w:bCs/>
          <w:sz w:val="32"/>
          <w:szCs w:val="32"/>
          <w:shd w:val="clear" w:color="auto" w:fill="FFFFFF"/>
        </w:rPr>
        <w:t>（九）基本支出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2312"/>
          <w:b w:val="0"/>
          <w:bCs/>
          <w:sz w:val="32"/>
          <w:szCs w:val="32"/>
          <w:shd w:val="clear" w:color="auto" w:fill="FFFFFF"/>
        </w:rPr>
        <w:t>（十）项目支出：</w:t>
      </w:r>
      <w:r>
        <w:rPr>
          <w:rFonts w:hint="default" w:ascii="Times New Roman" w:hAnsi="Times New Roman" w:eastAsia="方正仿宋_GBK"/>
          <w:sz w:val="32"/>
          <w:szCs w:val="32"/>
          <w:shd w:val="clear" w:color="auto" w:fill="FFFFFF"/>
        </w:rPr>
        <w:t>指在基本支出之外为完成特定行政任务和事业发展目标所发生的支出。</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2312"/>
          <w:b w:val="0"/>
          <w:bCs/>
          <w:sz w:val="32"/>
          <w:szCs w:val="32"/>
          <w:shd w:val="clear" w:color="auto" w:fill="FFFFFF"/>
        </w:rPr>
        <w:t>（十一）经营支出：</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2312"/>
          <w:b w:val="0"/>
          <w:bCs/>
          <w:sz w:val="32"/>
          <w:szCs w:val="32"/>
          <w:shd w:val="clear" w:color="auto" w:fill="FFFFFF"/>
        </w:rPr>
        <w:t>（十二）“三公”经费</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2312"/>
          <w:b w:val="0"/>
          <w:bCs/>
          <w:sz w:val="32"/>
          <w:szCs w:val="32"/>
          <w:shd w:val="clear" w:color="auto" w:fill="FFFFFF"/>
        </w:rPr>
        <w:t>（十三）机关运行经费：</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2312"/>
          <w:b w:val="0"/>
          <w:bCs/>
          <w:sz w:val="32"/>
          <w:szCs w:val="32"/>
          <w:shd w:val="clear" w:color="auto" w:fill="FFFFFF"/>
        </w:rPr>
        <w:t>（十四）工资福利支出（支出经济分类科目类级）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2312"/>
          <w:b w:val="0"/>
          <w:bCs/>
          <w:sz w:val="32"/>
          <w:szCs w:val="32"/>
          <w:shd w:val="clear" w:color="auto" w:fill="FFFFFF"/>
        </w:rPr>
        <w:t>（十五）商品和服务支出（支出经济分类科目类级）：</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2312"/>
          <w:b w:val="0"/>
          <w:bCs/>
          <w:sz w:val="32"/>
          <w:szCs w:val="32"/>
          <w:shd w:val="clear" w:color="auto" w:fill="FFFFFF"/>
        </w:rPr>
        <w:t>（十六）对个人和家庭的补助（支出经济分类科目类级）：</w:t>
      </w:r>
      <w:r>
        <w:rPr>
          <w:rFonts w:hint="default" w:ascii="Times New Roman" w:hAnsi="Times New Roman" w:eastAsia="方正仿宋_GBK"/>
          <w:sz w:val="32"/>
          <w:szCs w:val="32"/>
          <w:shd w:val="clear" w:color="auto" w:fill="FFFFFF"/>
        </w:rPr>
        <w:t>反映用于对个人和家庭的补助支出。</w:t>
      </w:r>
    </w:p>
    <w:p>
      <w:pPr>
        <w:pStyle w:val="6"/>
        <w:widowControl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2312"/>
          <w:b w:val="0"/>
          <w:bCs/>
          <w:sz w:val="32"/>
          <w:szCs w:val="32"/>
          <w:shd w:val="clear" w:color="auto" w:fill="FFFFFF"/>
        </w:rPr>
        <w:t>（十七）其他资本性支出（支出经济分类科目类级）：</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widowControl w:val="0"/>
        <w:shd w:val="clear" w:color="auto" w:fill="FFFFFF"/>
        <w:spacing w:before="0" w:beforeAutospacing="0" w:after="0" w:afterAutospacing="0" w:line="594" w:lineRule="exact"/>
        <w:ind w:firstLine="640" w:firstLineChars="200"/>
        <w:jc w:val="both"/>
        <w:rPr>
          <w:rStyle w:val="10"/>
          <w:rFonts w:hint="default" w:ascii="Times New Roman" w:hAnsi="Times New Roman" w:eastAsia="方正黑体_GBK"/>
          <w:b w:val="0"/>
          <w:bCs/>
          <w:sz w:val="32"/>
          <w:szCs w:val="32"/>
          <w:shd w:val="clear" w:color="auto" w:fill="FFFFFF"/>
        </w:rPr>
      </w:pPr>
      <w:r>
        <w:rPr>
          <w:rStyle w:val="10"/>
          <w:rFonts w:hint="default" w:ascii="Times New Roman" w:hAnsi="Times New Roman" w:eastAsia="方正黑体_GBK"/>
          <w:b w:val="0"/>
          <w:bCs/>
          <w:sz w:val="32"/>
          <w:szCs w:val="32"/>
          <w:shd w:val="clear" w:color="auto" w:fill="FFFFFF"/>
        </w:rPr>
        <w:t>七、决算公开联系方式及信息反馈渠道</w:t>
      </w:r>
    </w:p>
    <w:p>
      <w:pPr>
        <w:pStyle w:val="11"/>
        <w:widowControl w:val="0"/>
        <w:autoSpaceDE w:val="0"/>
        <w:spacing w:line="594" w:lineRule="exact"/>
        <w:ind w:firstLine="0" w:firstLineChars="0"/>
        <w:rPr>
          <w:rStyle w:val="10"/>
          <w:rFonts w:ascii="Times New Roman" w:hAnsi="Times New Roman" w:eastAsia="方正仿宋_GBK"/>
          <w:sz w:val="32"/>
          <w:szCs w:val="32"/>
          <w:shd w:val="clear" w:color="auto" w:fill="FFFF00"/>
        </w:rPr>
        <w:sectPr>
          <w:footerReference r:id="rId3" w:type="default"/>
          <w:pgSz w:w="11915" w:h="16840"/>
          <w:pgMar w:top="2098" w:right="1587" w:bottom="1984" w:left="1587" w:header="851" w:footer="992" w:gutter="0"/>
          <w:pgNumType w:fmt="numberInDash"/>
          <w:cols w:space="0" w:num="1"/>
          <w:docGrid w:type="lines" w:linePitch="327" w:charSpace="0"/>
        </w:sectPr>
      </w:pPr>
      <w:r>
        <w:rPr>
          <w:rFonts w:ascii="Times New Roman" w:hAnsi="Times New Roman" w:eastAsia="方正仿宋_GBK"/>
          <w:sz w:val="32"/>
          <w:szCs w:val="32"/>
          <w:shd w:val="clear" w:color="auto" w:fill="FFFFFF"/>
        </w:rPr>
        <w:t>本单位决算公开信息反馈和联系方式：</w:t>
      </w:r>
      <w:r>
        <w:rPr>
          <w:rFonts w:hint="eastAsia" w:ascii="Times New Roman" w:hAnsi="Times New Roman" w:eastAsia="方正仿宋_GBK"/>
          <w:sz w:val="32"/>
          <w:szCs w:val="32"/>
          <w:shd w:val="clear" w:color="auto" w:fill="FFFFFF"/>
        </w:rPr>
        <w:t>吴老师</w:t>
      </w:r>
      <w:r>
        <w:rPr>
          <w:rFonts w:ascii="Times New Roman" w:hAnsi="Times New Roman" w:eastAsia="方正仿宋_GBK"/>
          <w:sz w:val="32"/>
          <w:szCs w:val="32"/>
          <w:shd w:val="clear" w:color="auto" w:fill="FFFFFF"/>
        </w:rPr>
        <w:t>023-74512573</w:t>
      </w:r>
    </w:p>
    <w:tbl>
      <w:tblPr>
        <w:tblStyle w:val="7"/>
        <w:tblpPr w:leftFromText="180" w:rightFromText="180" w:vertAnchor="text" w:horzAnchor="page" w:tblpX="1058" w:tblpY="22"/>
        <w:tblOverlap w:val="never"/>
        <w:tblW w:w="15245" w:type="dxa"/>
        <w:tblInd w:w="0" w:type="dxa"/>
        <w:tblLayout w:type="fixed"/>
        <w:tblCellMar>
          <w:top w:w="0" w:type="dxa"/>
          <w:left w:w="0" w:type="dxa"/>
          <w:bottom w:w="0" w:type="dxa"/>
          <w:right w:w="0" w:type="dxa"/>
        </w:tblCellMar>
      </w:tblPr>
      <w:tblGrid>
        <w:gridCol w:w="4309"/>
        <w:gridCol w:w="3571"/>
        <w:gridCol w:w="4059"/>
        <w:gridCol w:w="3306"/>
      </w:tblGrid>
      <w:tr>
        <w:tblPrEx>
          <w:tblCellMar>
            <w:top w:w="0" w:type="dxa"/>
            <w:left w:w="0" w:type="dxa"/>
            <w:bottom w:w="0" w:type="dxa"/>
            <w:right w:w="0" w:type="dxa"/>
          </w:tblCellMar>
        </w:tblPrEx>
        <w:trPr>
          <w:trHeight w:val="232" w:hRule="atLeast"/>
        </w:trPr>
        <w:tc>
          <w:tcPr>
            <w:tcW w:w="15245"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sz w:val="20"/>
                <w:szCs w:val="20"/>
              </w:rPr>
            </w:pPr>
          </w:p>
        </w:tc>
        <w:tc>
          <w:tcPr>
            <w:tcW w:w="3571"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sz w:val="20"/>
                <w:szCs w:val="20"/>
              </w:rPr>
            </w:pPr>
          </w:p>
        </w:tc>
        <w:tc>
          <w:tcPr>
            <w:tcW w:w="405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sz w:val="20"/>
                <w:szCs w:val="20"/>
              </w:rPr>
            </w:pPr>
          </w:p>
        </w:tc>
        <w:tc>
          <w:tcPr>
            <w:tcW w:w="3306"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sz w:val="22"/>
                <w:szCs w:val="22"/>
              </w:rPr>
            </w:pPr>
            <w:r>
              <w:rPr>
                <w:rFonts w:cs="宋体"/>
                <w:sz w:val="20"/>
                <w:szCs w:val="20"/>
              </w:rPr>
              <w:t>单位：</w:t>
            </w:r>
            <w:r>
              <w:rPr>
                <w:sz w:val="20"/>
              </w:rPr>
              <w:t>垫江县统计局（本级）</w:t>
            </w:r>
          </w:p>
        </w:tc>
        <w:tc>
          <w:tcPr>
            <w:tcW w:w="405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sz w:val="22"/>
                <w:szCs w:val="22"/>
              </w:rPr>
            </w:pPr>
          </w:p>
        </w:tc>
        <w:tc>
          <w:tcPr>
            <w:tcW w:w="3306"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736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697.85</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576.94</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71"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79.76</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18.64</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22.52</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697.85</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697.85</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330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697.85</w:t>
            </w:r>
            <w:r>
              <w:rPr>
                <w:rFonts w:ascii="Times New Roman" w:hAnsi="Times New Roman"/>
                <w:sz w:val="20"/>
              </w:rPr>
              <w:t xml:space="preserve"> </w:t>
            </w:r>
          </w:p>
        </w:tc>
        <w:tc>
          <w:tcPr>
            <w:tcW w:w="405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3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697.85</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4651" w:type="dxa"/>
        <w:jc w:val="center"/>
        <w:tblLayout w:type="fixed"/>
        <w:tblCellMar>
          <w:top w:w="0" w:type="dxa"/>
          <w:left w:w="0" w:type="dxa"/>
          <w:bottom w:w="0" w:type="dxa"/>
          <w:right w:w="0" w:type="dxa"/>
        </w:tblCellMar>
      </w:tblPr>
      <w:tblGrid>
        <w:gridCol w:w="1637"/>
        <w:gridCol w:w="3200"/>
        <w:gridCol w:w="1205"/>
        <w:gridCol w:w="1376"/>
        <w:gridCol w:w="1257"/>
        <w:gridCol w:w="906"/>
        <w:gridCol w:w="1020"/>
        <w:gridCol w:w="1035"/>
        <w:gridCol w:w="1185"/>
        <w:gridCol w:w="1830"/>
      </w:tblGrid>
      <w:tr>
        <w:tblPrEx>
          <w:tblCellMar>
            <w:top w:w="0" w:type="dxa"/>
            <w:left w:w="0" w:type="dxa"/>
            <w:bottom w:w="0" w:type="dxa"/>
            <w:right w:w="0" w:type="dxa"/>
          </w:tblCellMar>
        </w:tblPrEx>
        <w:trPr>
          <w:trHeight w:val="641" w:hRule="atLeast"/>
          <w:jc w:val="center"/>
        </w:trPr>
        <w:tc>
          <w:tcPr>
            <w:tcW w:w="14651" w:type="dxa"/>
            <w:gridSpan w:val="10"/>
            <w:tcBorders>
              <w:top w:val="nil"/>
              <w:left w:val="nil"/>
              <w:bottom w:val="nil"/>
              <w:right w:val="nil"/>
            </w:tcBorders>
            <w:shd w:val="clear" w:color="auto" w:fill="auto"/>
            <w:tcMar>
              <w:top w:w="15" w:type="dxa"/>
              <w:left w:w="15" w:type="dxa"/>
              <w:right w:w="15" w:type="dxa"/>
            </w:tcMar>
            <w:vAlign w:val="bottom"/>
          </w:tcPr>
          <w:p>
            <w:pPr>
              <w:snapToGrid w:val="0"/>
              <w:jc w:val="center"/>
              <w:textAlignment w:val="bottom"/>
              <w:rPr>
                <w:rFonts w:hint="default" w:cs="宋体"/>
                <w:b/>
                <w:sz w:val="32"/>
                <w:szCs w:val="32"/>
              </w:rPr>
            </w:pPr>
            <w:r>
              <w:rPr>
                <w:rFonts w:cs="宋体"/>
                <w:b/>
                <w:sz w:val="32"/>
                <w:szCs w:val="32"/>
              </w:rPr>
              <w:t>收入决算表</w:t>
            </w:r>
          </w:p>
        </w:tc>
      </w:tr>
      <w:tr>
        <w:tblPrEx>
          <w:tblCellMar>
            <w:top w:w="0" w:type="dxa"/>
            <w:left w:w="0" w:type="dxa"/>
            <w:bottom w:w="0" w:type="dxa"/>
            <w:right w:w="0" w:type="dxa"/>
          </w:tblCellMar>
        </w:tblPrEx>
        <w:trPr>
          <w:trHeight w:val="328" w:hRule="atLeast"/>
          <w:jc w:val="center"/>
        </w:trPr>
        <w:tc>
          <w:tcPr>
            <w:tcW w:w="6042" w:type="dxa"/>
            <w:gridSpan w:val="3"/>
            <w:vMerge w:val="restart"/>
            <w:tcBorders>
              <w:top w:val="nil"/>
              <w:left w:val="nil"/>
              <w:right w:val="nil"/>
            </w:tcBorders>
            <w:shd w:val="clear" w:color="auto" w:fill="auto"/>
            <w:tcMar>
              <w:top w:w="15" w:type="dxa"/>
              <w:left w:w="15" w:type="dxa"/>
              <w:right w:w="15" w:type="dxa"/>
            </w:tcMar>
            <w:vAlign w:val="bottom"/>
          </w:tcPr>
          <w:p>
            <w:pPr>
              <w:snapToGrid w:val="0"/>
              <w:rPr>
                <w:rFonts w:hint="default" w:cs="宋体"/>
                <w:sz w:val="20"/>
                <w:szCs w:val="20"/>
              </w:rPr>
            </w:pPr>
            <w:r>
              <w:rPr>
                <w:rFonts w:cs="宋体"/>
                <w:sz w:val="20"/>
                <w:szCs w:val="20"/>
              </w:rPr>
              <w:t>单位：</w:t>
            </w:r>
            <w:r>
              <w:rPr>
                <w:sz w:val="20"/>
              </w:rPr>
              <w:t>垫江县统计局（本级）</w:t>
            </w:r>
          </w:p>
        </w:tc>
        <w:tc>
          <w:tcPr>
            <w:tcW w:w="1376"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sz w:val="20"/>
                <w:szCs w:val="20"/>
              </w:rPr>
            </w:pPr>
          </w:p>
        </w:tc>
        <w:tc>
          <w:tcPr>
            <w:tcW w:w="906"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sz w:val="20"/>
                <w:szCs w:val="20"/>
              </w:rPr>
            </w:pPr>
          </w:p>
        </w:tc>
        <w:tc>
          <w:tcPr>
            <w:tcW w:w="1020"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sz w:val="20"/>
                <w:szCs w:val="20"/>
              </w:rPr>
            </w:pPr>
          </w:p>
        </w:tc>
        <w:tc>
          <w:tcPr>
            <w:tcW w:w="1035"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sz w:val="20"/>
                <w:szCs w:val="20"/>
              </w:rPr>
            </w:pPr>
          </w:p>
        </w:tc>
        <w:tc>
          <w:tcPr>
            <w:tcW w:w="1185"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sz w:val="20"/>
                <w:szCs w:val="20"/>
              </w:rPr>
            </w:pPr>
          </w:p>
        </w:tc>
        <w:tc>
          <w:tcPr>
            <w:tcW w:w="1830" w:type="dxa"/>
            <w:tcBorders>
              <w:top w:val="nil"/>
              <w:left w:val="nil"/>
              <w:bottom w:val="nil"/>
              <w:right w:val="nil"/>
            </w:tcBorders>
            <w:shd w:val="clear" w:color="auto" w:fill="auto"/>
            <w:tcMar>
              <w:top w:w="15" w:type="dxa"/>
              <w:left w:w="15" w:type="dxa"/>
              <w:right w:w="15" w:type="dxa"/>
            </w:tcMar>
            <w:vAlign w:val="bottom"/>
          </w:tcPr>
          <w:p>
            <w:pPr>
              <w:snapToGrid w:val="0"/>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CellMar>
            <w:top w:w="0" w:type="dxa"/>
            <w:left w:w="0" w:type="dxa"/>
            <w:bottom w:w="0" w:type="dxa"/>
            <w:right w:w="0" w:type="dxa"/>
          </w:tblCellMar>
        </w:tblPrEx>
        <w:trPr>
          <w:trHeight w:val="328" w:hRule="atLeast"/>
          <w:jc w:val="center"/>
        </w:trPr>
        <w:tc>
          <w:tcPr>
            <w:tcW w:w="6042" w:type="dxa"/>
            <w:gridSpan w:val="3"/>
            <w:vMerge w:val="continue"/>
            <w:tcBorders>
              <w:left w:val="nil"/>
              <w:bottom w:val="nil"/>
              <w:right w:val="nil"/>
            </w:tcBorders>
            <w:shd w:val="clear" w:color="auto" w:fill="auto"/>
            <w:tcMar>
              <w:top w:w="15" w:type="dxa"/>
              <w:left w:w="15" w:type="dxa"/>
              <w:right w:w="15" w:type="dxa"/>
            </w:tcMar>
            <w:vAlign w:val="bottom"/>
          </w:tcPr>
          <w:p>
            <w:pPr>
              <w:snapToGrid w:val="0"/>
              <w:rPr>
                <w:rFonts w:hint="default" w:cs="宋体"/>
                <w:sz w:val="20"/>
                <w:szCs w:val="20"/>
              </w:rPr>
            </w:pPr>
          </w:p>
        </w:tc>
        <w:tc>
          <w:tcPr>
            <w:tcW w:w="1376"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sz w:val="20"/>
                <w:szCs w:val="20"/>
              </w:rPr>
            </w:pPr>
          </w:p>
        </w:tc>
        <w:tc>
          <w:tcPr>
            <w:tcW w:w="906"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sz w:val="20"/>
                <w:szCs w:val="20"/>
              </w:rPr>
            </w:pPr>
          </w:p>
        </w:tc>
        <w:tc>
          <w:tcPr>
            <w:tcW w:w="1020"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sz w:val="20"/>
                <w:szCs w:val="20"/>
              </w:rPr>
            </w:pPr>
          </w:p>
        </w:tc>
        <w:tc>
          <w:tcPr>
            <w:tcW w:w="1035"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sz w:val="20"/>
                <w:szCs w:val="20"/>
              </w:rPr>
            </w:pPr>
          </w:p>
        </w:tc>
        <w:tc>
          <w:tcPr>
            <w:tcW w:w="1185" w:type="dxa"/>
            <w:tcBorders>
              <w:top w:val="nil"/>
              <w:left w:val="nil"/>
              <w:bottom w:val="nil"/>
              <w:right w:val="nil"/>
            </w:tcBorders>
            <w:shd w:val="clear" w:color="auto" w:fill="auto"/>
            <w:tcMar>
              <w:top w:w="15" w:type="dxa"/>
              <w:left w:w="15" w:type="dxa"/>
              <w:right w:w="15" w:type="dxa"/>
            </w:tcMar>
            <w:vAlign w:val="bottom"/>
          </w:tcPr>
          <w:p>
            <w:pPr>
              <w:snapToGrid w:val="0"/>
              <w:rPr>
                <w:rFonts w:hint="default" w:cs="宋体"/>
                <w:sz w:val="20"/>
                <w:szCs w:val="20"/>
              </w:rPr>
            </w:pPr>
          </w:p>
        </w:tc>
        <w:tc>
          <w:tcPr>
            <w:tcW w:w="1830" w:type="dxa"/>
            <w:tcBorders>
              <w:top w:val="nil"/>
              <w:left w:val="nil"/>
              <w:bottom w:val="nil"/>
              <w:right w:val="nil"/>
            </w:tcBorders>
            <w:shd w:val="clear" w:color="auto" w:fill="auto"/>
            <w:tcMar>
              <w:top w:w="15" w:type="dxa"/>
              <w:left w:w="15" w:type="dxa"/>
              <w:right w:w="15" w:type="dxa"/>
            </w:tcMar>
            <w:vAlign w:val="bottom"/>
          </w:tcPr>
          <w:p>
            <w:pPr>
              <w:snapToGrid w:val="0"/>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431" w:hRule="atLeast"/>
          <w:jc w:val="center"/>
        </w:trPr>
        <w:tc>
          <w:tcPr>
            <w:tcW w:w="483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snapToGrid w:val="0"/>
              <w:jc w:val="center"/>
              <w:textAlignment w:val="bottom"/>
              <w:rPr>
                <w:rFonts w:hint="default" w:cs="宋体"/>
                <w:b/>
                <w:sz w:val="20"/>
                <w:szCs w:val="20"/>
              </w:rPr>
            </w:pPr>
            <w:r>
              <w:rPr>
                <w:rFonts w:cs="宋体"/>
                <w:b/>
                <w:sz w:val="20"/>
                <w:szCs w:val="20"/>
              </w:rPr>
              <w:t>项目</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20"/>
                <w:szCs w:val="20"/>
              </w:rPr>
            </w:pPr>
            <w:r>
              <w:rPr>
                <w:rFonts w:cs="宋体"/>
                <w:b/>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20"/>
                <w:szCs w:val="20"/>
              </w:rPr>
            </w:pPr>
            <w:r>
              <w:rPr>
                <w:rFonts w:cs="宋体"/>
                <w:b/>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20"/>
                <w:szCs w:val="20"/>
              </w:rPr>
            </w:pPr>
            <w:r>
              <w:rPr>
                <w:rFonts w:cs="宋体"/>
                <w:b/>
                <w:sz w:val="20"/>
                <w:szCs w:val="20"/>
              </w:rPr>
              <w:t>上级补助收入</w:t>
            </w: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napToGrid w:val="0"/>
              <w:jc w:val="center"/>
              <w:textAlignment w:val="bottom"/>
              <w:rPr>
                <w:rFonts w:hint="default" w:cs="宋体"/>
                <w:b/>
                <w:sz w:val="20"/>
                <w:szCs w:val="20"/>
              </w:rPr>
            </w:pPr>
            <w:r>
              <w:rPr>
                <w:rFonts w:cs="宋体"/>
                <w:b/>
                <w:sz w:val="20"/>
                <w:szCs w:val="20"/>
              </w:rPr>
              <w:t>事业收入</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20"/>
                <w:szCs w:val="20"/>
              </w:rPr>
            </w:pPr>
            <w:r>
              <w:rPr>
                <w:rFonts w:cs="宋体"/>
                <w:b/>
                <w:sz w:val="20"/>
                <w:szCs w:val="20"/>
              </w:rPr>
              <w:t>经营收入</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20"/>
                <w:szCs w:val="20"/>
              </w:rPr>
            </w:pPr>
            <w:r>
              <w:rPr>
                <w:rFonts w:cs="宋体"/>
                <w:b/>
                <w:sz w:val="20"/>
                <w:szCs w:val="20"/>
              </w:rPr>
              <w:t>附属单位上缴收入</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20"/>
                <w:szCs w:val="20"/>
              </w:rPr>
            </w:pPr>
            <w:r>
              <w:rPr>
                <w:rFonts w:cs="宋体"/>
                <w:b/>
                <w:sz w:val="20"/>
                <w:szCs w:val="20"/>
              </w:rPr>
              <w:t>其他收入</w:t>
            </w:r>
          </w:p>
        </w:tc>
      </w:tr>
      <w:tr>
        <w:tblPrEx>
          <w:tblCellMar>
            <w:top w:w="0" w:type="dxa"/>
            <w:left w:w="0" w:type="dxa"/>
            <w:bottom w:w="0" w:type="dxa"/>
            <w:right w:w="0" w:type="dxa"/>
          </w:tblCellMar>
        </w:tblPrEx>
        <w:trPr>
          <w:trHeight w:val="334" w:hRule="atLeast"/>
          <w:jc w:val="center"/>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20"/>
                <w:szCs w:val="20"/>
              </w:rPr>
            </w:pPr>
            <w:r>
              <w:rPr>
                <w:rFonts w:cs="宋体"/>
                <w:b/>
                <w:sz w:val="20"/>
                <w:szCs w:val="20"/>
              </w:rPr>
              <w:t>功能分类科目编码</w:t>
            </w:r>
          </w:p>
        </w:tc>
        <w:tc>
          <w:tcPr>
            <w:tcW w:w="320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snapToGrid w:val="0"/>
              <w:jc w:val="center"/>
              <w:textAlignment w:val="center"/>
              <w:rPr>
                <w:rFonts w:hint="default" w:cs="宋体"/>
                <w:b/>
                <w:sz w:val="20"/>
                <w:szCs w:val="20"/>
              </w:rPr>
            </w:pPr>
            <w:r>
              <w:rPr>
                <w:rFonts w:cs="宋体"/>
                <w:b/>
                <w:sz w:val="20"/>
                <w:szCs w:val="20"/>
              </w:rPr>
              <w:t>项目（按“项”级功能分类科目）</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20"/>
                <w:szCs w:val="20"/>
              </w:rPr>
            </w:pPr>
            <w:r>
              <w:rPr>
                <w:rFonts w:cs="宋体"/>
                <w:b/>
                <w:sz w:val="20"/>
                <w:szCs w:val="20"/>
              </w:rPr>
              <w:t>小计</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20"/>
                <w:szCs w:val="20"/>
              </w:rPr>
            </w:pPr>
            <w:r>
              <w:rPr>
                <w:rFonts w:cs="宋体"/>
                <w:b/>
                <w:sz w:val="20"/>
                <w:szCs w:val="20"/>
              </w:rPr>
              <w:t>其中：教育收费</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r>
      <w:tr>
        <w:tblPrEx>
          <w:tblCellMar>
            <w:top w:w="0" w:type="dxa"/>
            <w:left w:w="0" w:type="dxa"/>
            <w:bottom w:w="0" w:type="dxa"/>
            <w:right w:w="0" w:type="dxa"/>
          </w:tblCellMar>
        </w:tblPrEx>
        <w:trPr>
          <w:trHeight w:val="334"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320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r>
      <w:tr>
        <w:tblPrEx>
          <w:tblCellMar>
            <w:top w:w="0" w:type="dxa"/>
            <w:left w:w="0" w:type="dxa"/>
            <w:bottom w:w="0" w:type="dxa"/>
            <w:right w:w="0" w:type="dxa"/>
          </w:tblCellMar>
        </w:tblPrEx>
        <w:trPr>
          <w:trHeight w:val="334"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320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r>
      <w:tr>
        <w:tblPrEx>
          <w:tblCellMar>
            <w:top w:w="0" w:type="dxa"/>
            <w:left w:w="0" w:type="dxa"/>
            <w:bottom w:w="0" w:type="dxa"/>
            <w:right w:w="0" w:type="dxa"/>
          </w:tblCellMar>
        </w:tblPrEx>
        <w:trPr>
          <w:trHeight w:val="312"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320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cs="宋体"/>
                <w:b/>
                <w:sz w:val="20"/>
                <w:szCs w:val="20"/>
              </w:rPr>
            </w:pPr>
          </w:p>
        </w:tc>
      </w:tr>
      <w:tr>
        <w:tblPrEx>
          <w:tblCellMar>
            <w:top w:w="0" w:type="dxa"/>
            <w:left w:w="0" w:type="dxa"/>
            <w:bottom w:w="0" w:type="dxa"/>
            <w:right w:w="0" w:type="dxa"/>
          </w:tblCellMar>
        </w:tblPrEx>
        <w:trPr>
          <w:trHeight w:val="248" w:hRule="atLeast"/>
          <w:jc w:val="center"/>
        </w:trPr>
        <w:tc>
          <w:tcPr>
            <w:tcW w:w="48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center"/>
              <w:rPr>
                <w:rFonts w:hint="default" w:cs="宋体"/>
                <w:b/>
                <w:sz w:val="20"/>
                <w:szCs w:val="20"/>
              </w:rPr>
            </w:pPr>
            <w:r>
              <w:rPr>
                <w:rFonts w:cs="宋体"/>
                <w:b/>
                <w:sz w:val="20"/>
                <w:szCs w:val="20"/>
              </w:rPr>
              <w:t>合计</w:t>
            </w:r>
          </w:p>
        </w:tc>
        <w:tc>
          <w:tcPr>
            <w:tcW w:w="1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b/>
                <w:sz w:val="20"/>
                <w:szCs w:val="20"/>
              </w:rPr>
            </w:pPr>
            <w:r>
              <w:rPr>
                <w:rFonts w:hint="default" w:ascii="Times New Roman" w:hAnsi="Times New Roman"/>
                <w:b/>
                <w:bCs/>
                <w:sz w:val="20"/>
                <w:szCs w:val="20"/>
              </w:rPr>
              <w:t>697.85</w:t>
            </w:r>
          </w:p>
        </w:tc>
        <w:tc>
          <w:tcPr>
            <w:tcW w:w="13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b/>
                <w:sz w:val="20"/>
                <w:szCs w:val="20"/>
              </w:rPr>
            </w:pPr>
            <w:r>
              <w:rPr>
                <w:rFonts w:hint="default" w:ascii="Times New Roman" w:hAnsi="Times New Roman"/>
                <w:b/>
                <w:bCs/>
                <w:sz w:val="20"/>
                <w:szCs w:val="20"/>
              </w:rPr>
              <w:t>697.85</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b/>
                <w:sz w:val="20"/>
                <w:szCs w:val="20"/>
              </w:rPr>
            </w:pPr>
            <w:r>
              <w:rPr>
                <w:rFonts w:hint="default" w:ascii="Times New Roman" w:hAnsi="Times New Roman"/>
                <w:b/>
                <w:bCs/>
                <w:sz w:val="20"/>
                <w:szCs w:val="20"/>
              </w:rPr>
              <w:t>0.00</w:t>
            </w:r>
          </w:p>
        </w:tc>
        <w:tc>
          <w:tcPr>
            <w:tcW w:w="9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b/>
                <w:sz w:val="20"/>
                <w:szCs w:val="20"/>
              </w:rPr>
            </w:pPr>
            <w:r>
              <w:rPr>
                <w:rFonts w:hint="default" w:ascii="Times New Roman" w:hAnsi="Times New Roman"/>
                <w:b/>
                <w:bCs/>
                <w:sz w:val="20"/>
                <w:szCs w:val="20"/>
              </w:rPr>
              <w:t>0.00</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b/>
                <w:sz w:val="20"/>
                <w:szCs w:val="20"/>
              </w:rPr>
            </w:pPr>
            <w:r>
              <w:rPr>
                <w:rFonts w:hint="default" w:ascii="Times New Roman" w:hAnsi="Times New Roman"/>
                <w:b/>
                <w:bCs/>
                <w:sz w:val="20"/>
                <w:szCs w:val="20"/>
              </w:rPr>
              <w:t>0.00</w:t>
            </w:r>
          </w:p>
        </w:tc>
        <w:tc>
          <w:tcPr>
            <w:tcW w:w="10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b/>
                <w:sz w:val="20"/>
                <w:szCs w:val="20"/>
              </w:rPr>
            </w:pPr>
            <w:r>
              <w:rPr>
                <w:rFonts w:hint="default" w:ascii="Times New Roman" w:hAnsi="Times New Roman"/>
                <w:b/>
                <w:bCs/>
                <w:sz w:val="20"/>
                <w:szCs w:val="20"/>
              </w:rPr>
              <w:t>0.00</w:t>
            </w:r>
          </w:p>
        </w:tc>
        <w:tc>
          <w:tcPr>
            <w:tcW w:w="11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b/>
                <w:sz w:val="20"/>
                <w:szCs w:val="20"/>
              </w:rPr>
            </w:pPr>
            <w:r>
              <w:rPr>
                <w:rFonts w:hint="default" w:ascii="Times New Roman" w:hAnsi="Times New Roman"/>
                <w:b/>
                <w:bCs/>
                <w:sz w:val="20"/>
                <w:szCs w:val="20"/>
              </w:rPr>
              <w:t>0.00</w:t>
            </w:r>
          </w:p>
        </w:tc>
        <w:tc>
          <w:tcPr>
            <w:tcW w:w="18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b/>
                <w:sz w:val="20"/>
                <w:szCs w:val="20"/>
              </w:rPr>
            </w:pPr>
            <w:r>
              <w:rPr>
                <w:rFonts w:hint="default" w:ascii="Times New Roman" w:hAnsi="Times New Roman"/>
                <w:b/>
                <w:bCs/>
                <w:sz w:val="20"/>
                <w:szCs w:val="20"/>
              </w:rPr>
              <w:t>0.00</w:t>
            </w:r>
          </w:p>
        </w:tc>
      </w:tr>
      <w:tr>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b/>
                <w:sz w:val="20"/>
                <w:szCs w:val="20"/>
              </w:rPr>
              <w:t>201</w:t>
            </w:r>
          </w:p>
        </w:tc>
        <w:tc>
          <w:tcPr>
            <w:tcW w:w="3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b/>
                <w:sz w:val="20"/>
                <w:szCs w:val="20"/>
              </w:rPr>
              <w:t>一般公共服务支出</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576.94</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576.94</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r>
      <w:tr>
        <w:tblPrEx>
          <w:tblCellMar>
            <w:top w:w="0" w:type="dxa"/>
            <w:left w:w="0" w:type="dxa"/>
            <w:bottom w:w="0" w:type="dxa"/>
            <w:right w:w="0" w:type="dxa"/>
          </w:tblCellMar>
        </w:tblPrEx>
        <w:trPr>
          <w:trHeight w:val="303"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b/>
                <w:sz w:val="20"/>
                <w:szCs w:val="20"/>
              </w:rPr>
              <w:t>20105</w:t>
            </w:r>
          </w:p>
        </w:tc>
        <w:tc>
          <w:tcPr>
            <w:tcW w:w="3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b/>
                <w:sz w:val="20"/>
                <w:szCs w:val="20"/>
              </w:rPr>
              <w:t>统计信息事务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576.94</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576.94</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r>
      <w:tr>
        <w:tblPrEx>
          <w:tblCellMar>
            <w:top w:w="0" w:type="dxa"/>
            <w:left w:w="0" w:type="dxa"/>
            <w:bottom w:w="0" w:type="dxa"/>
            <w:right w:w="0" w:type="dxa"/>
          </w:tblCellMar>
        </w:tblPrEx>
        <w:trPr>
          <w:trHeight w:val="273"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sz w:val="20"/>
                <w:szCs w:val="20"/>
              </w:rPr>
              <w:t>2010501</w:t>
            </w:r>
          </w:p>
        </w:tc>
        <w:tc>
          <w:tcPr>
            <w:tcW w:w="3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sz w:val="20"/>
                <w:szCs w:val="20"/>
              </w:rPr>
              <w:t>行政运行</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257.14</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257.14</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trHeight w:val="258"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sz w:val="20"/>
                <w:szCs w:val="20"/>
              </w:rPr>
              <w:t>2010505</w:t>
            </w:r>
          </w:p>
        </w:tc>
        <w:tc>
          <w:tcPr>
            <w:tcW w:w="3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sz w:val="20"/>
                <w:szCs w:val="20"/>
              </w:rPr>
              <w:t>专项统计业务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148.76</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148.76</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trHeight w:val="213"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sz w:val="20"/>
                <w:szCs w:val="20"/>
              </w:rPr>
              <w:t>2010506</w:t>
            </w:r>
          </w:p>
        </w:tc>
        <w:tc>
          <w:tcPr>
            <w:tcW w:w="3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sz w:val="20"/>
                <w:szCs w:val="20"/>
              </w:rPr>
              <w:t>统计管理</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2.00</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2.00</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trHeight w:val="228"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sz w:val="20"/>
                <w:szCs w:val="20"/>
              </w:rPr>
              <w:t>2010507</w:t>
            </w:r>
          </w:p>
        </w:tc>
        <w:tc>
          <w:tcPr>
            <w:tcW w:w="3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sz w:val="20"/>
                <w:szCs w:val="20"/>
              </w:rPr>
              <w:t>专项普查活动</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131.72</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131.72</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trHeight w:val="258"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sz w:val="20"/>
                <w:szCs w:val="20"/>
              </w:rPr>
              <w:t>2010508</w:t>
            </w:r>
          </w:p>
        </w:tc>
        <w:tc>
          <w:tcPr>
            <w:tcW w:w="3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sz w:val="20"/>
                <w:szCs w:val="20"/>
              </w:rPr>
              <w:t>统计抽样调查</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37.31</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37.31</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trHeight w:val="318"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b/>
                <w:sz w:val="20"/>
                <w:szCs w:val="20"/>
              </w:rPr>
              <w:t>208</w:t>
            </w:r>
          </w:p>
        </w:tc>
        <w:tc>
          <w:tcPr>
            <w:tcW w:w="3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b/>
                <w:sz w:val="20"/>
                <w:szCs w:val="20"/>
              </w:rPr>
              <w:t>社会保障和就业支出</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79.76</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79.76</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r>
      <w:tr>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b/>
                <w:sz w:val="20"/>
                <w:szCs w:val="20"/>
              </w:rPr>
              <w:t>20801</w:t>
            </w:r>
          </w:p>
        </w:tc>
        <w:tc>
          <w:tcPr>
            <w:tcW w:w="3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b/>
                <w:sz w:val="20"/>
                <w:szCs w:val="20"/>
              </w:rPr>
              <w:t>人力资源和社会保障管理事务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0.04</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0.04</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r>
      <w:tr>
        <w:tblPrEx>
          <w:tblCellMar>
            <w:top w:w="0" w:type="dxa"/>
            <w:left w:w="0" w:type="dxa"/>
            <w:bottom w:w="0" w:type="dxa"/>
            <w:right w:w="0" w:type="dxa"/>
          </w:tblCellMar>
        </w:tblPrEx>
        <w:trPr>
          <w:trHeight w:val="258"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sz w:val="20"/>
                <w:szCs w:val="20"/>
              </w:rPr>
              <w:t>2080102</w:t>
            </w:r>
          </w:p>
        </w:tc>
        <w:tc>
          <w:tcPr>
            <w:tcW w:w="3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sz w:val="20"/>
                <w:szCs w:val="20"/>
              </w:rPr>
              <w:t>一般行政管理事务</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0.04</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0.04</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b/>
                <w:sz w:val="20"/>
                <w:szCs w:val="20"/>
              </w:rPr>
              <w:t>20805</w:t>
            </w:r>
          </w:p>
        </w:tc>
        <w:tc>
          <w:tcPr>
            <w:tcW w:w="3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b/>
                <w:sz w:val="20"/>
                <w:szCs w:val="20"/>
              </w:rPr>
              <w:t>行政事业单位养老支出</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79.73</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79.73</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r>
      <w:tr>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sz w:val="20"/>
                <w:szCs w:val="20"/>
              </w:rPr>
              <w:t>2080505</w:t>
            </w:r>
          </w:p>
        </w:tc>
        <w:tc>
          <w:tcPr>
            <w:tcW w:w="3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sz w:val="20"/>
                <w:szCs w:val="20"/>
              </w:rPr>
              <w:t>机关事业单位基本养老保险缴费支出</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30.96</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30.96</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trHeight w:val="318"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sz w:val="20"/>
                <w:szCs w:val="20"/>
              </w:rPr>
              <w:t>2080506</w:t>
            </w:r>
          </w:p>
        </w:tc>
        <w:tc>
          <w:tcPr>
            <w:tcW w:w="3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sz w:val="20"/>
                <w:szCs w:val="20"/>
              </w:rPr>
              <w:t>机关事业单位职业年金缴费支出</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14.63</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14.63</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trHeight w:val="288"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sz w:val="20"/>
                <w:szCs w:val="20"/>
              </w:rPr>
              <w:t>2080599</w:t>
            </w:r>
          </w:p>
        </w:tc>
        <w:tc>
          <w:tcPr>
            <w:tcW w:w="3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sz w:val="20"/>
                <w:szCs w:val="20"/>
              </w:rPr>
              <w:t>其他行政事业单位养老支出</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34.14</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34.14</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trHeight w:val="243"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b/>
                <w:sz w:val="20"/>
                <w:szCs w:val="20"/>
              </w:rPr>
              <w:t>210</w:t>
            </w:r>
          </w:p>
        </w:tc>
        <w:tc>
          <w:tcPr>
            <w:tcW w:w="3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b/>
                <w:sz w:val="20"/>
                <w:szCs w:val="20"/>
              </w:rPr>
              <w:t>卫生健康支出</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18.64</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18.64</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r>
      <w:tr>
        <w:tblPrEx>
          <w:tblCellMar>
            <w:top w:w="0" w:type="dxa"/>
            <w:left w:w="0" w:type="dxa"/>
            <w:bottom w:w="0" w:type="dxa"/>
            <w:right w:w="0" w:type="dxa"/>
          </w:tblCellMar>
        </w:tblPrEx>
        <w:trPr>
          <w:trHeight w:val="213"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b/>
                <w:sz w:val="20"/>
                <w:szCs w:val="20"/>
              </w:rPr>
              <w:t>21011</w:t>
            </w:r>
          </w:p>
        </w:tc>
        <w:tc>
          <w:tcPr>
            <w:tcW w:w="3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b/>
                <w:sz w:val="20"/>
                <w:szCs w:val="20"/>
              </w:rPr>
              <w:t>行政事业单位医疗</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18.64</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18.64</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r>
      <w:tr>
        <w:tblPrEx>
          <w:tblCellMar>
            <w:top w:w="0" w:type="dxa"/>
            <w:left w:w="0" w:type="dxa"/>
            <w:bottom w:w="0" w:type="dxa"/>
            <w:right w:w="0" w:type="dxa"/>
          </w:tblCellMar>
        </w:tblPrEx>
        <w:trPr>
          <w:trHeight w:val="258"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sz w:val="20"/>
                <w:szCs w:val="20"/>
              </w:rPr>
              <w:t>2101101</w:t>
            </w:r>
          </w:p>
        </w:tc>
        <w:tc>
          <w:tcPr>
            <w:tcW w:w="3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sz w:val="20"/>
                <w:szCs w:val="20"/>
              </w:rPr>
              <w:t>行政单位医疗</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18.64</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18.64</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trHeight w:val="273"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b/>
                <w:sz w:val="20"/>
                <w:szCs w:val="20"/>
              </w:rPr>
              <w:t>221</w:t>
            </w:r>
          </w:p>
        </w:tc>
        <w:tc>
          <w:tcPr>
            <w:tcW w:w="3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b/>
                <w:sz w:val="20"/>
                <w:szCs w:val="20"/>
              </w:rPr>
              <w:t>住房保障支出</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22.52</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22.52</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r>
      <w:tr>
        <w:tblPrEx>
          <w:tblCellMar>
            <w:top w:w="0" w:type="dxa"/>
            <w:left w:w="0" w:type="dxa"/>
            <w:bottom w:w="0" w:type="dxa"/>
            <w:right w:w="0" w:type="dxa"/>
          </w:tblCellMar>
        </w:tblPrEx>
        <w:trPr>
          <w:trHeight w:val="273"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b/>
                <w:sz w:val="20"/>
                <w:szCs w:val="20"/>
              </w:rPr>
              <w:t>22102</w:t>
            </w:r>
          </w:p>
        </w:tc>
        <w:tc>
          <w:tcPr>
            <w:tcW w:w="3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b/>
                <w:sz w:val="20"/>
                <w:szCs w:val="20"/>
              </w:rPr>
              <w:t>住房改革支出</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right"/>
              <w:textAlignment w:val="center"/>
              <w:rPr>
                <w:rFonts w:hint="default" w:ascii="Times New Roman" w:hAnsi="Times New Roman"/>
                <w:sz w:val="20"/>
                <w:szCs w:val="20"/>
              </w:rPr>
            </w:pPr>
            <w:r>
              <w:rPr>
                <w:rFonts w:hint="default" w:ascii="Times New Roman" w:hAnsi="Times New Roman"/>
                <w:b/>
                <w:sz w:val="20"/>
                <w:szCs w:val="20"/>
              </w:rPr>
              <w:t>22.52</w:t>
            </w:r>
            <w:r>
              <w:rPr>
                <w:rFonts w:ascii="Times New Roman" w:hAnsi="Times New Roman"/>
                <w:b/>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right"/>
              <w:textAlignment w:val="center"/>
              <w:rPr>
                <w:rFonts w:hint="default" w:ascii="Times New Roman" w:hAnsi="Times New Roman"/>
                <w:sz w:val="20"/>
                <w:szCs w:val="20"/>
              </w:rPr>
            </w:pPr>
            <w:r>
              <w:rPr>
                <w:rFonts w:hint="default" w:ascii="Times New Roman" w:hAnsi="Times New Roman"/>
                <w:b/>
                <w:sz w:val="20"/>
                <w:szCs w:val="20"/>
              </w:rPr>
              <w:t>22.52</w:t>
            </w:r>
            <w:r>
              <w:rPr>
                <w:rFonts w:ascii="Times New Roman" w:hAnsi="Times New Roman"/>
                <w:b/>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208"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sz w:val="20"/>
                <w:szCs w:val="20"/>
              </w:rPr>
              <w:t>2210201</w:t>
            </w:r>
          </w:p>
        </w:tc>
        <w:tc>
          <w:tcPr>
            <w:tcW w:w="3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napToGrid w:val="0"/>
              <w:textAlignment w:val="center"/>
              <w:rPr>
                <w:rFonts w:hint="default" w:cs="宋体"/>
                <w:sz w:val="20"/>
                <w:szCs w:val="20"/>
              </w:rPr>
            </w:pPr>
            <w:r>
              <w:rPr>
                <w:rFonts w:cs="宋体"/>
                <w:sz w:val="20"/>
                <w:szCs w:val="20"/>
              </w:rPr>
              <w:t>住房公积金</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right"/>
              <w:textAlignment w:val="center"/>
              <w:rPr>
                <w:rFonts w:hint="default" w:ascii="Times New Roman" w:hAnsi="Times New Roman"/>
                <w:sz w:val="20"/>
                <w:szCs w:val="20"/>
              </w:rPr>
            </w:pPr>
            <w:r>
              <w:rPr>
                <w:rFonts w:hint="default" w:ascii="Times New Roman" w:hAnsi="Times New Roman"/>
                <w:sz w:val="20"/>
                <w:szCs w:val="20"/>
              </w:rPr>
              <w:t>22.52</w:t>
            </w:r>
            <w:r>
              <w:rPr>
                <w:rFonts w:ascii="Times New Roman" w:hAnsi="Times New Roman"/>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right"/>
              <w:textAlignment w:val="center"/>
              <w:rPr>
                <w:rFonts w:hint="default" w:ascii="Times New Roman" w:hAnsi="Times New Roman"/>
                <w:sz w:val="20"/>
                <w:szCs w:val="20"/>
              </w:rPr>
            </w:pPr>
            <w:r>
              <w:rPr>
                <w:rFonts w:hint="default" w:ascii="Times New Roman" w:hAnsi="Times New Roman"/>
                <w:sz w:val="20"/>
                <w:szCs w:val="20"/>
              </w:rPr>
              <w:t>22.52</w:t>
            </w:r>
            <w:r>
              <w:rPr>
                <w:rFonts w:ascii="Times New Roman" w:hAnsi="Times New Roman"/>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napToGrid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snapToGrid w:val="0"/>
        <w:ind w:left="600" w:hanging="600" w:hangingChars="300"/>
        <w:rPr>
          <w:rFonts w:hint="default" w:cs="宋体"/>
          <w:sz w:val="10"/>
          <w:szCs w:val="1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10"/>
          <w:szCs w:val="10"/>
        </w:rPr>
        <w:br w:type="textWrapping"/>
      </w:r>
    </w:p>
    <w:p>
      <w:pPr>
        <w:rPr>
          <w:rFonts w:hint="default" w:cs="宋体"/>
          <w:sz w:val="20"/>
          <w:szCs w:val="20"/>
        </w:rPr>
      </w:pPr>
    </w:p>
    <w:tbl>
      <w:tblPr>
        <w:tblStyle w:val="7"/>
        <w:tblW w:w="14425" w:type="dxa"/>
        <w:jc w:val="center"/>
        <w:tblLayout w:type="fixed"/>
        <w:tblCellMar>
          <w:top w:w="0" w:type="dxa"/>
          <w:left w:w="0" w:type="dxa"/>
          <w:bottom w:w="0" w:type="dxa"/>
          <w:right w:w="0" w:type="dxa"/>
        </w:tblCellMar>
      </w:tblPr>
      <w:tblGrid>
        <w:gridCol w:w="1637"/>
        <w:gridCol w:w="3543"/>
        <w:gridCol w:w="1535"/>
        <w:gridCol w:w="1185"/>
        <w:gridCol w:w="1215"/>
        <w:gridCol w:w="1560"/>
        <w:gridCol w:w="1320"/>
        <w:gridCol w:w="2430"/>
      </w:tblGrid>
      <w:tr>
        <w:tblPrEx>
          <w:tblCellMar>
            <w:top w:w="0" w:type="dxa"/>
            <w:left w:w="0" w:type="dxa"/>
            <w:bottom w:w="0" w:type="dxa"/>
            <w:right w:w="0" w:type="dxa"/>
          </w:tblCellMar>
        </w:tblPrEx>
        <w:trPr>
          <w:trHeight w:val="354" w:hRule="atLeast"/>
          <w:jc w:val="center"/>
        </w:trPr>
        <w:tc>
          <w:tcPr>
            <w:tcW w:w="14425"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CellMar>
            <w:top w:w="0" w:type="dxa"/>
            <w:left w:w="0" w:type="dxa"/>
            <w:bottom w:w="0" w:type="dxa"/>
            <w:right w:w="0" w:type="dxa"/>
          </w:tblCellMar>
        </w:tblPrEx>
        <w:trPr>
          <w:trHeight w:val="342" w:hRule="atLeast"/>
          <w:jc w:val="center"/>
        </w:trPr>
        <w:tc>
          <w:tcPr>
            <w:tcW w:w="671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垫江县统计局（本级） </w:t>
            </w:r>
          </w:p>
        </w:tc>
        <w:tc>
          <w:tcPr>
            <w:tcW w:w="1185"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215"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560"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243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CellMar>
            <w:top w:w="0" w:type="dxa"/>
            <w:left w:w="0" w:type="dxa"/>
            <w:bottom w:w="0" w:type="dxa"/>
            <w:right w:w="0" w:type="dxa"/>
          </w:tblCellMar>
        </w:tblPrEx>
        <w:trPr>
          <w:trHeight w:val="342" w:hRule="atLeast"/>
          <w:jc w:val="center"/>
        </w:trPr>
        <w:tc>
          <w:tcPr>
            <w:tcW w:w="67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185"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215"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560"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243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62" w:hRule="atLeast"/>
          <w:jc w:val="center"/>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val="0"/>
              <w:jc w:val="center"/>
              <w:textAlignment w:val="bottom"/>
              <w:rPr>
                <w:rFonts w:hint="default" w:cs="宋体"/>
                <w:b/>
                <w:sz w:val="20"/>
                <w:szCs w:val="20"/>
              </w:rPr>
            </w:pPr>
            <w:r>
              <w:rPr>
                <w:rFonts w:cs="宋体"/>
                <w:b/>
                <w:sz w:val="20"/>
                <w:szCs w:val="20"/>
              </w:rPr>
              <w:t>项目</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本年支出合计</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基本支出</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项目支出</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上缴上级支出</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经营支出</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对附属单位补助支出</w:t>
            </w:r>
          </w:p>
        </w:tc>
      </w:tr>
      <w:tr>
        <w:tblPrEx>
          <w:tblCellMar>
            <w:top w:w="0" w:type="dxa"/>
            <w:left w:w="0" w:type="dxa"/>
            <w:bottom w:w="0" w:type="dxa"/>
            <w:right w:w="0" w:type="dxa"/>
          </w:tblCellMar>
        </w:tblPrEx>
        <w:trPr>
          <w:trHeight w:val="338" w:hRule="atLeast"/>
          <w:jc w:val="center"/>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功能分类科目编码</w:t>
            </w:r>
          </w:p>
        </w:tc>
        <w:tc>
          <w:tcPr>
            <w:tcW w:w="354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项目（按“项”级功能分类科目）</w:t>
            </w: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r>
      <w:tr>
        <w:tblPrEx>
          <w:tblCellMar>
            <w:top w:w="0" w:type="dxa"/>
            <w:left w:w="0" w:type="dxa"/>
            <w:bottom w:w="0" w:type="dxa"/>
            <w:right w:w="0" w:type="dxa"/>
          </w:tblCellMar>
        </w:tblPrEx>
        <w:trPr>
          <w:trHeight w:val="338"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r>
      <w:tr>
        <w:tblPrEx>
          <w:tblCellMar>
            <w:top w:w="0" w:type="dxa"/>
            <w:left w:w="0" w:type="dxa"/>
            <w:bottom w:w="0" w:type="dxa"/>
            <w:right w:w="0" w:type="dxa"/>
          </w:tblCellMar>
        </w:tblPrEx>
        <w:trPr>
          <w:trHeight w:val="338"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13"/>
                <w:szCs w:val="13"/>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widowControl w:val="0"/>
              <w:jc w:val="center"/>
              <w:rPr>
                <w:rFonts w:hint="default" w:cs="宋体"/>
                <w:b/>
                <w:sz w:val="13"/>
                <w:szCs w:val="13"/>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13"/>
                <w:szCs w:val="13"/>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13"/>
                <w:szCs w:val="13"/>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13"/>
                <w:szCs w:val="13"/>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13"/>
                <w:szCs w:val="13"/>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13"/>
                <w:szCs w:val="13"/>
              </w:rPr>
            </w:pP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13"/>
                <w:szCs w:val="13"/>
              </w:rPr>
            </w:pPr>
          </w:p>
        </w:tc>
      </w:tr>
      <w:tr>
        <w:tblPrEx>
          <w:tblCellMar>
            <w:top w:w="0" w:type="dxa"/>
            <w:left w:w="0" w:type="dxa"/>
            <w:bottom w:w="0" w:type="dxa"/>
            <w:right w:w="0" w:type="dxa"/>
          </w:tblCellMar>
        </w:tblPrEx>
        <w:trPr>
          <w:trHeight w:val="326"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13"/>
                <w:szCs w:val="13"/>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sz w:val="13"/>
                <w:szCs w:val="13"/>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13"/>
                <w:szCs w:val="13"/>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13"/>
                <w:szCs w:val="13"/>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13"/>
                <w:szCs w:val="13"/>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13"/>
                <w:szCs w:val="13"/>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13"/>
                <w:szCs w:val="13"/>
              </w:rPr>
            </w:pP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13"/>
                <w:szCs w:val="13"/>
              </w:rPr>
            </w:pPr>
          </w:p>
        </w:tc>
      </w:tr>
      <w:tr>
        <w:tblPrEx>
          <w:tblCellMar>
            <w:top w:w="0" w:type="dxa"/>
            <w:left w:w="0" w:type="dxa"/>
            <w:bottom w:w="0" w:type="dxa"/>
            <w:right w:w="0" w:type="dxa"/>
          </w:tblCellMar>
        </w:tblPrEx>
        <w:trPr>
          <w:trHeight w:val="197" w:hRule="atLeast"/>
          <w:jc w:val="center"/>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cs="宋体"/>
                <w:b/>
                <w:sz w:val="20"/>
                <w:szCs w:val="20"/>
              </w:rPr>
            </w:pPr>
            <w:r>
              <w:rPr>
                <w:rFonts w:cs="宋体"/>
                <w:b/>
                <w:sz w:val="20"/>
                <w:szCs w:val="20"/>
              </w:rPr>
              <w:t>合计</w:t>
            </w:r>
          </w:p>
        </w:tc>
        <w:tc>
          <w:tcPr>
            <w:tcW w:w="15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b/>
                <w:sz w:val="20"/>
                <w:szCs w:val="20"/>
              </w:rPr>
            </w:pPr>
            <w:r>
              <w:rPr>
                <w:rFonts w:hint="default" w:ascii="Times New Roman" w:hAnsi="Times New Roman"/>
                <w:b/>
                <w:bCs/>
                <w:sz w:val="20"/>
                <w:szCs w:val="20"/>
              </w:rPr>
              <w:t>697.85</w:t>
            </w:r>
          </w:p>
        </w:tc>
        <w:tc>
          <w:tcPr>
            <w:tcW w:w="11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b/>
                <w:sz w:val="20"/>
                <w:szCs w:val="20"/>
              </w:rPr>
            </w:pPr>
            <w:r>
              <w:rPr>
                <w:rFonts w:hint="default" w:ascii="Times New Roman" w:hAnsi="Times New Roman"/>
                <w:b/>
                <w:bCs/>
                <w:sz w:val="20"/>
                <w:szCs w:val="20"/>
              </w:rPr>
              <w:t>378.02</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b/>
                <w:sz w:val="20"/>
                <w:szCs w:val="20"/>
              </w:rPr>
            </w:pPr>
            <w:r>
              <w:rPr>
                <w:rFonts w:hint="default" w:ascii="Times New Roman" w:hAnsi="Times New Roman"/>
                <w:b/>
                <w:bCs/>
                <w:sz w:val="20"/>
                <w:szCs w:val="20"/>
              </w:rPr>
              <w:t>319.83</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b/>
                <w:sz w:val="20"/>
                <w:szCs w:val="20"/>
              </w:rPr>
            </w:pPr>
            <w:r>
              <w:rPr>
                <w:rFonts w:hint="default" w:ascii="Times New Roman" w:hAnsi="Times New Roman"/>
                <w:b/>
                <w:bCs/>
                <w:sz w:val="20"/>
                <w:szCs w:val="20"/>
              </w:rPr>
              <w:t>0.00</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b/>
                <w:sz w:val="20"/>
                <w:szCs w:val="20"/>
              </w:rPr>
            </w:pPr>
            <w:r>
              <w:rPr>
                <w:rFonts w:hint="default" w:ascii="Times New Roman" w:hAnsi="Times New Roman"/>
                <w:b/>
                <w:bCs/>
                <w:sz w:val="20"/>
                <w:szCs w:val="20"/>
              </w:rPr>
              <w:t>0.00</w:t>
            </w:r>
          </w:p>
        </w:tc>
        <w:tc>
          <w:tcPr>
            <w:tcW w:w="2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b/>
                <w:sz w:val="20"/>
                <w:szCs w:val="20"/>
              </w:rPr>
            </w:pPr>
            <w:r>
              <w:rPr>
                <w:rFonts w:hint="default" w:ascii="Times New Roman" w:hAnsi="Times New Roman"/>
                <w:b/>
                <w:bCs/>
                <w:sz w:val="20"/>
                <w:szCs w:val="20"/>
              </w:rPr>
              <w:t>0.00</w:t>
            </w:r>
          </w:p>
        </w:tc>
      </w:tr>
      <w:tr>
        <w:tblPrEx>
          <w:tblCellMar>
            <w:top w:w="0" w:type="dxa"/>
            <w:left w:w="0" w:type="dxa"/>
            <w:bottom w:w="0" w:type="dxa"/>
            <w:right w:w="0" w:type="dxa"/>
          </w:tblCellMar>
        </w:tblPrEx>
        <w:trPr>
          <w:trHeight w:val="217"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b/>
                <w:sz w:val="20"/>
                <w:szCs w:val="20"/>
              </w:rPr>
              <w:t>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b/>
                <w:sz w:val="20"/>
                <w:szCs w:val="20"/>
              </w:rPr>
              <w:t>一般公共服务支出</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576.94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257.14</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319.80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r>
      <w:tr>
        <w:tblPrEx>
          <w:tblCellMar>
            <w:top w:w="0" w:type="dxa"/>
            <w:left w:w="0" w:type="dxa"/>
            <w:bottom w:w="0" w:type="dxa"/>
            <w:right w:w="0" w:type="dxa"/>
          </w:tblCellMar>
        </w:tblPrEx>
        <w:trPr>
          <w:trHeight w:val="232"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b/>
                <w:sz w:val="20"/>
                <w:szCs w:val="20"/>
              </w:rPr>
              <w:t>20105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b/>
                <w:sz w:val="20"/>
                <w:szCs w:val="20"/>
              </w:rPr>
              <w:t>统计信息事务</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576.94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257.14</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319.80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r>
      <w:tr>
        <w:tblPrEx>
          <w:tblCellMar>
            <w:top w:w="0" w:type="dxa"/>
            <w:left w:w="0" w:type="dxa"/>
            <w:bottom w:w="0" w:type="dxa"/>
            <w:right w:w="0" w:type="dxa"/>
          </w:tblCellMar>
        </w:tblPrEx>
        <w:trPr>
          <w:trHeight w:val="236"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sz w:val="20"/>
                <w:szCs w:val="20"/>
              </w:rPr>
              <w:t>2010501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sz w:val="20"/>
                <w:szCs w:val="20"/>
              </w:rPr>
              <w:t>行政运行</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257.14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257.14</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trHeight w:val="191"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sz w:val="20"/>
                <w:szCs w:val="20"/>
              </w:rPr>
              <w:t>2010505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sz w:val="20"/>
                <w:szCs w:val="20"/>
              </w:rPr>
              <w:t>专项统计业务</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148.76</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148.76</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trHeight w:val="206"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sz w:val="20"/>
                <w:szCs w:val="20"/>
              </w:rPr>
              <w:t>2010506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sz w:val="20"/>
                <w:szCs w:val="20"/>
              </w:rPr>
              <w:t>统计管理</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2.00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2.00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trHeight w:val="202"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sz w:val="20"/>
                <w:szCs w:val="20"/>
              </w:rPr>
              <w:t>2010507</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sz w:val="20"/>
                <w:szCs w:val="20"/>
              </w:rPr>
              <w:t>专项普查活动</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131.72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131.72</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trHeight w:val="161"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sz w:val="20"/>
                <w:szCs w:val="20"/>
              </w:rPr>
              <w:t>2010508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sz w:val="20"/>
                <w:szCs w:val="20"/>
              </w:rPr>
              <w:t>统计抽样调查</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37.31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37.31</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trHeight w:val="172"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b/>
                <w:sz w:val="20"/>
                <w:szCs w:val="20"/>
              </w:rPr>
              <w:t>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b/>
                <w:sz w:val="20"/>
                <w:szCs w:val="20"/>
              </w:rPr>
              <w:t>社会保障和就业支出</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79.76</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79.73</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0.04</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r>
      <w:tr>
        <w:tblPrEx>
          <w:tblCellMar>
            <w:top w:w="0" w:type="dxa"/>
            <w:left w:w="0" w:type="dxa"/>
            <w:bottom w:w="0" w:type="dxa"/>
            <w:right w:w="0" w:type="dxa"/>
          </w:tblCellMar>
        </w:tblPrEx>
        <w:trPr>
          <w:trHeight w:val="292"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b/>
                <w:sz w:val="20"/>
                <w:szCs w:val="20"/>
              </w:rPr>
              <w:t>20801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b/>
                <w:sz w:val="20"/>
                <w:szCs w:val="20"/>
              </w:rPr>
              <w:t>人力资源和社会保障管理事务</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0.04</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r>
      <w:tr>
        <w:tblPrEx>
          <w:tblCellMar>
            <w:top w:w="0" w:type="dxa"/>
            <w:left w:w="0" w:type="dxa"/>
            <w:bottom w:w="0" w:type="dxa"/>
            <w:right w:w="0" w:type="dxa"/>
          </w:tblCellMar>
        </w:tblPrEx>
        <w:trPr>
          <w:trHeight w:val="236"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sz w:val="20"/>
                <w:szCs w:val="20"/>
              </w:rPr>
              <w:t>2080102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sz w:val="20"/>
                <w:szCs w:val="20"/>
              </w:rPr>
              <w:t>一般行政管理事务</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0.04</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trHeight w:val="176"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b/>
                <w:sz w:val="20"/>
                <w:szCs w:val="20"/>
              </w:rPr>
              <w:t>20805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b/>
                <w:sz w:val="20"/>
                <w:szCs w:val="20"/>
              </w:rPr>
              <w:t>行政事业单位养老支出</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79.73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79.73</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r>
      <w:tr>
        <w:tblPrEx>
          <w:tblCellMar>
            <w:top w:w="0" w:type="dxa"/>
            <w:left w:w="0" w:type="dxa"/>
            <w:bottom w:w="0" w:type="dxa"/>
            <w:right w:w="0" w:type="dxa"/>
          </w:tblCellMar>
        </w:tblPrEx>
        <w:trPr>
          <w:trHeight w:val="202"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sz w:val="20"/>
                <w:szCs w:val="20"/>
              </w:rPr>
              <w:t>2080505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sz w:val="20"/>
                <w:szCs w:val="20"/>
              </w:rPr>
              <w:t>机关事业单位基本养老保险缴费支出</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30.96</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30.96</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trHeight w:val="247"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sz w:val="20"/>
                <w:szCs w:val="20"/>
              </w:rPr>
              <w:t>2080506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sz w:val="20"/>
                <w:szCs w:val="20"/>
              </w:rPr>
              <w:t>机关事业单位职业年金缴费支出</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14.63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14.63</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trHeight w:val="232"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sz w:val="20"/>
                <w:szCs w:val="20"/>
              </w:rPr>
              <w:t>2080599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sz w:val="20"/>
                <w:szCs w:val="20"/>
              </w:rPr>
              <w:t>其他行政事业单位养老支出</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34.14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34.14</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trHeight w:val="146"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b/>
                <w:sz w:val="20"/>
                <w:szCs w:val="20"/>
              </w:rPr>
              <w:t>210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b/>
                <w:sz w:val="20"/>
                <w:szCs w:val="20"/>
              </w:rPr>
              <w:t>卫生健康支出</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18.64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18.64</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r>
      <w:tr>
        <w:tblPrEx>
          <w:tblCellMar>
            <w:top w:w="0" w:type="dxa"/>
            <w:left w:w="0" w:type="dxa"/>
            <w:bottom w:w="0" w:type="dxa"/>
            <w:right w:w="0" w:type="dxa"/>
          </w:tblCellMar>
        </w:tblPrEx>
        <w:trPr>
          <w:trHeight w:val="90"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b/>
                <w:sz w:val="20"/>
                <w:szCs w:val="20"/>
              </w:rPr>
              <w:t>21011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b/>
                <w:sz w:val="20"/>
                <w:szCs w:val="20"/>
              </w:rPr>
              <w:t>行政事业单位医疗</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18.64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18.64</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r>
      <w:tr>
        <w:tblPrEx>
          <w:tblCellMar>
            <w:top w:w="0" w:type="dxa"/>
            <w:left w:w="0" w:type="dxa"/>
            <w:bottom w:w="0" w:type="dxa"/>
            <w:right w:w="0" w:type="dxa"/>
          </w:tblCellMar>
        </w:tblPrEx>
        <w:trPr>
          <w:trHeight w:val="191"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sz w:val="20"/>
                <w:szCs w:val="20"/>
              </w:rPr>
              <w:t>2101101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sz w:val="20"/>
                <w:szCs w:val="20"/>
              </w:rPr>
              <w:t>行政单位医疗</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18.64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18.64</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trHeight w:val="232"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b/>
                <w:sz w:val="20"/>
                <w:szCs w:val="20"/>
              </w:rPr>
              <w:t>221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b/>
                <w:sz w:val="20"/>
                <w:szCs w:val="20"/>
              </w:rPr>
              <w:t>住房保障支出</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22.52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22.52</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r>
      <w:tr>
        <w:tblPrEx>
          <w:tblCellMar>
            <w:top w:w="0" w:type="dxa"/>
            <w:left w:w="0" w:type="dxa"/>
            <w:bottom w:w="0" w:type="dxa"/>
            <w:right w:w="0" w:type="dxa"/>
          </w:tblCellMar>
        </w:tblPrEx>
        <w:trPr>
          <w:trHeight w:val="262"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b/>
                <w:sz w:val="20"/>
                <w:szCs w:val="20"/>
              </w:rPr>
              <w:t>22102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b/>
                <w:sz w:val="20"/>
                <w:szCs w:val="20"/>
              </w:rPr>
              <w:t>住房改革支出</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22.52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22.52</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center"/>
              <w:textAlignment w:val="center"/>
              <w:rPr>
                <w:rFonts w:hint="default" w:ascii="Times New Roman" w:hAnsi="Times New Roman"/>
                <w:sz w:val="20"/>
                <w:szCs w:val="20"/>
              </w:rPr>
            </w:pPr>
            <w:r>
              <w:rPr>
                <w:rFonts w:hint="default" w:ascii="Times New Roman" w:hAnsi="Times New Roman"/>
                <w:b/>
                <w:sz w:val="20"/>
                <w:szCs w:val="20"/>
              </w:rPr>
              <w:t>0.00</w:t>
            </w:r>
          </w:p>
        </w:tc>
      </w:tr>
      <w:tr>
        <w:tblPrEx>
          <w:tblCellMar>
            <w:top w:w="0" w:type="dxa"/>
            <w:left w:w="0" w:type="dxa"/>
            <w:bottom w:w="0" w:type="dxa"/>
            <w:right w:w="0" w:type="dxa"/>
          </w:tblCellMar>
        </w:tblPrEx>
        <w:trPr>
          <w:trHeight w:val="197"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sz w:val="20"/>
                <w:szCs w:val="20"/>
              </w:rPr>
              <w:t>2210201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textAlignment w:val="center"/>
              <w:rPr>
                <w:rFonts w:hint="default" w:cs="宋体"/>
                <w:sz w:val="20"/>
                <w:szCs w:val="20"/>
              </w:rPr>
            </w:pPr>
            <w:r>
              <w:rPr>
                <w:rFonts w:cs="宋体"/>
                <w:sz w:val="20"/>
                <w:szCs w:val="20"/>
              </w:rPr>
              <w:t>住房公积金</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sz w:val="20"/>
                <w:szCs w:val="20"/>
              </w:rPr>
            </w:pPr>
            <w:r>
              <w:rPr>
                <w:rFonts w:hint="default" w:ascii="Times New Roman" w:hAnsi="Times New Roman"/>
                <w:sz w:val="20"/>
                <w:szCs w:val="20"/>
              </w:rPr>
              <w:t>22.52</w:t>
            </w:r>
            <w:r>
              <w:rPr>
                <w:rFonts w:ascii="Times New Roman" w:hAnsi="Times New Roman"/>
                <w:sz w:val="20"/>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sz w:val="20"/>
                <w:szCs w:val="20"/>
              </w:rPr>
            </w:pPr>
            <w:r>
              <w:rPr>
                <w:rFonts w:hint="default" w:ascii="Times New Roman" w:hAnsi="Times New Roman"/>
                <w:sz w:val="20"/>
                <w:szCs w:val="20"/>
              </w:rPr>
              <w:t>22.52</w:t>
            </w:r>
            <w:r>
              <w:rPr>
                <w:rFonts w:ascii="Times New Roman" w:hAnsi="Times New Roman"/>
                <w:sz w:val="20"/>
              </w:rPr>
              <w:t xml:space="preserve">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napToGrid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p>
      <w:pPr>
        <w:rPr>
          <w:rFonts w:hint="default" w:cs="宋体"/>
          <w:sz w:val="21"/>
          <w:szCs w:val="21"/>
        </w:rPr>
      </w:pPr>
    </w:p>
    <w:tbl>
      <w:tblPr>
        <w:tblStyle w:val="7"/>
        <w:tblW w:w="15320" w:type="dxa"/>
        <w:tblInd w:w="0" w:type="dxa"/>
        <w:tblLayout w:type="fixed"/>
        <w:tblCellMar>
          <w:top w:w="0" w:type="dxa"/>
          <w:left w:w="0" w:type="dxa"/>
          <w:bottom w:w="0" w:type="dxa"/>
          <w:right w:w="0" w:type="dxa"/>
        </w:tblCellMar>
      </w:tblPr>
      <w:tblGrid>
        <w:gridCol w:w="3097"/>
        <w:gridCol w:w="1587"/>
        <w:gridCol w:w="3319"/>
        <w:gridCol w:w="1767"/>
        <w:gridCol w:w="1767"/>
        <w:gridCol w:w="1767"/>
        <w:gridCol w:w="2016"/>
      </w:tblGrid>
      <w:tr>
        <w:tblPrEx>
          <w:tblCellMar>
            <w:top w:w="0" w:type="dxa"/>
            <w:left w:w="0" w:type="dxa"/>
            <w:bottom w:w="0" w:type="dxa"/>
            <w:right w:w="0" w:type="dxa"/>
          </w:tblCellMar>
        </w:tblPrEx>
        <w:trPr>
          <w:trHeight w:val="413" w:hRule="atLeast"/>
        </w:trPr>
        <w:tc>
          <w:tcPr>
            <w:tcW w:w="15320"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CellMar>
            <w:top w:w="0" w:type="dxa"/>
            <w:left w:w="0" w:type="dxa"/>
            <w:bottom w:w="0" w:type="dxa"/>
            <w:right w:w="0" w:type="dxa"/>
          </w:tblCellMar>
        </w:tblPrEx>
        <w:trPr>
          <w:trHeight w:val="254" w:hRule="atLeast"/>
        </w:trPr>
        <w:tc>
          <w:tcPr>
            <w:tcW w:w="8003"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垫江县统计局（本级）</w:t>
            </w:r>
          </w:p>
        </w:tc>
        <w:tc>
          <w:tcPr>
            <w:tcW w:w="176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76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76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2016"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CellMar>
            <w:top w:w="0" w:type="dxa"/>
            <w:left w:w="0" w:type="dxa"/>
            <w:bottom w:w="0" w:type="dxa"/>
            <w:right w:w="0" w:type="dxa"/>
          </w:tblCellMar>
        </w:tblPrEx>
        <w:trPr>
          <w:trHeight w:val="294" w:hRule="atLeast"/>
        </w:trPr>
        <w:tc>
          <w:tcPr>
            <w:tcW w:w="8003"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76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76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76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2016"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224" w:hRule="atLeast"/>
        </w:trPr>
        <w:tc>
          <w:tcPr>
            <w:tcW w:w="4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Cs/>
                <w:sz w:val="18"/>
                <w:szCs w:val="18"/>
              </w:rPr>
            </w:pPr>
            <w:r>
              <w:rPr>
                <w:rFonts w:cs="宋体"/>
                <w:bCs/>
                <w:sz w:val="18"/>
                <w:szCs w:val="18"/>
              </w:rPr>
              <w:t>收     入</w:t>
            </w:r>
          </w:p>
        </w:tc>
        <w:tc>
          <w:tcPr>
            <w:tcW w:w="1063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Cs/>
                <w:sz w:val="18"/>
                <w:szCs w:val="18"/>
              </w:rPr>
            </w:pPr>
            <w:r>
              <w:rPr>
                <w:rFonts w:cs="宋体"/>
                <w:bCs/>
                <w:sz w:val="18"/>
                <w:szCs w:val="18"/>
              </w:rPr>
              <w:t>支     出</w:t>
            </w:r>
          </w:p>
        </w:tc>
      </w:tr>
      <w:tr>
        <w:tblPrEx>
          <w:tblCellMar>
            <w:top w:w="0" w:type="dxa"/>
            <w:left w:w="0" w:type="dxa"/>
            <w:bottom w:w="0" w:type="dxa"/>
            <w:right w:w="0" w:type="dxa"/>
          </w:tblCellMar>
        </w:tblPrEx>
        <w:trPr>
          <w:trHeight w:val="224" w:hRule="atLeast"/>
        </w:trPr>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Cs/>
                <w:sz w:val="18"/>
                <w:szCs w:val="18"/>
              </w:rPr>
            </w:pPr>
            <w:r>
              <w:rPr>
                <w:rFonts w:cs="宋体"/>
                <w:bCs/>
                <w:sz w:val="18"/>
                <w:szCs w:val="18"/>
              </w:rPr>
              <w:t>项目</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Cs/>
                <w:sz w:val="18"/>
                <w:szCs w:val="18"/>
              </w:rPr>
            </w:pPr>
            <w:r>
              <w:rPr>
                <w:rFonts w:cs="宋体"/>
                <w:bCs/>
                <w:sz w:val="18"/>
                <w:szCs w:val="18"/>
              </w:rPr>
              <w:t>决算数</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Cs/>
                <w:sz w:val="18"/>
                <w:szCs w:val="18"/>
              </w:rPr>
            </w:pPr>
            <w:r>
              <w:rPr>
                <w:rFonts w:cs="宋体"/>
                <w:bCs/>
                <w:sz w:val="18"/>
                <w:szCs w:val="18"/>
              </w:rPr>
              <w:t>功能分类科目</w:t>
            </w:r>
          </w:p>
        </w:tc>
        <w:tc>
          <w:tcPr>
            <w:tcW w:w="7317"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Cs/>
                <w:sz w:val="18"/>
                <w:szCs w:val="18"/>
              </w:rPr>
            </w:pPr>
            <w:r>
              <w:rPr>
                <w:rFonts w:cs="宋体"/>
                <w:bCs/>
                <w:sz w:val="18"/>
                <w:szCs w:val="18"/>
              </w:rPr>
              <w:t>决算数</w:t>
            </w:r>
          </w:p>
        </w:tc>
      </w:tr>
      <w:tr>
        <w:tblPrEx>
          <w:tblCellMar>
            <w:top w:w="0" w:type="dxa"/>
            <w:left w:w="0" w:type="dxa"/>
            <w:bottom w:w="0" w:type="dxa"/>
            <w:right w:w="0" w:type="dxa"/>
          </w:tblCellMar>
        </w:tblPrEx>
        <w:trPr>
          <w:trHeight w:val="423" w:hRule="atLeast"/>
        </w:trPr>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Cs/>
                <w:sz w:val="18"/>
                <w:szCs w:val="18"/>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Cs/>
                <w:sz w:val="18"/>
                <w:szCs w:val="18"/>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Cs/>
                <w:sz w:val="18"/>
                <w:szCs w:val="18"/>
              </w:rPr>
            </w:pPr>
            <w:r>
              <w:rPr>
                <w:rFonts w:cs="宋体"/>
                <w:bCs/>
                <w:sz w:val="18"/>
                <w:szCs w:val="18"/>
              </w:rPr>
              <w:t>小计</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Cs/>
                <w:sz w:val="18"/>
                <w:szCs w:val="18"/>
              </w:rPr>
            </w:pPr>
            <w:r>
              <w:rPr>
                <w:rFonts w:cs="宋体"/>
                <w:bCs/>
                <w:sz w:val="18"/>
                <w:szCs w:val="18"/>
              </w:rPr>
              <w:t>一般公共预算财政拨款</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Cs/>
                <w:sz w:val="18"/>
                <w:szCs w:val="18"/>
              </w:rPr>
            </w:pPr>
            <w:r>
              <w:rPr>
                <w:rFonts w:cs="宋体"/>
                <w:bCs/>
                <w:sz w:val="18"/>
                <w:szCs w:val="18"/>
              </w:rPr>
              <w:t>政府性基金预算财政拨款</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一、一般公共预算财政拨款</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r>
              <w:rPr>
                <w:rFonts w:hint="default" w:ascii="Times New Roman" w:hAnsi="Times New Roman"/>
                <w:bCs/>
                <w:sz w:val="18"/>
                <w:szCs w:val="18"/>
              </w:rPr>
              <w:t>697.85</w:t>
            </w: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一、一般公共服务支出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r>
              <w:rPr>
                <w:rFonts w:hint="default" w:ascii="Times New Roman" w:hAnsi="Times New Roman"/>
                <w:bCs/>
                <w:sz w:val="18"/>
                <w:szCs w:val="18"/>
              </w:rPr>
              <w:t>576.94</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r>
              <w:rPr>
                <w:rFonts w:hint="default" w:ascii="Times New Roman" w:hAnsi="Times New Roman"/>
                <w:bCs/>
                <w:sz w:val="18"/>
                <w:szCs w:val="18"/>
              </w:rPr>
              <w:t>576.94</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二、政府性基金预算财政拨款</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二、外交支出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三、国有资本经营预算财政拨款</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三、国防支出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Cs/>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四、公共安全支出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Cs/>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五、教育支出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Cs/>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六、科学技术支出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Cs/>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七、文化旅游体育与传媒支出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Cs/>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八、社会保障和就业支出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r>
              <w:rPr>
                <w:rFonts w:hint="default" w:ascii="Times New Roman" w:hAnsi="Times New Roman"/>
                <w:bCs/>
                <w:sz w:val="18"/>
                <w:szCs w:val="18"/>
              </w:rPr>
              <w:t>79.76</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r>
              <w:rPr>
                <w:rFonts w:hint="default" w:ascii="Times New Roman" w:hAnsi="Times New Roman"/>
                <w:bCs/>
                <w:sz w:val="18"/>
                <w:szCs w:val="18"/>
              </w:rPr>
              <w:t>79.76</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Cs/>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九、卫生健康支出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r>
              <w:rPr>
                <w:rFonts w:hint="default" w:ascii="Times New Roman" w:hAnsi="Times New Roman"/>
                <w:bCs/>
                <w:sz w:val="18"/>
                <w:szCs w:val="18"/>
              </w:rPr>
              <w:t>18.64</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r>
              <w:rPr>
                <w:rFonts w:hint="default" w:ascii="Times New Roman" w:hAnsi="Times New Roman"/>
                <w:bCs/>
                <w:sz w:val="18"/>
                <w:szCs w:val="18"/>
              </w:rPr>
              <w:t>18.64</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Cs/>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十、节能环保支出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Cs/>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十一、城乡社区支出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Cs/>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十二、农林水支出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Cs/>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十三、交通运输支出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Cs/>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十四、资源勘探工业信息等支出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Cs/>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十五、商业服务业等支出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Cs/>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十六、金融支出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Cs/>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十七、援助其他地区支出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Cs/>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十八、自然资源海洋气象等支出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Cs/>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十九、住房保障支出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r>
              <w:rPr>
                <w:rFonts w:hint="default" w:ascii="Times New Roman" w:hAnsi="Times New Roman"/>
                <w:bCs/>
                <w:sz w:val="18"/>
                <w:szCs w:val="18"/>
              </w:rPr>
              <w:t>22.52</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r>
              <w:rPr>
                <w:rFonts w:hint="default" w:ascii="Times New Roman" w:hAnsi="Times New Roman"/>
                <w:bCs/>
                <w:sz w:val="18"/>
                <w:szCs w:val="18"/>
              </w:rPr>
              <w:t>22.52</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Cs/>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二十、粮油物资储备支出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Cs/>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二十一、国有资本经营预算支出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Cs/>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二十二、灾害防治及应急管理支出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Cs/>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二十三、其他支出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Cs/>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二十四、债务还本支出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Cs/>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二十五、债务付息支出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Cs/>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二十六、抗疫特别国债安排的支出</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Cs/>
                <w:sz w:val="18"/>
                <w:szCs w:val="18"/>
              </w:rPr>
            </w:pPr>
            <w:r>
              <w:rPr>
                <w:rFonts w:cs="宋体"/>
                <w:bCs/>
                <w:sz w:val="18"/>
                <w:szCs w:val="18"/>
              </w:rPr>
              <w:t>本年收入合计</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r>
              <w:rPr>
                <w:rFonts w:hint="default" w:ascii="Times New Roman" w:hAnsi="Times New Roman"/>
                <w:bCs/>
                <w:sz w:val="18"/>
                <w:szCs w:val="18"/>
              </w:rPr>
              <w:t>697.85</w:t>
            </w: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Cs/>
                <w:sz w:val="18"/>
                <w:szCs w:val="18"/>
              </w:rPr>
            </w:pPr>
            <w:r>
              <w:rPr>
                <w:rFonts w:cs="宋体"/>
                <w:bCs/>
                <w:sz w:val="18"/>
                <w:szCs w:val="18"/>
              </w:rPr>
              <w:t>本年支出合计</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r>
              <w:rPr>
                <w:rFonts w:hint="default" w:ascii="Times New Roman" w:hAnsi="Times New Roman"/>
                <w:bCs/>
                <w:sz w:val="18"/>
                <w:szCs w:val="18"/>
              </w:rPr>
              <w:t>697.85</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r>
              <w:rPr>
                <w:rFonts w:hint="default" w:ascii="Times New Roman" w:hAnsi="Times New Roman"/>
                <w:bCs/>
                <w:sz w:val="18"/>
                <w:szCs w:val="18"/>
              </w:rPr>
              <w:t>697.85</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年初财政拨款结转和结余</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年末财政拨款结转和结余</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 xml:space="preserve">  一般公共预算财政拨款</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bCs/>
                <w:sz w:val="18"/>
                <w:szCs w:val="18"/>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 xml:space="preserve">  政府性基金预算财政拨款</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bCs/>
                <w:sz w:val="18"/>
                <w:szCs w:val="18"/>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22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Cs/>
                <w:sz w:val="18"/>
                <w:szCs w:val="18"/>
              </w:rPr>
            </w:pPr>
            <w:r>
              <w:rPr>
                <w:rFonts w:cs="宋体"/>
                <w:bCs/>
                <w:sz w:val="18"/>
                <w:szCs w:val="18"/>
              </w:rPr>
              <w:t xml:space="preserve">  国有资本经营预算财政拨款</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Cs/>
                <w:sz w:val="18"/>
                <w:szCs w:val="18"/>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bCs/>
                <w:sz w:val="18"/>
                <w:szCs w:val="18"/>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234" w:hRule="atLeast"/>
        </w:trPr>
        <w:tc>
          <w:tcPr>
            <w:tcW w:w="3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Cs/>
                <w:sz w:val="18"/>
                <w:szCs w:val="18"/>
              </w:rPr>
            </w:pPr>
            <w:r>
              <w:rPr>
                <w:rFonts w:cs="宋体"/>
                <w:bCs/>
                <w:sz w:val="18"/>
                <w:szCs w:val="18"/>
              </w:rPr>
              <w:t>总计</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r>
              <w:rPr>
                <w:rFonts w:hint="default" w:ascii="Times New Roman" w:hAnsi="Times New Roman"/>
                <w:bCs/>
                <w:sz w:val="18"/>
                <w:szCs w:val="18"/>
              </w:rPr>
              <w:t>697.85</w:t>
            </w: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Cs/>
                <w:sz w:val="18"/>
                <w:szCs w:val="18"/>
              </w:rPr>
            </w:pPr>
            <w:r>
              <w:rPr>
                <w:rFonts w:cs="宋体"/>
                <w:bCs/>
                <w:sz w:val="18"/>
                <w:szCs w:val="18"/>
              </w:rPr>
              <w:t>总计</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r>
              <w:rPr>
                <w:rFonts w:hint="default" w:ascii="Times New Roman" w:hAnsi="Times New Roman"/>
                <w:bCs/>
                <w:sz w:val="18"/>
                <w:szCs w:val="18"/>
              </w:rPr>
              <w:t>697.85</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Cs/>
                <w:sz w:val="18"/>
                <w:szCs w:val="18"/>
              </w:rPr>
            </w:pPr>
            <w:r>
              <w:rPr>
                <w:rFonts w:hint="default" w:ascii="Times New Roman" w:hAnsi="Times New Roman"/>
                <w:bCs/>
                <w:sz w:val="18"/>
                <w:szCs w:val="18"/>
              </w:rPr>
              <w:t>697.85</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bCs/>
                <w:sz w:val="18"/>
                <w:szCs w:val="18"/>
              </w:rPr>
            </w:pPr>
            <w:r>
              <w:rPr>
                <w:rFonts w:ascii="Times New Roman" w:hAnsi="Times New Roman"/>
                <w:bCs/>
                <w:sz w:val="18"/>
              </w:rPr>
              <w:t xml:space="preserve">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7"/>
        <w:tblW w:w="14860" w:type="dxa"/>
        <w:jc w:val="center"/>
        <w:tblLayout w:type="fixed"/>
        <w:tblCellMar>
          <w:top w:w="0" w:type="dxa"/>
          <w:left w:w="0" w:type="dxa"/>
          <w:bottom w:w="0" w:type="dxa"/>
          <w:right w:w="0" w:type="dxa"/>
        </w:tblCellMar>
      </w:tblPr>
      <w:tblGrid>
        <w:gridCol w:w="1015"/>
        <w:gridCol w:w="765"/>
        <w:gridCol w:w="1980"/>
        <w:gridCol w:w="961"/>
        <w:gridCol w:w="680"/>
        <w:gridCol w:w="156"/>
        <w:gridCol w:w="2133"/>
        <w:gridCol w:w="525"/>
        <w:gridCol w:w="921"/>
        <w:gridCol w:w="808"/>
        <w:gridCol w:w="791"/>
        <w:gridCol w:w="2736"/>
        <w:gridCol w:w="1153"/>
        <w:gridCol w:w="236"/>
      </w:tblGrid>
      <w:tr>
        <w:tblPrEx>
          <w:tblCellMar>
            <w:top w:w="0" w:type="dxa"/>
            <w:left w:w="0" w:type="dxa"/>
            <w:bottom w:w="0" w:type="dxa"/>
            <w:right w:w="0" w:type="dxa"/>
          </w:tblCellMar>
        </w:tblPrEx>
        <w:trPr>
          <w:gridAfter w:val="1"/>
          <w:wAfter w:w="236" w:type="dxa"/>
          <w:trHeight w:val="510" w:hRule="atLeast"/>
          <w:jc w:val="center"/>
        </w:trPr>
        <w:tc>
          <w:tcPr>
            <w:tcW w:w="14624" w:type="dxa"/>
            <w:gridSpan w:val="13"/>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CellMar>
            <w:top w:w="0" w:type="dxa"/>
            <w:left w:w="0" w:type="dxa"/>
            <w:bottom w:w="0" w:type="dxa"/>
            <w:right w:w="0" w:type="dxa"/>
          </w:tblCellMar>
        </w:tblPrEx>
        <w:trPr>
          <w:gridAfter w:val="1"/>
          <w:wAfter w:w="236" w:type="dxa"/>
          <w:trHeight w:val="255" w:hRule="atLeast"/>
          <w:jc w:val="center"/>
        </w:trPr>
        <w:tc>
          <w:tcPr>
            <w:tcW w:w="8215" w:type="dxa"/>
            <w:gridSpan w:val="8"/>
            <w:vMerge w:val="restart"/>
            <w:tcBorders>
              <w:top w:val="nil"/>
              <w:left w:val="nil"/>
              <w:right w:val="nil"/>
            </w:tcBorders>
            <w:shd w:val="clear" w:color="auto" w:fill="auto"/>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垫江县统计局（本级）</w:t>
            </w:r>
          </w:p>
        </w:tc>
        <w:tc>
          <w:tcPr>
            <w:tcW w:w="2520"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3889" w:type="dxa"/>
            <w:gridSpan w:val="2"/>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CellMar>
            <w:top w:w="0" w:type="dxa"/>
            <w:left w:w="0" w:type="dxa"/>
            <w:bottom w:w="0" w:type="dxa"/>
            <w:right w:w="0" w:type="dxa"/>
          </w:tblCellMar>
        </w:tblPrEx>
        <w:trPr>
          <w:gridAfter w:val="1"/>
          <w:wAfter w:w="236" w:type="dxa"/>
          <w:trHeight w:val="285" w:hRule="atLeast"/>
          <w:jc w:val="center"/>
        </w:trPr>
        <w:tc>
          <w:tcPr>
            <w:tcW w:w="8215" w:type="dxa"/>
            <w:gridSpan w:val="8"/>
            <w:vMerge w:val="continue"/>
            <w:tcBorders>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2520"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3889" w:type="dxa"/>
            <w:gridSpan w:val="2"/>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gridAfter w:val="1"/>
          <w:wAfter w:w="236" w:type="dxa"/>
          <w:trHeight w:val="308" w:hRule="atLeast"/>
          <w:jc w:val="center"/>
        </w:trPr>
        <w:tc>
          <w:tcPr>
            <w:tcW w:w="540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223"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CellMar>
            <w:top w:w="0" w:type="dxa"/>
            <w:left w:w="0" w:type="dxa"/>
            <w:bottom w:w="0" w:type="dxa"/>
            <w:right w:w="0" w:type="dxa"/>
          </w:tblCellMar>
        </w:tblPrEx>
        <w:trPr>
          <w:gridAfter w:val="1"/>
          <w:wAfter w:w="236" w:type="dxa"/>
          <w:trHeight w:val="326" w:hRule="atLeast"/>
          <w:jc w:val="center"/>
        </w:trPr>
        <w:tc>
          <w:tcPr>
            <w:tcW w:w="178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21"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2814"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2520"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889"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CellMar>
            <w:top w:w="0" w:type="dxa"/>
            <w:left w:w="0" w:type="dxa"/>
            <w:bottom w:w="0" w:type="dxa"/>
            <w:right w:w="0" w:type="dxa"/>
          </w:tblCellMar>
        </w:tblPrEx>
        <w:trPr>
          <w:gridAfter w:val="1"/>
          <w:wAfter w:w="236" w:type="dxa"/>
          <w:trHeight w:val="326" w:hRule="atLeast"/>
          <w:jc w:val="center"/>
        </w:trPr>
        <w:tc>
          <w:tcPr>
            <w:tcW w:w="1780"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21"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814"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520"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88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gridAfter w:val="1"/>
          <w:wAfter w:w="236" w:type="dxa"/>
          <w:trHeight w:val="326" w:hRule="atLeast"/>
          <w:jc w:val="center"/>
        </w:trPr>
        <w:tc>
          <w:tcPr>
            <w:tcW w:w="1780"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21"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814"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520"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88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gridAfter w:val="1"/>
          <w:wAfter w:w="236" w:type="dxa"/>
          <w:trHeight w:val="308" w:hRule="atLeast"/>
          <w:jc w:val="center"/>
        </w:trPr>
        <w:tc>
          <w:tcPr>
            <w:tcW w:w="5401"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281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bCs/>
                <w:sz w:val="20"/>
                <w:szCs w:val="20"/>
              </w:rPr>
              <w:t>697.85</w:t>
            </w:r>
          </w:p>
        </w:tc>
        <w:tc>
          <w:tcPr>
            <w:tcW w:w="252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bCs/>
                <w:sz w:val="20"/>
                <w:szCs w:val="20"/>
              </w:rPr>
              <w:t>378.02</w:t>
            </w:r>
          </w:p>
        </w:tc>
        <w:tc>
          <w:tcPr>
            <w:tcW w:w="38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bCs/>
                <w:sz w:val="20"/>
                <w:szCs w:val="20"/>
              </w:rPr>
              <w:t>319.83</w:t>
            </w:r>
          </w:p>
        </w:tc>
      </w:tr>
      <w:tr>
        <w:tblPrEx>
          <w:tblCellMar>
            <w:top w:w="0" w:type="dxa"/>
            <w:left w:w="0" w:type="dxa"/>
            <w:bottom w:w="0" w:type="dxa"/>
            <w:right w:w="0" w:type="dxa"/>
          </w:tblCellMar>
        </w:tblPrEx>
        <w:trPr>
          <w:gridAfter w:val="1"/>
          <w:wAfter w:w="236" w:type="dxa"/>
          <w:trHeight w:val="308" w:hRule="atLeast"/>
          <w:jc w:val="center"/>
        </w:trPr>
        <w:tc>
          <w:tcPr>
            <w:tcW w:w="178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36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281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576.94</w:t>
            </w:r>
          </w:p>
        </w:tc>
        <w:tc>
          <w:tcPr>
            <w:tcW w:w="252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257.14</w:t>
            </w:r>
          </w:p>
        </w:tc>
        <w:tc>
          <w:tcPr>
            <w:tcW w:w="38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319.80</w:t>
            </w:r>
          </w:p>
        </w:tc>
      </w:tr>
      <w:tr>
        <w:tblPrEx>
          <w:tblCellMar>
            <w:top w:w="0" w:type="dxa"/>
            <w:left w:w="0" w:type="dxa"/>
            <w:bottom w:w="0" w:type="dxa"/>
            <w:right w:w="0" w:type="dxa"/>
          </w:tblCellMar>
        </w:tblPrEx>
        <w:trPr>
          <w:gridAfter w:val="1"/>
          <w:wAfter w:w="236" w:type="dxa"/>
          <w:trHeight w:val="308" w:hRule="atLeast"/>
          <w:jc w:val="center"/>
        </w:trPr>
        <w:tc>
          <w:tcPr>
            <w:tcW w:w="178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20105</w:t>
            </w:r>
          </w:p>
        </w:tc>
        <w:tc>
          <w:tcPr>
            <w:tcW w:w="36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统计信息事务</w:t>
            </w:r>
          </w:p>
        </w:tc>
        <w:tc>
          <w:tcPr>
            <w:tcW w:w="281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576.94</w:t>
            </w:r>
          </w:p>
        </w:tc>
        <w:tc>
          <w:tcPr>
            <w:tcW w:w="252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257.14</w:t>
            </w:r>
          </w:p>
        </w:tc>
        <w:tc>
          <w:tcPr>
            <w:tcW w:w="38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319.80</w:t>
            </w:r>
          </w:p>
        </w:tc>
      </w:tr>
      <w:tr>
        <w:tblPrEx>
          <w:tblCellMar>
            <w:top w:w="0" w:type="dxa"/>
            <w:left w:w="0" w:type="dxa"/>
            <w:bottom w:w="0" w:type="dxa"/>
            <w:right w:w="0" w:type="dxa"/>
          </w:tblCellMar>
        </w:tblPrEx>
        <w:trPr>
          <w:gridAfter w:val="1"/>
          <w:wAfter w:w="236" w:type="dxa"/>
          <w:trHeight w:val="308" w:hRule="atLeast"/>
          <w:jc w:val="center"/>
        </w:trPr>
        <w:tc>
          <w:tcPr>
            <w:tcW w:w="178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2010501</w:t>
            </w:r>
          </w:p>
        </w:tc>
        <w:tc>
          <w:tcPr>
            <w:tcW w:w="36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行政运行</w:t>
            </w:r>
          </w:p>
        </w:tc>
        <w:tc>
          <w:tcPr>
            <w:tcW w:w="281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257.14</w:t>
            </w:r>
          </w:p>
        </w:tc>
        <w:tc>
          <w:tcPr>
            <w:tcW w:w="252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257.14</w:t>
            </w:r>
          </w:p>
        </w:tc>
        <w:tc>
          <w:tcPr>
            <w:tcW w:w="38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gridAfter w:val="1"/>
          <w:wAfter w:w="236" w:type="dxa"/>
          <w:trHeight w:val="308" w:hRule="atLeast"/>
          <w:jc w:val="center"/>
        </w:trPr>
        <w:tc>
          <w:tcPr>
            <w:tcW w:w="178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2010505</w:t>
            </w:r>
          </w:p>
        </w:tc>
        <w:tc>
          <w:tcPr>
            <w:tcW w:w="36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专项统计业务</w:t>
            </w:r>
          </w:p>
        </w:tc>
        <w:tc>
          <w:tcPr>
            <w:tcW w:w="281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148.76</w:t>
            </w:r>
          </w:p>
        </w:tc>
        <w:tc>
          <w:tcPr>
            <w:tcW w:w="252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0.00</w:t>
            </w:r>
          </w:p>
        </w:tc>
        <w:tc>
          <w:tcPr>
            <w:tcW w:w="38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148.76</w:t>
            </w:r>
          </w:p>
        </w:tc>
      </w:tr>
      <w:tr>
        <w:tblPrEx>
          <w:tblCellMar>
            <w:top w:w="0" w:type="dxa"/>
            <w:left w:w="0" w:type="dxa"/>
            <w:bottom w:w="0" w:type="dxa"/>
            <w:right w:w="0" w:type="dxa"/>
          </w:tblCellMar>
        </w:tblPrEx>
        <w:trPr>
          <w:gridAfter w:val="1"/>
          <w:wAfter w:w="236" w:type="dxa"/>
          <w:trHeight w:val="308" w:hRule="atLeast"/>
          <w:jc w:val="center"/>
        </w:trPr>
        <w:tc>
          <w:tcPr>
            <w:tcW w:w="178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2010506</w:t>
            </w:r>
          </w:p>
        </w:tc>
        <w:tc>
          <w:tcPr>
            <w:tcW w:w="36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统计管理</w:t>
            </w:r>
          </w:p>
        </w:tc>
        <w:tc>
          <w:tcPr>
            <w:tcW w:w="281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2.00</w:t>
            </w:r>
          </w:p>
        </w:tc>
        <w:tc>
          <w:tcPr>
            <w:tcW w:w="252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0.00</w:t>
            </w:r>
          </w:p>
        </w:tc>
        <w:tc>
          <w:tcPr>
            <w:tcW w:w="38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2.00</w:t>
            </w:r>
          </w:p>
        </w:tc>
      </w:tr>
      <w:tr>
        <w:tblPrEx>
          <w:tblCellMar>
            <w:top w:w="0" w:type="dxa"/>
            <w:left w:w="0" w:type="dxa"/>
            <w:bottom w:w="0" w:type="dxa"/>
            <w:right w:w="0" w:type="dxa"/>
          </w:tblCellMar>
        </w:tblPrEx>
        <w:trPr>
          <w:gridAfter w:val="1"/>
          <w:wAfter w:w="236" w:type="dxa"/>
          <w:trHeight w:val="308" w:hRule="atLeast"/>
          <w:jc w:val="center"/>
        </w:trPr>
        <w:tc>
          <w:tcPr>
            <w:tcW w:w="178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2010507</w:t>
            </w:r>
          </w:p>
        </w:tc>
        <w:tc>
          <w:tcPr>
            <w:tcW w:w="36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专项普查活动</w:t>
            </w:r>
          </w:p>
        </w:tc>
        <w:tc>
          <w:tcPr>
            <w:tcW w:w="281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131.72</w:t>
            </w:r>
          </w:p>
        </w:tc>
        <w:tc>
          <w:tcPr>
            <w:tcW w:w="252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0.00</w:t>
            </w:r>
          </w:p>
        </w:tc>
        <w:tc>
          <w:tcPr>
            <w:tcW w:w="38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131.72</w:t>
            </w:r>
          </w:p>
        </w:tc>
      </w:tr>
      <w:tr>
        <w:tblPrEx>
          <w:tblCellMar>
            <w:top w:w="0" w:type="dxa"/>
            <w:left w:w="0" w:type="dxa"/>
            <w:bottom w:w="0" w:type="dxa"/>
            <w:right w:w="0" w:type="dxa"/>
          </w:tblCellMar>
        </w:tblPrEx>
        <w:trPr>
          <w:gridAfter w:val="1"/>
          <w:wAfter w:w="236" w:type="dxa"/>
          <w:trHeight w:val="308" w:hRule="atLeast"/>
          <w:jc w:val="center"/>
        </w:trPr>
        <w:tc>
          <w:tcPr>
            <w:tcW w:w="178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2010508</w:t>
            </w:r>
          </w:p>
        </w:tc>
        <w:tc>
          <w:tcPr>
            <w:tcW w:w="36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统计抽样调查</w:t>
            </w:r>
          </w:p>
        </w:tc>
        <w:tc>
          <w:tcPr>
            <w:tcW w:w="281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37.31</w:t>
            </w:r>
          </w:p>
        </w:tc>
        <w:tc>
          <w:tcPr>
            <w:tcW w:w="252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0.00</w:t>
            </w:r>
          </w:p>
        </w:tc>
        <w:tc>
          <w:tcPr>
            <w:tcW w:w="38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37.31</w:t>
            </w:r>
          </w:p>
        </w:tc>
      </w:tr>
      <w:tr>
        <w:tblPrEx>
          <w:tblCellMar>
            <w:top w:w="0" w:type="dxa"/>
            <w:left w:w="0" w:type="dxa"/>
            <w:bottom w:w="0" w:type="dxa"/>
            <w:right w:w="0" w:type="dxa"/>
          </w:tblCellMar>
        </w:tblPrEx>
        <w:trPr>
          <w:gridAfter w:val="1"/>
          <w:wAfter w:w="236" w:type="dxa"/>
          <w:trHeight w:val="308" w:hRule="atLeast"/>
          <w:jc w:val="center"/>
        </w:trPr>
        <w:tc>
          <w:tcPr>
            <w:tcW w:w="178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6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281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79.76</w:t>
            </w:r>
          </w:p>
        </w:tc>
        <w:tc>
          <w:tcPr>
            <w:tcW w:w="252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79.73</w:t>
            </w:r>
          </w:p>
        </w:tc>
        <w:tc>
          <w:tcPr>
            <w:tcW w:w="38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0.04</w:t>
            </w:r>
          </w:p>
        </w:tc>
      </w:tr>
      <w:tr>
        <w:tblPrEx>
          <w:tblCellMar>
            <w:top w:w="0" w:type="dxa"/>
            <w:left w:w="0" w:type="dxa"/>
            <w:bottom w:w="0" w:type="dxa"/>
            <w:right w:w="0" w:type="dxa"/>
          </w:tblCellMar>
        </w:tblPrEx>
        <w:trPr>
          <w:gridAfter w:val="1"/>
          <w:wAfter w:w="236" w:type="dxa"/>
          <w:trHeight w:val="308" w:hRule="atLeast"/>
          <w:jc w:val="center"/>
        </w:trPr>
        <w:tc>
          <w:tcPr>
            <w:tcW w:w="178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36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281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0.04</w:t>
            </w:r>
          </w:p>
        </w:tc>
        <w:tc>
          <w:tcPr>
            <w:tcW w:w="252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0.00</w:t>
            </w:r>
          </w:p>
        </w:tc>
        <w:tc>
          <w:tcPr>
            <w:tcW w:w="38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0.04</w:t>
            </w:r>
          </w:p>
        </w:tc>
      </w:tr>
      <w:tr>
        <w:tblPrEx>
          <w:tblCellMar>
            <w:top w:w="0" w:type="dxa"/>
            <w:left w:w="0" w:type="dxa"/>
            <w:bottom w:w="0" w:type="dxa"/>
            <w:right w:w="0" w:type="dxa"/>
          </w:tblCellMar>
        </w:tblPrEx>
        <w:trPr>
          <w:gridAfter w:val="1"/>
          <w:wAfter w:w="236" w:type="dxa"/>
          <w:trHeight w:val="308" w:hRule="atLeast"/>
          <w:jc w:val="center"/>
        </w:trPr>
        <w:tc>
          <w:tcPr>
            <w:tcW w:w="178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2080102</w:t>
            </w:r>
          </w:p>
        </w:tc>
        <w:tc>
          <w:tcPr>
            <w:tcW w:w="36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一般行政管理事务</w:t>
            </w:r>
          </w:p>
        </w:tc>
        <w:tc>
          <w:tcPr>
            <w:tcW w:w="281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0.04</w:t>
            </w:r>
          </w:p>
        </w:tc>
        <w:tc>
          <w:tcPr>
            <w:tcW w:w="252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0.00</w:t>
            </w:r>
          </w:p>
        </w:tc>
        <w:tc>
          <w:tcPr>
            <w:tcW w:w="38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0.04</w:t>
            </w:r>
          </w:p>
        </w:tc>
      </w:tr>
      <w:tr>
        <w:tblPrEx>
          <w:tblCellMar>
            <w:top w:w="0" w:type="dxa"/>
            <w:left w:w="0" w:type="dxa"/>
            <w:bottom w:w="0" w:type="dxa"/>
            <w:right w:w="0" w:type="dxa"/>
          </w:tblCellMar>
        </w:tblPrEx>
        <w:trPr>
          <w:gridAfter w:val="1"/>
          <w:wAfter w:w="236" w:type="dxa"/>
          <w:trHeight w:val="308" w:hRule="atLeast"/>
          <w:jc w:val="center"/>
        </w:trPr>
        <w:tc>
          <w:tcPr>
            <w:tcW w:w="178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6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281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79.73</w:t>
            </w:r>
          </w:p>
        </w:tc>
        <w:tc>
          <w:tcPr>
            <w:tcW w:w="252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79.73</w:t>
            </w:r>
          </w:p>
        </w:tc>
        <w:tc>
          <w:tcPr>
            <w:tcW w:w="38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0.00</w:t>
            </w:r>
          </w:p>
        </w:tc>
      </w:tr>
      <w:tr>
        <w:tblPrEx>
          <w:tblCellMar>
            <w:top w:w="0" w:type="dxa"/>
            <w:left w:w="0" w:type="dxa"/>
            <w:bottom w:w="0" w:type="dxa"/>
            <w:right w:w="0" w:type="dxa"/>
          </w:tblCellMar>
        </w:tblPrEx>
        <w:trPr>
          <w:gridAfter w:val="1"/>
          <w:wAfter w:w="236" w:type="dxa"/>
          <w:trHeight w:val="308" w:hRule="atLeast"/>
          <w:jc w:val="center"/>
        </w:trPr>
        <w:tc>
          <w:tcPr>
            <w:tcW w:w="178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6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281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30.96</w:t>
            </w:r>
          </w:p>
        </w:tc>
        <w:tc>
          <w:tcPr>
            <w:tcW w:w="252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30.96</w:t>
            </w:r>
          </w:p>
        </w:tc>
        <w:tc>
          <w:tcPr>
            <w:tcW w:w="38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gridAfter w:val="1"/>
          <w:wAfter w:w="236" w:type="dxa"/>
          <w:trHeight w:val="308" w:hRule="atLeast"/>
          <w:jc w:val="center"/>
        </w:trPr>
        <w:tc>
          <w:tcPr>
            <w:tcW w:w="178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6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281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14.63</w:t>
            </w:r>
          </w:p>
        </w:tc>
        <w:tc>
          <w:tcPr>
            <w:tcW w:w="252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14.63</w:t>
            </w:r>
          </w:p>
        </w:tc>
        <w:tc>
          <w:tcPr>
            <w:tcW w:w="38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gridAfter w:val="1"/>
          <w:wAfter w:w="236" w:type="dxa"/>
          <w:trHeight w:val="308" w:hRule="atLeast"/>
          <w:jc w:val="center"/>
        </w:trPr>
        <w:tc>
          <w:tcPr>
            <w:tcW w:w="178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6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281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34.14</w:t>
            </w:r>
          </w:p>
        </w:tc>
        <w:tc>
          <w:tcPr>
            <w:tcW w:w="252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34.14</w:t>
            </w:r>
          </w:p>
        </w:tc>
        <w:tc>
          <w:tcPr>
            <w:tcW w:w="38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gridAfter w:val="1"/>
          <w:wAfter w:w="236" w:type="dxa"/>
          <w:trHeight w:val="308" w:hRule="atLeast"/>
          <w:jc w:val="center"/>
        </w:trPr>
        <w:tc>
          <w:tcPr>
            <w:tcW w:w="178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6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281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18.64</w:t>
            </w:r>
          </w:p>
        </w:tc>
        <w:tc>
          <w:tcPr>
            <w:tcW w:w="252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18.64</w:t>
            </w:r>
          </w:p>
        </w:tc>
        <w:tc>
          <w:tcPr>
            <w:tcW w:w="38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0.00</w:t>
            </w:r>
          </w:p>
        </w:tc>
      </w:tr>
      <w:tr>
        <w:tblPrEx>
          <w:tblCellMar>
            <w:top w:w="0" w:type="dxa"/>
            <w:left w:w="0" w:type="dxa"/>
            <w:bottom w:w="0" w:type="dxa"/>
            <w:right w:w="0" w:type="dxa"/>
          </w:tblCellMar>
        </w:tblPrEx>
        <w:trPr>
          <w:gridAfter w:val="1"/>
          <w:wAfter w:w="236" w:type="dxa"/>
          <w:trHeight w:val="308" w:hRule="atLeast"/>
          <w:jc w:val="center"/>
        </w:trPr>
        <w:tc>
          <w:tcPr>
            <w:tcW w:w="178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6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281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18.64</w:t>
            </w:r>
          </w:p>
        </w:tc>
        <w:tc>
          <w:tcPr>
            <w:tcW w:w="252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18.64</w:t>
            </w:r>
          </w:p>
        </w:tc>
        <w:tc>
          <w:tcPr>
            <w:tcW w:w="38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0.00</w:t>
            </w:r>
          </w:p>
        </w:tc>
      </w:tr>
      <w:tr>
        <w:tblPrEx>
          <w:tblCellMar>
            <w:top w:w="0" w:type="dxa"/>
            <w:left w:w="0" w:type="dxa"/>
            <w:bottom w:w="0" w:type="dxa"/>
            <w:right w:w="0" w:type="dxa"/>
          </w:tblCellMar>
        </w:tblPrEx>
        <w:trPr>
          <w:gridAfter w:val="1"/>
          <w:wAfter w:w="236" w:type="dxa"/>
          <w:trHeight w:val="308" w:hRule="atLeast"/>
          <w:jc w:val="center"/>
        </w:trPr>
        <w:tc>
          <w:tcPr>
            <w:tcW w:w="178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2101101</w:t>
            </w:r>
          </w:p>
        </w:tc>
        <w:tc>
          <w:tcPr>
            <w:tcW w:w="36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行政单位医疗</w:t>
            </w:r>
          </w:p>
        </w:tc>
        <w:tc>
          <w:tcPr>
            <w:tcW w:w="281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18.64</w:t>
            </w:r>
          </w:p>
        </w:tc>
        <w:tc>
          <w:tcPr>
            <w:tcW w:w="252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18.64</w:t>
            </w:r>
          </w:p>
        </w:tc>
        <w:tc>
          <w:tcPr>
            <w:tcW w:w="38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gridAfter w:val="1"/>
          <w:wAfter w:w="236" w:type="dxa"/>
          <w:trHeight w:val="308" w:hRule="atLeast"/>
          <w:jc w:val="center"/>
        </w:trPr>
        <w:tc>
          <w:tcPr>
            <w:tcW w:w="178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6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281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22.52</w:t>
            </w:r>
          </w:p>
        </w:tc>
        <w:tc>
          <w:tcPr>
            <w:tcW w:w="252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22.52</w:t>
            </w:r>
          </w:p>
        </w:tc>
        <w:tc>
          <w:tcPr>
            <w:tcW w:w="38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0.00</w:t>
            </w:r>
          </w:p>
        </w:tc>
      </w:tr>
      <w:tr>
        <w:tblPrEx>
          <w:tblCellMar>
            <w:top w:w="0" w:type="dxa"/>
            <w:left w:w="0" w:type="dxa"/>
            <w:bottom w:w="0" w:type="dxa"/>
            <w:right w:w="0" w:type="dxa"/>
          </w:tblCellMar>
        </w:tblPrEx>
        <w:trPr>
          <w:gridAfter w:val="1"/>
          <w:wAfter w:w="236" w:type="dxa"/>
          <w:trHeight w:val="308" w:hRule="atLeast"/>
          <w:jc w:val="center"/>
        </w:trPr>
        <w:tc>
          <w:tcPr>
            <w:tcW w:w="178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6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281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22.52</w:t>
            </w:r>
          </w:p>
        </w:tc>
        <w:tc>
          <w:tcPr>
            <w:tcW w:w="252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22.52</w:t>
            </w:r>
          </w:p>
        </w:tc>
        <w:tc>
          <w:tcPr>
            <w:tcW w:w="38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sz w:val="20"/>
                <w:szCs w:val="20"/>
              </w:rPr>
              <w:t>0.00</w:t>
            </w:r>
          </w:p>
        </w:tc>
      </w:tr>
      <w:tr>
        <w:tblPrEx>
          <w:tblCellMar>
            <w:top w:w="0" w:type="dxa"/>
            <w:left w:w="0" w:type="dxa"/>
            <w:bottom w:w="0" w:type="dxa"/>
            <w:right w:w="0" w:type="dxa"/>
          </w:tblCellMar>
        </w:tblPrEx>
        <w:trPr>
          <w:gridAfter w:val="1"/>
          <w:wAfter w:w="236" w:type="dxa"/>
          <w:trHeight w:val="308" w:hRule="atLeast"/>
          <w:jc w:val="center"/>
        </w:trPr>
        <w:tc>
          <w:tcPr>
            <w:tcW w:w="178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6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281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22.52</w:t>
            </w:r>
          </w:p>
        </w:tc>
        <w:tc>
          <w:tcPr>
            <w:tcW w:w="252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22.52</w:t>
            </w:r>
          </w:p>
        </w:tc>
        <w:tc>
          <w:tcPr>
            <w:tcW w:w="38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0.00</w:t>
            </w:r>
          </w:p>
        </w:tc>
      </w:tr>
      <w:tr>
        <w:tblPrEx>
          <w:tblCellMar>
            <w:top w:w="0" w:type="dxa"/>
            <w:left w:w="0" w:type="dxa"/>
            <w:bottom w:w="0" w:type="dxa"/>
            <w:right w:w="0" w:type="dxa"/>
          </w:tblCellMar>
        </w:tblPrEx>
        <w:trPr>
          <w:trHeight w:val="90" w:hRule="atLeast"/>
          <w:jc w:val="center"/>
        </w:trPr>
        <w:tc>
          <w:tcPr>
            <w:tcW w:w="14860" w:type="dxa"/>
            <w:gridSpan w:val="14"/>
            <w:tcBorders>
              <w:top w:val="nil"/>
              <w:left w:val="nil"/>
              <w:bottom w:val="nil"/>
              <w:right w:val="nil"/>
            </w:tcBorders>
            <w:shd w:val="clear" w:color="auto" w:fill="auto"/>
            <w:tcMar>
              <w:top w:w="15" w:type="dxa"/>
              <w:left w:w="15" w:type="dxa"/>
              <w:right w:w="15" w:type="dxa"/>
            </w:tcMar>
            <w:vAlign w:val="bottom"/>
          </w:tcPr>
          <w:p>
            <w:pPr>
              <w:jc w:val="center"/>
              <w:rPr>
                <w:rFonts w:hint="default" w:cs="宋体"/>
                <w:b/>
                <w:sz w:val="32"/>
                <w:szCs w:val="32"/>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b/>
                <w:sz w:val="32"/>
                <w:szCs w:val="32"/>
              </w:rPr>
              <w:t>一般公共预算财政拨款基本支出决算表</w:t>
            </w:r>
          </w:p>
        </w:tc>
      </w:tr>
      <w:tr>
        <w:tblPrEx>
          <w:tblCellMar>
            <w:top w:w="0" w:type="dxa"/>
            <w:left w:w="0" w:type="dxa"/>
            <w:bottom w:w="0" w:type="dxa"/>
            <w:right w:w="0" w:type="dxa"/>
          </w:tblCellMar>
        </w:tblPrEx>
        <w:trPr>
          <w:trHeight w:val="90" w:hRule="atLeast"/>
          <w:jc w:val="center"/>
        </w:trPr>
        <w:tc>
          <w:tcPr>
            <w:tcW w:w="7690" w:type="dxa"/>
            <w:gridSpan w:val="7"/>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垫江县统计局（本级）</w:t>
            </w:r>
          </w:p>
        </w:tc>
        <w:tc>
          <w:tcPr>
            <w:tcW w:w="1446"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3527"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389" w:type="dxa"/>
            <w:gridSpan w:val="2"/>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CellMar>
            <w:top w:w="0" w:type="dxa"/>
            <w:left w:w="0" w:type="dxa"/>
            <w:bottom w:w="0" w:type="dxa"/>
            <w:right w:w="0" w:type="dxa"/>
          </w:tblCellMar>
        </w:tblPrEx>
        <w:trPr>
          <w:trHeight w:val="90" w:hRule="atLeast"/>
          <w:jc w:val="center"/>
        </w:trPr>
        <w:tc>
          <w:tcPr>
            <w:tcW w:w="7690" w:type="dxa"/>
            <w:gridSpan w:val="7"/>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446"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3527"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389" w:type="dxa"/>
            <w:gridSpan w:val="2"/>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90" w:hRule="atLeast"/>
          <w:jc w:val="center"/>
        </w:trPr>
        <w:tc>
          <w:tcPr>
            <w:tcW w:w="472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w:t>
            </w:r>
          </w:p>
        </w:tc>
        <w:tc>
          <w:tcPr>
            <w:tcW w:w="10139"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w:t>
            </w:r>
          </w:p>
        </w:tc>
      </w:tr>
      <w:tr>
        <w:tblPrEx>
          <w:tblCellMar>
            <w:top w:w="0" w:type="dxa"/>
            <w:left w:w="0" w:type="dxa"/>
            <w:bottom w:w="0" w:type="dxa"/>
            <w:right w:w="0" w:type="dxa"/>
          </w:tblCellMar>
        </w:tblPrEx>
        <w:trPr>
          <w:trHeight w:val="312" w:hRule="atLeast"/>
          <w:jc w:val="center"/>
        </w:trPr>
        <w:tc>
          <w:tcPr>
            <w:tcW w:w="101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2745"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9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3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213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446"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352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389"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r>
      <w:tr>
        <w:tblPrEx>
          <w:tblCellMar>
            <w:top w:w="0" w:type="dxa"/>
            <w:left w:w="0" w:type="dxa"/>
            <w:bottom w:w="0" w:type="dxa"/>
            <w:right w:w="0" w:type="dxa"/>
          </w:tblCellMar>
        </w:tblPrEx>
        <w:trPr>
          <w:trHeight w:val="312" w:hRule="atLeast"/>
          <w:jc w:val="center"/>
        </w:trPr>
        <w:tc>
          <w:tcPr>
            <w:tcW w:w="10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274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9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3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213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44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52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38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301</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工资福利支出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290.65</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302</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商品和服务支出</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53.23</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310</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资本性支出</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30101</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基本工资</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61.52</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30201</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办公费</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6.48</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31001</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房屋建筑物购建</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30102</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津贴补贴</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44.60</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30202</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印刷费</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1.42</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31002</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办公设备购置</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30103</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奖金</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86.72</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30203</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咨询费</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31003</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专用设备购置</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30106</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伙食补助费</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2.30</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30204</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手续费</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31005</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基础设施建设</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30107</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绩效工资</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30205</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水费</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31006</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大型修缮</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30108</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机关事业单位基本养老保险缴费</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30.96</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30206</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电费</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31007</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信息网络及软件购置更新</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30109</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职业年金缴费</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14.63</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30207</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邮电费</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1.35</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31008</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物资储备</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30110</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职工基本医疗保险缴费</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18.64</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30208</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取暖费</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31009</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土地补偿</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30111</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公务员医疗补助缴费</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30209</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物业管理费</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31010</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安置补助</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30112</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其他社会保障缴费</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0.59</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30211</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差旅费</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3.73</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31011</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地上附着物和青苗补偿</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30113</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住房公积金</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22.52</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30212</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因公出国（境）费用</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31012</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拆迁补偿</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30114</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3.04</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30213</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维修（护）费</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31013</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公务用车购置</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30199</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其他工资福利支出</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5.15</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30214</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租赁费</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31019</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其他交通工具购置</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303</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对个人和家庭的补助</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34.14</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30215</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会议费</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0.30</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31021</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文物和陈列品购置</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30301</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离休费</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30216</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培训费</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31022</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无形资产购置</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30302</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退休费</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30217</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公务接待费</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31099</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其他资本性支出</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30303</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退职（役）费</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30218</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专用材料费</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312</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对企业补助</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30304</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抚恤金</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30224</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被装购置费</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31201</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资本金注入</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30305</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生活补助</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30.16</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30225</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专用燃料费</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31203</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政府投资基金股权投资</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30306</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救济费</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30226</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劳务费</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31204</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费用补贴</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30307</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医疗费补助</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2.00</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30227</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委托业务费</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31205</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利息补贴</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30308</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助学金</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30228</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工会经费</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22.30</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31206</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sz w:val="18"/>
                <w:szCs w:val="18"/>
              </w:rPr>
            </w:pPr>
            <w:r>
              <w:rPr>
                <w:rFonts w:cs="宋体"/>
                <w:sz w:val="18"/>
                <w:szCs w:val="18"/>
              </w:rPr>
              <w:t>其他资本性补助</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30309</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奖励金</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1.98</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30229</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福利费</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3.14</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31299</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其他对企业补助</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30310</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个人农业生产补贴</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30231</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公务用车运行维护费</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3.39</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399</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其他支出</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30311</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代缴社会保险费</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30239</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其他交通费用</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r>
              <w:rPr>
                <w:rFonts w:hint="default" w:ascii="Times New Roman" w:hAnsi="Times New Roman"/>
                <w:sz w:val="18"/>
                <w:szCs w:val="18"/>
              </w:rPr>
              <w:t>11.11</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39907</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国家赔偿费用支出</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30399</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其他对个人和家庭的补助</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30240</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税金及附加费用</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39908</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对民间非营利组织和群众性自治组织补贴</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sz w:val="18"/>
                <w:szCs w:val="18"/>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sz w:val="18"/>
                <w:szCs w:val="18"/>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center"/>
              <w:rPr>
                <w:rFonts w:hint="default" w:cs="宋体"/>
                <w:sz w:val="18"/>
                <w:szCs w:val="18"/>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30299</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其他商品和服务支出</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39909</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经常性赠与</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sz w:val="18"/>
                <w:szCs w:val="18"/>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sz w:val="18"/>
                <w:szCs w:val="18"/>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center"/>
              <w:rPr>
                <w:rFonts w:hint="default" w:cs="宋体"/>
                <w:sz w:val="18"/>
                <w:szCs w:val="18"/>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307</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债务利息及费用支出</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39910</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资本性赠与</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sz w:val="18"/>
                <w:szCs w:val="18"/>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sz w:val="18"/>
                <w:szCs w:val="18"/>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center"/>
              <w:rPr>
                <w:rFonts w:hint="default" w:cs="宋体"/>
                <w:sz w:val="18"/>
                <w:szCs w:val="18"/>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30701</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国内债务付息</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sz w:val="18"/>
                <w:szCs w:val="18"/>
              </w:rPr>
            </w:pPr>
            <w:r>
              <w:rPr>
                <w:rFonts w:cs="宋体"/>
                <w:sz w:val="18"/>
                <w:szCs w:val="18"/>
              </w:rPr>
              <w:t>39999</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其他支出</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sz w:val="18"/>
                <w:szCs w:val="18"/>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sz w:val="18"/>
                <w:szCs w:val="18"/>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center"/>
              <w:rPr>
                <w:rFonts w:hint="default" w:cs="宋体"/>
                <w:sz w:val="18"/>
                <w:szCs w:val="18"/>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30702</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国外债务付息</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sz w:val="18"/>
                <w:szCs w:val="18"/>
              </w:rPr>
            </w:pP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sz w:val="18"/>
                <w:szCs w:val="18"/>
              </w:rPr>
            </w:pP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sz w:val="18"/>
                <w:szCs w:val="18"/>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sz w:val="18"/>
                <w:szCs w:val="18"/>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center"/>
              <w:rPr>
                <w:rFonts w:hint="default" w:cs="宋体"/>
                <w:sz w:val="18"/>
                <w:szCs w:val="18"/>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30703</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国内债务发行费用</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sz w:val="18"/>
                <w:szCs w:val="18"/>
              </w:rPr>
            </w:pP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sz w:val="18"/>
                <w:szCs w:val="18"/>
              </w:rPr>
            </w:pP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155" w:hRule="atLeast"/>
          <w:jc w:val="center"/>
        </w:trPr>
        <w:tc>
          <w:tcPr>
            <w:tcW w:w="1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sz w:val="18"/>
                <w:szCs w:val="18"/>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sz w:val="18"/>
                <w:szCs w:val="18"/>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center"/>
              <w:rPr>
                <w:rFonts w:hint="default" w:cs="宋体"/>
                <w:sz w:val="18"/>
                <w:szCs w:val="18"/>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30704</w:t>
            </w:r>
          </w:p>
        </w:tc>
        <w:tc>
          <w:tcPr>
            <w:tcW w:w="2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国外债务发行费用</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sz w:val="18"/>
                <w:szCs w:val="18"/>
              </w:rPr>
            </w:pP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sz w:val="18"/>
                <w:szCs w:val="18"/>
              </w:rPr>
            </w:pP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235" w:hRule="atLeast"/>
          <w:jc w:val="center"/>
        </w:trPr>
        <w:tc>
          <w:tcPr>
            <w:tcW w:w="376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人员经费合计</w:t>
            </w:r>
          </w:p>
        </w:tc>
        <w:tc>
          <w:tcPr>
            <w:tcW w:w="96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center"/>
              <w:textAlignment w:val="bottom"/>
              <w:rPr>
                <w:rFonts w:hint="default" w:ascii="Times New Roman" w:hAnsi="Times New Roman"/>
                <w:sz w:val="18"/>
                <w:szCs w:val="18"/>
              </w:rPr>
            </w:pPr>
            <w:r>
              <w:rPr>
                <w:rFonts w:hint="default" w:ascii="Times New Roman" w:hAnsi="Times New Roman"/>
                <w:sz w:val="18"/>
                <w:szCs w:val="18"/>
              </w:rPr>
              <w:t>324.79</w:t>
            </w:r>
          </w:p>
        </w:tc>
        <w:tc>
          <w:tcPr>
            <w:tcW w:w="8750" w:type="dxa"/>
            <w:gridSpan w:val="8"/>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公用经费合计</w:t>
            </w:r>
          </w:p>
        </w:tc>
        <w:tc>
          <w:tcPr>
            <w:tcW w:w="13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53.23</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425"/>
        <w:gridCol w:w="1545"/>
        <w:gridCol w:w="2348"/>
      </w:tblGrid>
      <w:tr>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垫江县统计局（本级）</w:t>
            </w: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425"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545"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234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425"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545"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234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46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4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5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bCs/>
                <w:sz w:val="20"/>
                <w:szCs w:val="20"/>
              </w:rPr>
              <w:t>0.00</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bCs/>
                <w:sz w:val="20"/>
                <w:szCs w:val="20"/>
              </w:rPr>
              <w:t>0.00</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bCs/>
                <w:sz w:val="20"/>
                <w:szCs w:val="20"/>
              </w:rPr>
              <w:t>0.00</w:t>
            </w: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bCs/>
                <w:sz w:val="20"/>
                <w:szCs w:val="20"/>
              </w:rPr>
              <w:t>0.00</w:t>
            </w:r>
          </w:p>
        </w:tc>
        <w:tc>
          <w:tcPr>
            <w:tcW w:w="15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bCs/>
                <w:sz w:val="20"/>
                <w:szCs w:val="20"/>
              </w:rPr>
              <w:t>0.00</w:t>
            </w:r>
          </w:p>
        </w:tc>
        <w:tc>
          <w:tcPr>
            <w:tcW w:w="23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b/>
                <w:bCs/>
                <w:sz w:val="20"/>
                <w:szCs w:val="20"/>
              </w:rPr>
              <w:t>0.00</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20"/>
                <w:szCs w:val="20"/>
              </w:rPr>
            </w:pP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20"/>
                <w:szCs w:val="20"/>
              </w:rPr>
            </w:pP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0.00</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0.00</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0.00</w:t>
            </w:r>
          </w:p>
        </w:tc>
        <w:tc>
          <w:tcPr>
            <w:tcW w:w="1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0.00</w:t>
            </w:r>
          </w:p>
        </w:tc>
        <w:tc>
          <w:tcPr>
            <w:tcW w:w="15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0.00</w:t>
            </w:r>
          </w:p>
        </w:tc>
        <w:tc>
          <w:tcPr>
            <w:tcW w:w="23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sz w:val="20"/>
                <w:szCs w:val="20"/>
              </w:rPr>
            </w:pPr>
            <w:r>
              <w:rPr>
                <w:rFonts w:hint="default" w:ascii="Times New Roman" w:hAnsi="Times New Roman"/>
                <w:sz w:val="20"/>
                <w:szCs w:val="20"/>
              </w:rPr>
              <w:t>0.00</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垫江县统计局（本级）</w:t>
            </w: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p>
        </w:tc>
        <w:tc>
          <w:tcPr>
            <w:tcW w:w="2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980" w:type="dxa"/>
        <w:tblInd w:w="0" w:type="dxa"/>
        <w:tblLayout w:type="fixed"/>
        <w:tblCellMar>
          <w:top w:w="0" w:type="dxa"/>
          <w:left w:w="170" w:type="dxa"/>
          <w:bottom w:w="0" w:type="dxa"/>
          <w:right w:w="170" w:type="dxa"/>
        </w:tblCellMar>
      </w:tblPr>
      <w:tblGrid>
        <w:gridCol w:w="3369"/>
        <w:gridCol w:w="2561"/>
        <w:gridCol w:w="2518"/>
        <w:gridCol w:w="3894"/>
        <w:gridCol w:w="2638"/>
      </w:tblGrid>
      <w:tr>
        <w:tblPrEx>
          <w:tblCellMar>
            <w:top w:w="0" w:type="dxa"/>
            <w:left w:w="170" w:type="dxa"/>
            <w:bottom w:w="0" w:type="dxa"/>
            <w:right w:w="170" w:type="dxa"/>
          </w:tblCellMar>
        </w:tblPrEx>
        <w:trPr>
          <w:trHeight w:val="405" w:hRule="atLeast"/>
        </w:trPr>
        <w:tc>
          <w:tcPr>
            <w:tcW w:w="1498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CellMar>
            <w:top w:w="0" w:type="dxa"/>
            <w:left w:w="170" w:type="dxa"/>
            <w:bottom w:w="0" w:type="dxa"/>
            <w:right w:w="170" w:type="dxa"/>
          </w:tblCellMar>
        </w:tblPrEx>
        <w:trPr>
          <w:trHeight w:val="288" w:hRule="atLeast"/>
        </w:trPr>
        <w:tc>
          <w:tcPr>
            <w:tcW w:w="3369" w:type="dxa"/>
            <w:shd w:val="clear" w:color="auto" w:fill="auto"/>
            <w:tcMar>
              <w:top w:w="15" w:type="dxa"/>
              <w:left w:w="15" w:type="dxa"/>
              <w:right w:w="15" w:type="dxa"/>
            </w:tcMar>
            <w:vAlign w:val="bottom"/>
          </w:tcPr>
          <w:p>
            <w:pPr>
              <w:spacing w:line="280" w:lineRule="exact"/>
              <w:rPr>
                <w:rFonts w:hint="default" w:cs="宋体"/>
                <w:kern w:val="2"/>
                <w:sz w:val="20"/>
                <w:szCs w:val="20"/>
              </w:rPr>
            </w:pPr>
          </w:p>
        </w:tc>
        <w:tc>
          <w:tcPr>
            <w:tcW w:w="2561" w:type="dxa"/>
            <w:shd w:val="clear" w:color="auto" w:fill="auto"/>
            <w:tcMar>
              <w:top w:w="15" w:type="dxa"/>
              <w:left w:w="15" w:type="dxa"/>
              <w:right w:w="15" w:type="dxa"/>
            </w:tcMar>
            <w:vAlign w:val="bottom"/>
          </w:tcPr>
          <w:p>
            <w:pPr>
              <w:spacing w:line="280" w:lineRule="exact"/>
              <w:jc w:val="center"/>
              <w:rPr>
                <w:rFonts w:hint="default" w:cs="宋体"/>
                <w:kern w:val="2"/>
                <w:sz w:val="20"/>
                <w:szCs w:val="20"/>
              </w:rPr>
            </w:pPr>
          </w:p>
        </w:tc>
        <w:tc>
          <w:tcPr>
            <w:tcW w:w="2518" w:type="dxa"/>
            <w:shd w:val="clear" w:color="auto" w:fill="auto"/>
            <w:tcMar>
              <w:top w:w="15" w:type="dxa"/>
              <w:left w:w="15" w:type="dxa"/>
              <w:right w:w="15" w:type="dxa"/>
            </w:tcMar>
            <w:vAlign w:val="bottom"/>
          </w:tcPr>
          <w:p>
            <w:pPr>
              <w:spacing w:line="280" w:lineRule="exact"/>
              <w:jc w:val="right"/>
              <w:rPr>
                <w:rFonts w:hint="default" w:cs="宋体"/>
                <w:kern w:val="2"/>
                <w:sz w:val="20"/>
                <w:szCs w:val="20"/>
              </w:rPr>
            </w:pPr>
          </w:p>
        </w:tc>
        <w:tc>
          <w:tcPr>
            <w:tcW w:w="3894" w:type="dxa"/>
            <w:shd w:val="clear" w:color="auto" w:fill="auto"/>
            <w:tcMar>
              <w:top w:w="15" w:type="dxa"/>
              <w:left w:w="15" w:type="dxa"/>
              <w:right w:w="15" w:type="dxa"/>
            </w:tcMar>
            <w:vAlign w:val="bottom"/>
          </w:tcPr>
          <w:p>
            <w:pPr>
              <w:spacing w:line="280" w:lineRule="exact"/>
              <w:rPr>
                <w:rFonts w:hint="default" w:cs="宋体"/>
                <w:kern w:val="2"/>
                <w:sz w:val="20"/>
                <w:szCs w:val="20"/>
              </w:rPr>
            </w:pPr>
          </w:p>
        </w:tc>
        <w:tc>
          <w:tcPr>
            <w:tcW w:w="2638" w:type="dxa"/>
            <w:shd w:val="clear" w:color="auto" w:fill="auto"/>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CellMar>
            <w:top w:w="0" w:type="dxa"/>
            <w:left w:w="170" w:type="dxa"/>
            <w:bottom w:w="0" w:type="dxa"/>
            <w:right w:w="170" w:type="dxa"/>
          </w:tblCellMar>
        </w:tblPrEx>
        <w:trPr>
          <w:trHeight w:val="288" w:hRule="atLeast"/>
        </w:trPr>
        <w:tc>
          <w:tcPr>
            <w:tcW w:w="5930"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垫江县统计局（本级）</w:t>
            </w:r>
          </w:p>
        </w:tc>
        <w:tc>
          <w:tcPr>
            <w:tcW w:w="2518"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kern w:val="2"/>
                <w:sz w:val="20"/>
                <w:szCs w:val="20"/>
              </w:rPr>
            </w:pPr>
          </w:p>
        </w:tc>
        <w:tc>
          <w:tcPr>
            <w:tcW w:w="389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kern w:val="2"/>
                <w:sz w:val="20"/>
                <w:szCs w:val="20"/>
              </w:rPr>
            </w:pPr>
          </w:p>
        </w:tc>
        <w:tc>
          <w:tcPr>
            <w:tcW w:w="2638"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CellMar>
            <w:top w:w="0" w:type="dxa"/>
            <w:left w:w="170" w:type="dxa"/>
            <w:bottom w:w="0" w:type="dxa"/>
            <w:right w:w="170" w:type="dxa"/>
          </w:tblCellMar>
        </w:tblPrEx>
        <w:trPr>
          <w:trHeight w:val="300"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CellMar>
            <w:top w:w="0" w:type="dxa"/>
            <w:left w:w="170" w:type="dxa"/>
            <w:bottom w:w="0" w:type="dxa"/>
            <w:right w:w="170" w:type="dxa"/>
          </w:tblCellMar>
        </w:tblPrEx>
        <w:trPr>
          <w:trHeight w:val="300"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sz w:val="18"/>
                <w:szCs w:val="18"/>
              </w:rPr>
            </w:pPr>
            <w:r>
              <w:rPr>
                <w:rFonts w:hint="default" w:ascii="Times New Roman" w:hAnsi="Times New Roman"/>
                <w:sz w:val="18"/>
                <w:szCs w:val="18"/>
              </w:rPr>
              <w:t>53.23</w:t>
            </w:r>
          </w:p>
        </w:tc>
      </w:tr>
      <w:tr>
        <w:tblPrEx>
          <w:tblCellMar>
            <w:top w:w="0" w:type="dxa"/>
            <w:left w:w="170" w:type="dxa"/>
            <w:bottom w:w="0" w:type="dxa"/>
            <w:right w:w="170" w:type="dxa"/>
          </w:tblCellMar>
        </w:tblPrEx>
        <w:trPr>
          <w:trHeight w:val="310"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r>
              <w:rPr>
                <w:rFonts w:hint="default" w:ascii="Times New Roman" w:hAnsi="Times New Roman"/>
                <w:kern w:val="2"/>
                <w:sz w:val="18"/>
                <w:szCs w:val="18"/>
              </w:rPr>
              <w:t>28.35</w:t>
            </w: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r>
              <w:rPr>
                <w:rFonts w:hint="default" w:ascii="Times New Roman" w:hAnsi="Times New Roman"/>
                <w:kern w:val="2"/>
                <w:sz w:val="18"/>
                <w:szCs w:val="18"/>
              </w:rPr>
              <w:t>28.35</w:t>
            </w: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sz w:val="18"/>
                <w:szCs w:val="18"/>
              </w:rPr>
            </w:pPr>
            <w:r>
              <w:rPr>
                <w:rFonts w:hint="default" w:ascii="Times New Roman" w:hAnsi="Times New Roman"/>
                <w:sz w:val="18"/>
                <w:szCs w:val="18"/>
              </w:rPr>
              <w:t>53.23</w:t>
            </w:r>
          </w:p>
        </w:tc>
      </w:tr>
      <w:tr>
        <w:tblPrEx>
          <w:tblCellMar>
            <w:top w:w="0" w:type="dxa"/>
            <w:left w:w="170" w:type="dxa"/>
            <w:bottom w:w="0" w:type="dxa"/>
            <w:right w:w="170" w:type="dxa"/>
          </w:tblCellMar>
        </w:tblPrEx>
        <w:trPr>
          <w:trHeight w:val="310"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sz w:val="18"/>
                <w:szCs w:val="18"/>
              </w:rPr>
            </w:pPr>
          </w:p>
        </w:tc>
      </w:tr>
      <w:tr>
        <w:tblPrEx>
          <w:tblCellMar>
            <w:top w:w="0" w:type="dxa"/>
            <w:left w:w="170" w:type="dxa"/>
            <w:bottom w:w="0" w:type="dxa"/>
            <w:right w:w="170" w:type="dxa"/>
          </w:tblCellMar>
        </w:tblPrEx>
        <w:trPr>
          <w:trHeight w:val="310"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r>
              <w:rPr>
                <w:rFonts w:hint="default" w:ascii="Times New Roman" w:hAnsi="Times New Roman"/>
                <w:kern w:val="2"/>
                <w:sz w:val="18"/>
                <w:szCs w:val="18"/>
              </w:rPr>
              <w:t>28.35</w:t>
            </w: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r>
              <w:rPr>
                <w:rFonts w:hint="default" w:ascii="Times New Roman" w:hAnsi="Times New Roman"/>
                <w:kern w:val="2"/>
                <w:sz w:val="18"/>
                <w:szCs w:val="18"/>
              </w:rPr>
              <w:t>28.35</w:t>
            </w: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CellMar>
            <w:top w:w="0" w:type="dxa"/>
            <w:left w:w="170" w:type="dxa"/>
            <w:bottom w:w="0" w:type="dxa"/>
            <w:right w:w="170" w:type="dxa"/>
          </w:tblCellMar>
        </w:tblPrEx>
        <w:trPr>
          <w:trHeight w:val="310"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r>
              <w:rPr>
                <w:rFonts w:hint="default" w:ascii="Times New Roman" w:hAnsi="Times New Roman"/>
                <w:kern w:val="2"/>
                <w:sz w:val="18"/>
                <w:szCs w:val="18"/>
              </w:rPr>
              <w:t>24.96</w:t>
            </w: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r>
              <w:rPr>
                <w:rFonts w:hint="default" w:ascii="Times New Roman" w:hAnsi="Times New Roman"/>
                <w:kern w:val="2"/>
                <w:sz w:val="18"/>
                <w:szCs w:val="18"/>
              </w:rPr>
              <w:t>24.96</w:t>
            </w: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sz w:val="18"/>
                <w:szCs w:val="18"/>
              </w:rPr>
            </w:pPr>
            <w:r>
              <w:rPr>
                <w:rFonts w:hint="default" w:ascii="Times New Roman" w:hAnsi="Times New Roman"/>
                <w:sz w:val="18"/>
                <w:szCs w:val="18"/>
              </w:rPr>
              <w:t>1</w:t>
            </w:r>
          </w:p>
        </w:tc>
      </w:tr>
      <w:tr>
        <w:tblPrEx>
          <w:tblCellMar>
            <w:top w:w="0" w:type="dxa"/>
            <w:left w:w="170" w:type="dxa"/>
            <w:bottom w:w="0" w:type="dxa"/>
            <w:right w:w="170" w:type="dxa"/>
          </w:tblCellMar>
        </w:tblPrEx>
        <w:trPr>
          <w:trHeight w:val="310"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r>
              <w:rPr>
                <w:rFonts w:hint="default" w:ascii="Times New Roman" w:hAnsi="Times New Roman"/>
                <w:kern w:val="2"/>
                <w:sz w:val="18"/>
                <w:szCs w:val="18"/>
              </w:rPr>
              <w:t>3.39</w:t>
            </w: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r>
              <w:rPr>
                <w:rFonts w:hint="default" w:ascii="Times New Roman" w:hAnsi="Times New Roman"/>
                <w:kern w:val="2"/>
                <w:sz w:val="18"/>
                <w:szCs w:val="18"/>
              </w:rPr>
              <w:t>3.39</w:t>
            </w: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sz w:val="18"/>
                <w:szCs w:val="18"/>
              </w:rPr>
            </w:pPr>
          </w:p>
        </w:tc>
      </w:tr>
      <w:tr>
        <w:tblPrEx>
          <w:tblCellMar>
            <w:top w:w="0" w:type="dxa"/>
            <w:left w:w="170" w:type="dxa"/>
            <w:bottom w:w="0" w:type="dxa"/>
            <w:right w:w="170" w:type="dxa"/>
          </w:tblCellMar>
        </w:tblPrEx>
        <w:trPr>
          <w:trHeight w:val="310"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sz w:val="18"/>
                <w:szCs w:val="18"/>
              </w:rPr>
            </w:pPr>
          </w:p>
        </w:tc>
      </w:tr>
      <w:tr>
        <w:tblPrEx>
          <w:tblCellMar>
            <w:top w:w="0" w:type="dxa"/>
            <w:left w:w="170" w:type="dxa"/>
            <w:bottom w:w="0" w:type="dxa"/>
            <w:right w:w="170" w:type="dxa"/>
          </w:tblCellMar>
        </w:tblPrEx>
        <w:trPr>
          <w:trHeight w:val="310"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sz w:val="18"/>
                <w:szCs w:val="18"/>
              </w:rPr>
            </w:pPr>
          </w:p>
        </w:tc>
      </w:tr>
      <w:tr>
        <w:tblPrEx>
          <w:tblCellMar>
            <w:top w:w="0" w:type="dxa"/>
            <w:left w:w="170" w:type="dxa"/>
            <w:bottom w:w="0" w:type="dxa"/>
            <w:right w:w="170" w:type="dxa"/>
          </w:tblCellMar>
        </w:tblPrEx>
        <w:trPr>
          <w:trHeight w:val="310"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sz w:val="18"/>
                <w:szCs w:val="18"/>
              </w:rPr>
            </w:pPr>
            <w:r>
              <w:rPr>
                <w:rFonts w:hint="default" w:ascii="Times New Roman" w:hAnsi="Times New Roman"/>
                <w:sz w:val="18"/>
                <w:szCs w:val="18"/>
              </w:rPr>
              <w:t>1</w:t>
            </w:r>
          </w:p>
        </w:tc>
      </w:tr>
      <w:tr>
        <w:tblPrEx>
          <w:tblCellMar>
            <w:top w:w="0" w:type="dxa"/>
            <w:left w:w="170" w:type="dxa"/>
            <w:bottom w:w="0" w:type="dxa"/>
            <w:right w:w="170" w:type="dxa"/>
          </w:tblCellMar>
        </w:tblPrEx>
        <w:trPr>
          <w:trHeight w:val="310"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sz w:val="18"/>
                <w:szCs w:val="18"/>
              </w:rPr>
            </w:pPr>
          </w:p>
        </w:tc>
      </w:tr>
      <w:tr>
        <w:tblPrEx>
          <w:tblCellMar>
            <w:top w:w="0" w:type="dxa"/>
            <w:left w:w="170" w:type="dxa"/>
            <w:bottom w:w="0" w:type="dxa"/>
            <w:right w:w="170" w:type="dxa"/>
          </w:tblCellMar>
        </w:tblPrEx>
        <w:trPr>
          <w:trHeight w:val="310"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sz w:val="18"/>
                <w:szCs w:val="18"/>
              </w:rPr>
            </w:pPr>
          </w:p>
        </w:tc>
      </w:tr>
      <w:tr>
        <w:tblPrEx>
          <w:tblCellMar>
            <w:top w:w="0" w:type="dxa"/>
            <w:left w:w="170" w:type="dxa"/>
            <w:bottom w:w="0" w:type="dxa"/>
            <w:right w:w="170" w:type="dxa"/>
          </w:tblCellMar>
        </w:tblPrEx>
        <w:trPr>
          <w:trHeight w:val="310"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sz w:val="18"/>
                <w:szCs w:val="18"/>
              </w:rPr>
            </w:pPr>
          </w:p>
        </w:tc>
      </w:tr>
      <w:tr>
        <w:tblPrEx>
          <w:tblCellMar>
            <w:top w:w="0" w:type="dxa"/>
            <w:left w:w="170" w:type="dxa"/>
            <w:bottom w:w="0" w:type="dxa"/>
            <w:right w:w="170" w:type="dxa"/>
          </w:tblCellMar>
        </w:tblPrEx>
        <w:trPr>
          <w:trHeight w:val="310"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sz w:val="18"/>
                <w:szCs w:val="18"/>
              </w:rPr>
            </w:pPr>
          </w:p>
        </w:tc>
      </w:tr>
      <w:tr>
        <w:tblPrEx>
          <w:tblCellMar>
            <w:top w:w="0" w:type="dxa"/>
            <w:left w:w="170" w:type="dxa"/>
            <w:bottom w:w="0" w:type="dxa"/>
            <w:right w:w="170" w:type="dxa"/>
          </w:tblCellMar>
        </w:tblPrEx>
        <w:trPr>
          <w:trHeight w:val="310"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r>
              <w:rPr>
                <w:rFonts w:hint="default" w:ascii="Times New Roman" w:hAnsi="Times New Roman"/>
                <w:kern w:val="2"/>
                <w:sz w:val="18"/>
                <w:szCs w:val="18"/>
              </w:rPr>
              <w:t>1</w:t>
            </w: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sz w:val="18"/>
                <w:szCs w:val="18"/>
              </w:rPr>
            </w:pPr>
          </w:p>
        </w:tc>
      </w:tr>
      <w:tr>
        <w:tblPrEx>
          <w:tblCellMar>
            <w:top w:w="0" w:type="dxa"/>
            <w:left w:w="170" w:type="dxa"/>
            <w:bottom w:w="0" w:type="dxa"/>
            <w:right w:w="170" w:type="dxa"/>
          </w:tblCellMar>
        </w:tblPrEx>
        <w:trPr>
          <w:trHeight w:val="310"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r>
              <w:rPr>
                <w:rFonts w:hint="default" w:ascii="Times New Roman" w:hAnsi="Times New Roman"/>
                <w:kern w:val="2"/>
                <w:sz w:val="18"/>
                <w:szCs w:val="18"/>
              </w:rPr>
              <w:t>1</w:t>
            </w: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CellMar>
            <w:top w:w="0" w:type="dxa"/>
            <w:left w:w="170" w:type="dxa"/>
            <w:bottom w:w="0" w:type="dxa"/>
            <w:right w:w="170" w:type="dxa"/>
          </w:tblCellMar>
        </w:tblPrEx>
        <w:trPr>
          <w:trHeight w:val="310"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sz w:val="18"/>
                <w:szCs w:val="18"/>
              </w:rPr>
            </w:pPr>
            <w:r>
              <w:rPr>
                <w:rFonts w:hint="default" w:ascii="Times New Roman" w:hAnsi="Times New Roman"/>
                <w:sz w:val="18"/>
                <w:szCs w:val="18"/>
              </w:rPr>
              <w:t>29.91</w:t>
            </w:r>
          </w:p>
        </w:tc>
      </w:tr>
      <w:tr>
        <w:tblPrEx>
          <w:tblCellMar>
            <w:top w:w="0" w:type="dxa"/>
            <w:left w:w="170" w:type="dxa"/>
            <w:bottom w:w="0" w:type="dxa"/>
            <w:right w:w="170" w:type="dxa"/>
          </w:tblCellMar>
        </w:tblPrEx>
        <w:trPr>
          <w:trHeight w:val="310"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sz w:val="18"/>
                <w:szCs w:val="18"/>
              </w:rPr>
            </w:pPr>
            <w:r>
              <w:rPr>
                <w:rFonts w:hint="default" w:ascii="Times New Roman" w:hAnsi="Times New Roman"/>
                <w:sz w:val="18"/>
                <w:szCs w:val="18"/>
              </w:rPr>
              <w:t>29.91</w:t>
            </w:r>
          </w:p>
        </w:tc>
      </w:tr>
      <w:tr>
        <w:tblPrEx>
          <w:tblCellMar>
            <w:top w:w="0" w:type="dxa"/>
            <w:left w:w="170" w:type="dxa"/>
            <w:bottom w:w="0" w:type="dxa"/>
            <w:right w:w="170" w:type="dxa"/>
          </w:tblCellMar>
        </w:tblPrEx>
        <w:trPr>
          <w:trHeight w:val="310"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sz w:val="18"/>
                <w:szCs w:val="18"/>
              </w:rPr>
            </w:pPr>
          </w:p>
        </w:tc>
      </w:tr>
      <w:tr>
        <w:tblPrEx>
          <w:tblCellMar>
            <w:top w:w="0" w:type="dxa"/>
            <w:left w:w="170" w:type="dxa"/>
            <w:bottom w:w="0" w:type="dxa"/>
            <w:right w:w="170" w:type="dxa"/>
          </w:tblCellMar>
        </w:tblPrEx>
        <w:trPr>
          <w:trHeight w:val="310"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sz w:val="18"/>
                <w:szCs w:val="18"/>
              </w:rPr>
            </w:pPr>
          </w:p>
        </w:tc>
      </w:tr>
      <w:tr>
        <w:tblPrEx>
          <w:tblCellMar>
            <w:top w:w="0" w:type="dxa"/>
            <w:left w:w="170" w:type="dxa"/>
            <w:bottom w:w="0" w:type="dxa"/>
            <w:right w:w="170" w:type="dxa"/>
          </w:tblCellMar>
        </w:tblPrEx>
        <w:trPr>
          <w:trHeight w:val="310"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sz w:val="18"/>
                <w:szCs w:val="18"/>
              </w:rPr>
            </w:pPr>
            <w:r>
              <w:rPr>
                <w:rFonts w:hint="default" w:ascii="Times New Roman" w:hAnsi="Times New Roman"/>
                <w:sz w:val="18"/>
                <w:szCs w:val="18"/>
              </w:rPr>
              <w:t>29.91</w:t>
            </w:r>
          </w:p>
        </w:tc>
      </w:tr>
      <w:tr>
        <w:tblPrEx>
          <w:tblCellMar>
            <w:top w:w="0" w:type="dxa"/>
            <w:left w:w="170" w:type="dxa"/>
            <w:bottom w:w="0" w:type="dxa"/>
            <w:right w:w="170" w:type="dxa"/>
          </w:tblCellMar>
        </w:tblPrEx>
        <w:trPr>
          <w:trHeight w:val="310"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sz w:val="18"/>
                <w:szCs w:val="18"/>
              </w:rPr>
            </w:pPr>
            <w:r>
              <w:rPr>
                <w:rFonts w:hint="default" w:ascii="Times New Roman" w:hAnsi="Times New Roman"/>
                <w:sz w:val="18"/>
                <w:szCs w:val="18"/>
              </w:rPr>
              <w:t>29.91</w:t>
            </w:r>
          </w:p>
        </w:tc>
      </w:tr>
      <w:tr>
        <w:tblPrEx>
          <w:tblCellMar>
            <w:top w:w="0" w:type="dxa"/>
            <w:left w:w="170" w:type="dxa"/>
            <w:bottom w:w="0" w:type="dxa"/>
            <w:right w:w="170" w:type="dxa"/>
          </w:tblCellMar>
        </w:tblPrEx>
        <w:trPr>
          <w:trHeight w:val="304"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r>
              <w:rPr>
                <w:rFonts w:hint="default" w:ascii="Times New Roman" w:hAnsi="Times New Roman"/>
                <w:kern w:val="2"/>
                <w:sz w:val="18"/>
                <w:szCs w:val="18"/>
              </w:rPr>
              <w:t>0.72</w:t>
            </w: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kern w:val="2"/>
                <w:sz w:val="16"/>
                <w:szCs w:val="16"/>
              </w:rPr>
            </w:pP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center"/>
              <w:rPr>
                <w:rFonts w:hint="default" w:cs="宋体"/>
                <w:kern w:val="2"/>
                <w:sz w:val="16"/>
                <w:szCs w:val="16"/>
              </w:rPr>
            </w:pPr>
          </w:p>
        </w:tc>
      </w:tr>
      <w:tr>
        <w:tblPrEx>
          <w:tblCellMar>
            <w:top w:w="0" w:type="dxa"/>
            <w:left w:w="170" w:type="dxa"/>
            <w:bottom w:w="0" w:type="dxa"/>
            <w:right w:w="170" w:type="dxa"/>
          </w:tblCellMar>
        </w:tblPrEx>
        <w:trPr>
          <w:trHeight w:val="404"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kern w:val="2"/>
                <w:sz w:val="18"/>
                <w:szCs w:val="18"/>
              </w:rPr>
            </w:pP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kern w:val="2"/>
                <w:sz w:val="16"/>
                <w:szCs w:val="16"/>
              </w:rPr>
            </w:pP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kern w:val="2"/>
                <w:sz w:val="16"/>
                <w:szCs w:val="16"/>
              </w:rPr>
            </w:pPr>
          </w:p>
        </w:tc>
      </w:tr>
      <w:tr>
        <w:tblPrEx>
          <w:tblCellMar>
            <w:top w:w="0" w:type="dxa"/>
            <w:left w:w="170" w:type="dxa"/>
            <w:bottom w:w="0" w:type="dxa"/>
            <w:right w:w="170" w:type="dxa"/>
          </w:tblCellMar>
        </w:tblPrEx>
        <w:trPr>
          <w:trHeight w:val="414" w:hRule="atLeast"/>
        </w:trPr>
        <w:tc>
          <w:tcPr>
            <w:tcW w:w="3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5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center"/>
              <w:textAlignment w:val="bottom"/>
              <w:rPr>
                <w:rFonts w:hint="default" w:ascii="Times New Roman" w:hAnsi="Times New Roman"/>
                <w:sz w:val="18"/>
                <w:szCs w:val="18"/>
              </w:rPr>
            </w:pPr>
            <w:r>
              <w:rPr>
                <w:rFonts w:hint="default" w:ascii="Times New Roman" w:hAnsi="Times New Roman"/>
                <w:sz w:val="18"/>
                <w:szCs w:val="18"/>
              </w:rPr>
              <w:t>20.50</w:t>
            </w:r>
          </w:p>
        </w:tc>
        <w:tc>
          <w:tcPr>
            <w:tcW w:w="38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sz w:val="16"/>
                <w:szCs w:val="16"/>
              </w:rPr>
            </w:pPr>
          </w:p>
        </w:tc>
        <w:tc>
          <w:tcPr>
            <w:tcW w:w="26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sz w:val="16"/>
                <w:szCs w:val="16"/>
              </w:rPr>
            </w:pPr>
          </w:p>
        </w:tc>
      </w:tr>
    </w:tbl>
    <w:p>
      <w:pPr>
        <w:snapToGrid w:val="0"/>
        <w:rPr>
          <w:rFonts w:hint="default"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DB1BD7-17E3-4004-8D26-092B4A2298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14D82F5-CE17-481A-B816-0135221EA3B9}"/>
  </w:font>
  <w:font w:name="方正黑体_GBK">
    <w:panose1 w:val="02000000000000000000"/>
    <w:charset w:val="86"/>
    <w:family w:val="script"/>
    <w:pitch w:val="default"/>
    <w:sig w:usb0="A00002BF" w:usb1="38CF7CFA" w:usb2="00082016" w:usb3="00000000" w:csb0="00040001" w:csb1="00000000"/>
    <w:embedRegular r:id="rId3" w:fontKey="{987CFC34-BFDC-404D-8770-59C8E7DDED64}"/>
  </w:font>
  <w:font w:name="方正楷体_GB2312">
    <w:altName w:val="楷体_GB2312"/>
    <w:panose1 w:val="00000000000000000000"/>
    <w:charset w:val="86"/>
    <w:family w:val="auto"/>
    <w:pitch w:val="default"/>
    <w:sig w:usb0="00000000" w:usb1="00000000" w:usb2="00000000" w:usb3="00000000" w:csb0="00000000" w:csb1="00000000"/>
    <w:embedRegular r:id="rId4" w:fontKey="{712C4E89-C68F-433A-A14D-E56F44F461A1}"/>
  </w:font>
  <w:font w:name="方正仿宋_GB2312">
    <w:altName w:val="仿宋"/>
    <w:panose1 w:val="00000000000000000000"/>
    <w:charset w:val="00"/>
    <w:family w:val="auto"/>
    <w:pitch w:val="default"/>
    <w:sig w:usb0="00000000" w:usb1="00000000" w:usb2="00000000" w:usb3="00000000" w:csb0="00000000" w:csb1="00000000"/>
    <w:embedRegular r:id="rId5" w:fontKey="{3E3F6FE3-7307-4B03-9B30-FDEFB2F62495}"/>
  </w:font>
  <w:font w:name="方正仿宋_GBK">
    <w:panose1 w:val="02000000000000000000"/>
    <w:charset w:val="86"/>
    <w:family w:val="script"/>
    <w:pitch w:val="default"/>
    <w:sig w:usb0="A00002BF" w:usb1="38CF7CFA" w:usb2="00082016" w:usb3="00000000" w:csb0="00040001" w:csb1="00000000"/>
    <w:embedRegular r:id="rId6" w:fontKey="{76A16641-C35F-49B8-BEE1-E21A466EEE09}"/>
  </w:font>
  <w:font w:name="微软雅黑">
    <w:panose1 w:val="020B0503020204020204"/>
    <w:charset w:val="86"/>
    <w:family w:val="swiss"/>
    <w:pitch w:val="default"/>
    <w:sig w:usb0="80000287" w:usb1="2ACF3C50" w:usb2="00000016" w:usb3="00000000" w:csb0="0004001F" w:csb1="00000000"/>
    <w:embedRegular r:id="rId7" w:fontKey="{9312DF12-ACEA-4FEB-A60F-D9250AB6D627}"/>
  </w:font>
  <w:font w:name="楷体">
    <w:panose1 w:val="02010609060101010101"/>
    <w:charset w:val="86"/>
    <w:family w:val="modern"/>
    <w:pitch w:val="default"/>
    <w:sig w:usb0="800002BF" w:usb1="38CF7CFA" w:usb2="00000016" w:usb3="00000000" w:csb0="00040001" w:csb1="00000000"/>
    <w:embedRegular r:id="rId8" w:fontKey="{D73511AD-381C-4EA7-9EAE-0A07330A3568}"/>
  </w:font>
  <w:font w:name="Arial">
    <w:panose1 w:val="020B0604020202020204"/>
    <w:charset w:val="00"/>
    <w:family w:val="swiss"/>
    <w:pitch w:val="default"/>
    <w:sig w:usb0="E0002EFF" w:usb1="C000785B" w:usb2="00000009" w:usb3="00000000" w:csb0="400001FF" w:csb1="FFFF0000"/>
    <w:embedRegular r:id="rId9" w:fontKey="{CF620E64-878B-4AFD-B1DC-0C45F38546D4}"/>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20"/>
  <w:drawingGridVerticalSpacing w:val="164"/>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B1DDC"/>
    <w:rsid w:val="001D3BB7"/>
    <w:rsid w:val="002B254B"/>
    <w:rsid w:val="003D2409"/>
    <w:rsid w:val="00466C9B"/>
    <w:rsid w:val="00550ABE"/>
    <w:rsid w:val="00770383"/>
    <w:rsid w:val="007819D4"/>
    <w:rsid w:val="007B419D"/>
    <w:rsid w:val="007B7C4B"/>
    <w:rsid w:val="007D3D39"/>
    <w:rsid w:val="007F10A6"/>
    <w:rsid w:val="00994AF7"/>
    <w:rsid w:val="009B67B8"/>
    <w:rsid w:val="009D2B67"/>
    <w:rsid w:val="00A566F9"/>
    <w:rsid w:val="00AF2751"/>
    <w:rsid w:val="00B03CCD"/>
    <w:rsid w:val="00B47E6E"/>
    <w:rsid w:val="00BE2B89"/>
    <w:rsid w:val="00C10E9E"/>
    <w:rsid w:val="00C20C3E"/>
    <w:rsid w:val="00CF2ACF"/>
    <w:rsid w:val="00F73F90"/>
    <w:rsid w:val="00FB4B3B"/>
    <w:rsid w:val="01474EBF"/>
    <w:rsid w:val="01483505"/>
    <w:rsid w:val="01F3521E"/>
    <w:rsid w:val="03B87EA0"/>
    <w:rsid w:val="03E3214F"/>
    <w:rsid w:val="044C50BA"/>
    <w:rsid w:val="05BC6D49"/>
    <w:rsid w:val="06194FF1"/>
    <w:rsid w:val="06A2550B"/>
    <w:rsid w:val="06F80EE2"/>
    <w:rsid w:val="07001CCA"/>
    <w:rsid w:val="07101279"/>
    <w:rsid w:val="075678DB"/>
    <w:rsid w:val="079D7CC7"/>
    <w:rsid w:val="08051BCA"/>
    <w:rsid w:val="08334F4C"/>
    <w:rsid w:val="086C12F4"/>
    <w:rsid w:val="08705944"/>
    <w:rsid w:val="08BA052C"/>
    <w:rsid w:val="08DB07BA"/>
    <w:rsid w:val="0969353F"/>
    <w:rsid w:val="097D17FC"/>
    <w:rsid w:val="098305D0"/>
    <w:rsid w:val="0A3317EA"/>
    <w:rsid w:val="0A5C4B69"/>
    <w:rsid w:val="0A86124A"/>
    <w:rsid w:val="0AB54CC0"/>
    <w:rsid w:val="0B156E0E"/>
    <w:rsid w:val="0B9335CE"/>
    <w:rsid w:val="0BF2311A"/>
    <w:rsid w:val="0C2A5909"/>
    <w:rsid w:val="0C7927C4"/>
    <w:rsid w:val="0C9B098C"/>
    <w:rsid w:val="0D1A57A1"/>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311E8E"/>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D516DA9"/>
    <w:rsid w:val="2FCA4B37"/>
    <w:rsid w:val="2FE029D7"/>
    <w:rsid w:val="2FF06E00"/>
    <w:rsid w:val="30586FEC"/>
    <w:rsid w:val="315F0B22"/>
    <w:rsid w:val="31D84415"/>
    <w:rsid w:val="32285F6F"/>
    <w:rsid w:val="32770556"/>
    <w:rsid w:val="329C0913"/>
    <w:rsid w:val="32AA0460"/>
    <w:rsid w:val="32E173A7"/>
    <w:rsid w:val="3337290D"/>
    <w:rsid w:val="33E31118"/>
    <w:rsid w:val="33EF7674"/>
    <w:rsid w:val="342D7BC6"/>
    <w:rsid w:val="352930DB"/>
    <w:rsid w:val="35573069"/>
    <w:rsid w:val="355F6038"/>
    <w:rsid w:val="358C217E"/>
    <w:rsid w:val="36C11CBB"/>
    <w:rsid w:val="36C9128A"/>
    <w:rsid w:val="37841E99"/>
    <w:rsid w:val="37BF1123"/>
    <w:rsid w:val="383C3F15"/>
    <w:rsid w:val="38653347"/>
    <w:rsid w:val="38BE4696"/>
    <w:rsid w:val="3939115E"/>
    <w:rsid w:val="39B82A39"/>
    <w:rsid w:val="39C42CA8"/>
    <w:rsid w:val="39DC4FD6"/>
    <w:rsid w:val="39F03D7A"/>
    <w:rsid w:val="39F33306"/>
    <w:rsid w:val="3A2C1C67"/>
    <w:rsid w:val="3A4552B6"/>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670FED"/>
    <w:rsid w:val="439A3EB9"/>
    <w:rsid w:val="43BB152F"/>
    <w:rsid w:val="44C37687"/>
    <w:rsid w:val="45CB699A"/>
    <w:rsid w:val="45E2495B"/>
    <w:rsid w:val="46564467"/>
    <w:rsid w:val="465B470D"/>
    <w:rsid w:val="469D6AD4"/>
    <w:rsid w:val="471E6C84"/>
    <w:rsid w:val="4748792B"/>
    <w:rsid w:val="475D719D"/>
    <w:rsid w:val="47674801"/>
    <w:rsid w:val="48225EF7"/>
    <w:rsid w:val="488F422B"/>
    <w:rsid w:val="48E36915"/>
    <w:rsid w:val="48EB6572"/>
    <w:rsid w:val="495C4A24"/>
    <w:rsid w:val="497135DF"/>
    <w:rsid w:val="49DD73A3"/>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D683540"/>
    <w:rsid w:val="5F2D4A41"/>
    <w:rsid w:val="60C74F6C"/>
    <w:rsid w:val="61025A59"/>
    <w:rsid w:val="612A53A0"/>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CA87DFD"/>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3C4DFB"/>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E164407"/>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9794</Words>
  <Characters>13030</Characters>
  <Lines>112</Lines>
  <Paragraphs>31</Paragraphs>
  <TotalTime>4</TotalTime>
  <ScaleCrop>false</ScaleCrop>
  <LinksUpToDate>false</LinksUpToDate>
  <CharactersWithSpaces>13608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HUAWEI</cp:lastModifiedBy>
  <cp:lastPrinted>2025-08-18T01:43:00Z</cp:lastPrinted>
  <dcterms:modified xsi:type="dcterms:W3CDTF">2025-10-22T02:34:42Z</dcterms:modified>
  <dc:title>垫江县统计局（本级）2024年度决算公开说明</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FF3E1509CFAA42D98909F88A548C1406_13</vt:lpwstr>
  </property>
  <property fmtid="{D5CDD505-2E9C-101B-9397-08002B2CF9AE}" pid="4" name="KSOTemplateDocerSaveRecord">
    <vt:lpwstr>eyJoZGlkIjoiYWE3Y2JiMTMzNjA4NjZjZDUyMDg1NmNmYzFjNTZkNGQiLCJ1c2VySWQiOiI3MzM4ODgyIn0=</vt:lpwstr>
  </property>
</Properties>
</file>