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垫江县统计局</w:t>
      </w:r>
      <w:r>
        <w:rPr>
          <w:rFonts w:ascii="方正小标宋_GBK" w:hAnsi="方正小标宋_GBK" w:eastAsia="方正小标宋_GBK" w:cs="方正小标宋_GBK"/>
          <w:sz w:val="44"/>
          <w:szCs w:val="44"/>
          <w:shd w:val="clear" w:color="auto" w:fill="FFFFFF"/>
        </w:rPr>
        <w:t>2024年度决算公开说明</w:t>
      </w:r>
    </w:p>
    <w:p>
      <w:pPr>
        <w:pStyle w:val="6"/>
        <w:widowControl w:val="0"/>
        <w:shd w:val="clear" w:color="auto" w:fill="FFFFFF"/>
        <w:overflowPunct w:val="0"/>
        <w:spacing w:before="0" w:beforeAutospacing="0" w:after="0" w:afterAutospacing="0" w:line="594" w:lineRule="exact"/>
        <w:ind w:firstLine="640" w:firstLineChars="200"/>
        <w:jc w:val="both"/>
        <w:rPr>
          <w:rFonts w:hint="default" w:ascii="方正黑体_GBK" w:hAnsi="方正黑体_GBK" w:eastAsia="方正黑体_GBK" w:cs="方正黑体_GBK"/>
          <w:bCs/>
          <w:sz w:val="32"/>
          <w:szCs w:val="32"/>
        </w:rPr>
      </w:pPr>
      <w:r>
        <w:rPr>
          <w:rStyle w:val="10"/>
          <w:rFonts w:ascii="方正黑体_GBK" w:hAnsi="方正黑体_GBK" w:eastAsia="方正黑体_GBK" w:cs="方正黑体_GBK"/>
          <w:b w:val="0"/>
          <w:bCs/>
          <w:sz w:val="32"/>
          <w:szCs w:val="32"/>
          <w:shd w:val="clear" w:color="auto" w:fill="FFFFFF"/>
        </w:rPr>
        <w:t>一、部门基本情况</w:t>
      </w:r>
    </w:p>
    <w:p>
      <w:pPr>
        <w:pStyle w:val="6"/>
        <w:widowControl w:val="0"/>
        <w:shd w:val="clear" w:color="auto" w:fill="FFFFFF"/>
        <w:overflowPunct w:val="0"/>
        <w:spacing w:before="0" w:beforeAutospacing="0" w:after="0" w:afterAutospacing="0" w:line="594" w:lineRule="exact"/>
        <w:ind w:firstLine="640" w:firstLineChars="200"/>
        <w:jc w:val="both"/>
        <w:rPr>
          <w:rFonts w:hint="default" w:ascii="方正楷体_GB2312" w:hAnsi="方正楷体_GB2312" w:eastAsia="方正楷体_GB2312" w:cs="方正楷体_GB2312"/>
          <w:bCs/>
          <w:sz w:val="32"/>
          <w:szCs w:val="32"/>
        </w:rPr>
      </w:pPr>
      <w:r>
        <w:rPr>
          <w:rStyle w:val="10"/>
          <w:rFonts w:ascii="方正楷体_GB2312" w:hAnsi="方正楷体_GB2312" w:eastAsia="方正楷体_GB2312" w:cs="方正楷体_GB2312"/>
          <w:b w:val="0"/>
          <w:bCs/>
          <w:sz w:val="32"/>
          <w:szCs w:val="32"/>
          <w:shd w:val="clear" w:color="auto" w:fill="FFFFFF"/>
        </w:rPr>
        <w:t>（一）职能职责</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1.承担组织领导和管理协调全县统计工作，确保统计数据真实、准确、及时的责任；制定并组织实施地方统计调查制度和统计改革发展规划。 </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2.贯彻执行统计法律、法规、规章和方针政策，查处统计违法违纪行为，承办统计行政复议等法律事务。 </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3.管理和指导部门（行业）统计工作，协调政府综合统计与部门统计之间的关系。 </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4.会同有关部门拟定县情县力普查方案，组织实施全县人口、经济、农业等有关普查、专项调查，搜集、整理和提 供有关统计数据。 </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5.整理、核定、管理、提供、发布全县基本统计资料，发布全县国民经济和社会发展情况的统计信息。 </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6.发挥统计分析、统计预警和统计监督职能。 </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7.促进全县统计人才队伍建设，组织管理全县统计专业资格考试等工作。 </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8.承办县政府交办的其他事项。</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（二）机构设置</w:t>
      </w:r>
    </w:p>
    <w:p>
      <w:pPr>
        <w:widowControl w:val="0"/>
        <w:overflowPunct w:val="0"/>
        <w:autoSpaceDE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垫江县统计局为县政府工作部门，内设办公室、综合统计科、工业建筑业统计科、商贸服务业统计科4个职能科室。垫江县社会经济调查队（参公）、垫江县统计执法检查大队、垫江县社情民意调查中心（挂垫江县普查中心牌子）三个下属事业单位。2024年末在职职工22人，退休人员11人。</w:t>
      </w:r>
    </w:p>
    <w:p>
      <w:pPr>
        <w:pStyle w:val="6"/>
        <w:widowControl w:val="0"/>
        <w:shd w:val="clear" w:color="auto" w:fill="FFFFFF"/>
        <w:overflowPunct w:val="0"/>
        <w:spacing w:before="0" w:beforeAutospacing="0" w:after="0" w:afterAutospacing="0" w:line="594" w:lineRule="exact"/>
        <w:ind w:firstLine="643" w:firstLineChars="200"/>
        <w:jc w:val="both"/>
        <w:rPr>
          <w:rStyle w:val="10"/>
          <w:rFonts w:hint="default" w:ascii="方正黑体_GBK" w:hAnsi="方正黑体_GBK" w:eastAsia="方正黑体_GBK" w:cs="方正黑体_GBK"/>
          <w:b w:val="0"/>
          <w:bCs/>
          <w:sz w:val="32"/>
          <w:szCs w:val="32"/>
          <w:shd w:val="clear" w:color="auto" w:fill="FFFFFF"/>
        </w:rPr>
      </w:pPr>
      <w:r>
        <w:rPr>
          <w:rStyle w:val="10"/>
          <w:rFonts w:hint="default" w:ascii="黑体" w:hAnsi="黑体" w:eastAsia="黑体" w:cs="黑体"/>
          <w:sz w:val="32"/>
          <w:szCs w:val="32"/>
          <w:shd w:val="clear" w:color="auto" w:fill="FFFFFF"/>
        </w:rPr>
        <w:t>二、部门</w:t>
      </w:r>
      <w:r>
        <w:rPr>
          <w:rStyle w:val="10"/>
          <w:rFonts w:ascii="黑体" w:hAnsi="黑体" w:eastAsia="黑体" w:cs="黑体"/>
          <w:sz w:val="32"/>
          <w:szCs w:val="32"/>
          <w:shd w:val="clear" w:color="auto" w:fill="FFFFFF"/>
        </w:rPr>
        <w:t>决算收支情况说明</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（一）收入支出决算总体情况说明</w:t>
      </w:r>
    </w:p>
    <w:p>
      <w:pPr>
        <w:pStyle w:val="6"/>
        <w:widowControl w:val="0"/>
        <w:shd w:val="clear" w:color="auto" w:fill="FFFFFF"/>
        <w:overflowPunct w:val="0"/>
        <w:spacing w:before="0" w:beforeAutospacing="0" w:after="0" w:afterAutospacing="0" w:line="594" w:lineRule="exact"/>
        <w:ind w:firstLine="643" w:firstLineChars="200"/>
        <w:jc w:val="both"/>
        <w:rPr>
          <w:rFonts w:hint="default" w:ascii="Times New Roman" w:hAnsi="Times New Roman" w:eastAsia="方正仿宋_GB2312"/>
          <w:sz w:val="32"/>
          <w:szCs w:val="32"/>
          <w:shd w:val="clear" w:color="auto" w:fill="FFFFFF"/>
        </w:rPr>
      </w:pPr>
      <w:r>
        <w:rPr>
          <w:rStyle w:val="10"/>
          <w:rFonts w:hint="default" w:ascii="Times New Roman" w:hAnsi="Times New Roman" w:eastAsia="方正仿宋_GB2312"/>
          <w:sz w:val="32"/>
          <w:szCs w:val="32"/>
          <w:shd w:val="clear" w:color="auto" w:fill="FFFFFF"/>
        </w:rPr>
        <w:t>1.总体情况。</w:t>
      </w:r>
      <w:r>
        <w:rPr>
          <w:rFonts w:hint="default" w:ascii="Times New Roman" w:hAnsi="Times New Roman" w:eastAsia="方正仿宋_GB2312"/>
          <w:sz w:val="32"/>
          <w:szCs w:val="32"/>
          <w:shd w:val="clear" w:color="auto" w:fill="FFFFFF"/>
        </w:rPr>
        <w:t>2024年度收入总计892.75万元，支出总计</w:t>
      </w:r>
      <w:r>
        <w:rPr>
          <w:rFonts w:hint="default" w:ascii="Times New Roman" w:hAnsi="Times New Roman" w:eastAsia="方正仿宋_GB2312"/>
          <w:sz w:val="32"/>
          <w:szCs w:val="32"/>
        </w:rPr>
        <w:t>892.75</w:t>
      </w:r>
      <w:r>
        <w:rPr>
          <w:rFonts w:hint="default" w:ascii="Times New Roman" w:hAnsi="Times New Roman" w:eastAsia="方正仿宋_GB2312"/>
          <w:sz w:val="32"/>
          <w:szCs w:val="32"/>
          <w:shd w:val="clear" w:color="auto" w:fill="FFFFFF"/>
        </w:rPr>
        <w:t xml:space="preserve">万元。收、支与2023年度相比，减少114.21万元，下降11.34%，主要原因是第五次全国经济普查经费减少。    </w:t>
      </w:r>
    </w:p>
    <w:p>
      <w:pPr>
        <w:pStyle w:val="6"/>
        <w:widowControl w:val="0"/>
        <w:shd w:val="clear" w:color="auto" w:fill="FFFFFF"/>
        <w:overflowPunct w:val="0"/>
        <w:spacing w:before="0" w:beforeAutospacing="0" w:after="0" w:afterAutospacing="0" w:line="594" w:lineRule="exact"/>
        <w:ind w:firstLine="640" w:firstLineChars="200"/>
        <w:jc w:val="both"/>
        <w:rPr>
          <w:rFonts w:hint="default" w:ascii="Times New Roman" w:hAnsi="Times New Roman" w:eastAsia="方正仿宋_GB2312"/>
          <w:sz w:val="32"/>
          <w:szCs w:val="32"/>
          <w:shd w:val="clear" w:color="auto" w:fill="FFFFFF"/>
        </w:rPr>
      </w:pPr>
      <w:r>
        <w:rPr>
          <w:rFonts w:hint="default" w:ascii="Times New Roman" w:hAnsi="Times New Roman" w:eastAsia="方正仿宋_GB2312"/>
          <w:sz w:val="32"/>
          <w:szCs w:val="32"/>
          <w:shd w:val="clear" w:color="auto" w:fill="FFFFFF"/>
        </w:rPr>
        <w:t xml:space="preserve"> </w:t>
      </w:r>
      <w:r>
        <w:rPr>
          <w:rStyle w:val="10"/>
          <w:rFonts w:hint="default" w:ascii="Times New Roman" w:hAnsi="Times New Roman" w:eastAsia="方正仿宋_GB2312"/>
          <w:sz w:val="32"/>
          <w:szCs w:val="32"/>
          <w:shd w:val="clear" w:color="auto" w:fill="FFFFFF"/>
        </w:rPr>
        <w:t>2.收入情况。</w:t>
      </w:r>
      <w:r>
        <w:rPr>
          <w:rFonts w:hint="default" w:ascii="Times New Roman" w:hAnsi="Times New Roman" w:eastAsia="方正仿宋_GB2312"/>
          <w:sz w:val="32"/>
          <w:szCs w:val="32"/>
          <w:shd w:val="clear" w:color="auto" w:fill="FFFFFF"/>
        </w:rPr>
        <w:t>2024年度收入合计892.75万元，与2023年度相比，增加20.79万元，增长2.38%，主要原因是专项统计业务收入增加。其中：财政拨款收入</w:t>
      </w:r>
      <w:r>
        <w:rPr>
          <w:rFonts w:hint="default" w:ascii="Times New Roman" w:hAnsi="Times New Roman" w:eastAsia="方正仿宋_GB2312"/>
          <w:sz w:val="32"/>
          <w:szCs w:val="32"/>
        </w:rPr>
        <w:t>892.75</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100.00</w:t>
      </w:r>
      <w:r>
        <w:rPr>
          <w:rFonts w:hint="default" w:ascii="Times New Roman" w:hAnsi="Times New Roman" w:eastAsia="方正仿宋_GB2312"/>
          <w:sz w:val="32"/>
          <w:szCs w:val="32"/>
          <w:shd w:val="clear" w:color="auto" w:fill="FFFFFF"/>
        </w:rPr>
        <w:t>%；事业收入</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万元，占0.00%；经营收入</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万元，占0.00%；其他收入</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万元，占0.00%。此外，使用非财政拨款结余和专用结余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万元，年初结转和结余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w:t>
      </w:r>
    </w:p>
    <w:p>
      <w:pPr>
        <w:pStyle w:val="6"/>
        <w:widowControl w:val="0"/>
        <w:overflowPunct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shd w:val="clear" w:color="auto" w:fill="FFFFFF"/>
        </w:rPr>
      </w:pPr>
      <w:r>
        <w:rPr>
          <w:rStyle w:val="10"/>
          <w:rFonts w:hint="default" w:ascii="Times New Roman" w:hAnsi="Times New Roman" w:eastAsia="方正仿宋_GB2312"/>
          <w:sz w:val="32"/>
          <w:szCs w:val="32"/>
          <w:shd w:val="clear" w:color="auto" w:fill="FFFFFF"/>
        </w:rPr>
        <w:t>3.支出情况。</w:t>
      </w:r>
      <w:r>
        <w:rPr>
          <w:rFonts w:hint="default" w:ascii="Times New Roman" w:hAnsi="Times New Roman" w:eastAsia="方正仿宋_GB2312"/>
          <w:sz w:val="32"/>
          <w:szCs w:val="32"/>
          <w:shd w:val="clear" w:color="auto" w:fill="FFFFFF"/>
        </w:rPr>
        <w:t>2024年度支出合计</w:t>
      </w:r>
      <w:r>
        <w:rPr>
          <w:rFonts w:hint="default" w:ascii="Times New Roman" w:hAnsi="Times New Roman" w:eastAsia="方正仿宋_GB2312"/>
          <w:sz w:val="32"/>
          <w:szCs w:val="32"/>
        </w:rPr>
        <w:t>892.75</w:t>
      </w:r>
      <w:r>
        <w:rPr>
          <w:rFonts w:hint="default" w:ascii="Times New Roman" w:hAnsi="Times New Roman" w:eastAsia="方正仿宋_GB2312"/>
          <w:sz w:val="32"/>
          <w:szCs w:val="32"/>
          <w:shd w:val="clear" w:color="auto" w:fill="FFFFFF"/>
        </w:rPr>
        <w:t>万元，与2023年度相比，减少114.21万元，下降11.34%，主要原因是第五次全国经济普查经费减少。其中：基本支出</w:t>
      </w:r>
      <w:r>
        <w:rPr>
          <w:rFonts w:hint="default" w:ascii="Times New Roman" w:hAnsi="Times New Roman" w:eastAsia="方正仿宋_GB2312"/>
          <w:sz w:val="32"/>
          <w:szCs w:val="32"/>
        </w:rPr>
        <w:t>572.91</w:t>
      </w:r>
      <w:r>
        <w:rPr>
          <w:rFonts w:hint="default" w:ascii="Times New Roman" w:hAnsi="Times New Roman" w:eastAsia="方正仿宋_GB2312"/>
          <w:sz w:val="32"/>
          <w:szCs w:val="32"/>
          <w:shd w:val="clear" w:color="auto" w:fill="FFFFFF"/>
        </w:rPr>
        <w:t>万元，占64.17%；项目支出</w:t>
      </w:r>
      <w:r>
        <w:rPr>
          <w:rFonts w:hint="default" w:ascii="Times New Roman" w:hAnsi="Times New Roman" w:eastAsia="方正仿宋_GB2312"/>
          <w:sz w:val="32"/>
          <w:szCs w:val="32"/>
        </w:rPr>
        <w:t>319.83</w:t>
      </w:r>
      <w:r>
        <w:rPr>
          <w:rFonts w:hint="default" w:ascii="Times New Roman" w:hAnsi="Times New Roman" w:eastAsia="方正仿宋_GB2312"/>
          <w:sz w:val="32"/>
          <w:szCs w:val="32"/>
          <w:shd w:val="clear" w:color="auto" w:fill="FFFFFF"/>
        </w:rPr>
        <w:t>万元，占35.83%；经营支出</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万元，占0.00%。此外，结余分配</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w:t>
      </w:r>
    </w:p>
    <w:p>
      <w:pPr>
        <w:pStyle w:val="6"/>
        <w:widowControl w:val="0"/>
        <w:overflowPunct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rPr>
      </w:pPr>
      <w:r>
        <w:rPr>
          <w:rStyle w:val="10"/>
          <w:rFonts w:hint="default" w:ascii="Times New Roman" w:hAnsi="Times New Roman" w:eastAsia="方正仿宋_GB2312"/>
          <w:sz w:val="32"/>
          <w:szCs w:val="32"/>
          <w:shd w:val="clear" w:color="auto" w:fill="FFFFFF"/>
        </w:rPr>
        <w:t>4.结转结余情况。</w:t>
      </w:r>
      <w:r>
        <w:rPr>
          <w:rFonts w:hint="default" w:ascii="Times New Roman" w:hAnsi="Times New Roman" w:eastAsia="方正仿宋_GB2312"/>
          <w:sz w:val="32"/>
          <w:szCs w:val="32"/>
          <w:shd w:val="clear" w:color="auto" w:fill="FFFFFF"/>
        </w:rPr>
        <w:t>2024年度年末结转和结余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万元，与2023年度相比，无增减，主要原因是</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资金已使用完，无年末结转和结余。</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（二）财政拨款收入支出决算总体情况说明</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2024年度财政拨款收、支总计892.75万元。与</w:t>
      </w:r>
      <w:r>
        <w:rPr>
          <w:rFonts w:ascii="Times New Roman" w:hAnsi="Times New Roman" w:eastAsia="方正仿宋_GB2312"/>
          <w:sz w:val="32"/>
          <w:szCs w:val="32"/>
          <w:shd w:val="clear" w:color="auto" w:fill="FFFFFF"/>
        </w:rPr>
        <w:t>2023</w:t>
      </w:r>
      <w:r>
        <w:rPr>
          <w:rFonts w:hint="default" w:ascii="Times New Roman" w:hAnsi="Times New Roman" w:eastAsia="方正仿宋_GB2312"/>
          <w:sz w:val="32"/>
          <w:szCs w:val="32"/>
          <w:shd w:val="clear" w:color="auto" w:fill="FFFFFF"/>
        </w:rPr>
        <w:t>年相比，财政拨款收、支总计各减少114.21万元，下降11.34%。主要原因是第五次全国经济普查经费减少。</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（三）一般公共预算财政拨款收入支出决算情况说明</w:t>
      </w:r>
    </w:p>
    <w:p>
      <w:pPr>
        <w:pStyle w:val="6"/>
        <w:widowControl w:val="0"/>
        <w:overflowPunct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rPr>
      </w:pPr>
      <w:r>
        <w:rPr>
          <w:rStyle w:val="10"/>
          <w:rFonts w:hint="default" w:ascii="Times New Roman" w:hAnsi="Times New Roman" w:eastAsia="方正仿宋_GB2312"/>
          <w:sz w:val="32"/>
          <w:szCs w:val="32"/>
          <w:shd w:val="clear" w:color="auto" w:fill="FFFFFF"/>
        </w:rPr>
        <w:t>1.收入情况。</w:t>
      </w:r>
      <w:r>
        <w:rPr>
          <w:rFonts w:hint="default" w:ascii="Times New Roman" w:hAnsi="Times New Roman" w:eastAsia="方正仿宋_GB2312"/>
          <w:sz w:val="32"/>
          <w:szCs w:val="32"/>
          <w:shd w:val="clear" w:color="auto" w:fill="FFFFFF"/>
        </w:rPr>
        <w:t>2024年度一般公共预算财政拨款收入</w:t>
      </w:r>
      <w:r>
        <w:rPr>
          <w:rFonts w:hint="default" w:ascii="Times New Roman" w:hAnsi="Times New Roman" w:eastAsia="方正仿宋_GB2312"/>
          <w:sz w:val="32"/>
          <w:szCs w:val="32"/>
        </w:rPr>
        <w:t>892.75</w:t>
      </w:r>
      <w:r>
        <w:rPr>
          <w:rFonts w:hint="default" w:ascii="Times New Roman" w:hAnsi="Times New Roman" w:eastAsia="方正仿宋_GB2312"/>
          <w:sz w:val="32"/>
          <w:szCs w:val="32"/>
          <w:shd w:val="clear" w:color="auto" w:fill="FFFFFF"/>
        </w:rPr>
        <w:t>万元，与2023年度相比，增加20.79万元，增长2.38%。主要原因是专项统计业务收入增加。较年初预算数减少72.47万元，下降7.51%。主要原因是财政收回部分第五次全国经济普查工作经费直接发放到乡镇。此外，年初财政拨款结转和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w:t>
      </w:r>
    </w:p>
    <w:p>
      <w:pPr>
        <w:pStyle w:val="6"/>
        <w:widowControl w:val="0"/>
        <w:overflowPunct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shd w:val="clear" w:color="auto" w:fill="FFFFFF"/>
        </w:rPr>
      </w:pPr>
      <w:r>
        <w:rPr>
          <w:rStyle w:val="10"/>
          <w:rFonts w:hint="default" w:ascii="Times New Roman" w:hAnsi="Times New Roman" w:eastAsia="方正仿宋_GB2312"/>
          <w:sz w:val="32"/>
          <w:szCs w:val="32"/>
          <w:shd w:val="clear" w:color="auto" w:fill="FFFFFF"/>
        </w:rPr>
        <w:t>2.支出情况。</w:t>
      </w:r>
      <w:r>
        <w:rPr>
          <w:rFonts w:hint="default" w:ascii="Times New Roman" w:hAnsi="Times New Roman" w:eastAsia="方正仿宋_GB2312"/>
          <w:sz w:val="32"/>
          <w:szCs w:val="32"/>
          <w:shd w:val="clear" w:color="auto" w:fill="FFFFFF"/>
        </w:rPr>
        <w:t>2024年度一般公共预算财政拨款支出</w:t>
      </w:r>
      <w:r>
        <w:rPr>
          <w:rFonts w:hint="default" w:ascii="Times New Roman" w:hAnsi="Times New Roman" w:eastAsia="方正仿宋_GB2312"/>
          <w:sz w:val="32"/>
          <w:szCs w:val="32"/>
        </w:rPr>
        <w:t>892.75</w:t>
      </w:r>
      <w:r>
        <w:rPr>
          <w:rFonts w:hint="default" w:ascii="Times New Roman" w:hAnsi="Times New Roman" w:eastAsia="方正仿宋_GB2312"/>
          <w:sz w:val="32"/>
          <w:szCs w:val="32"/>
          <w:shd w:val="clear" w:color="auto" w:fill="FFFFFF"/>
        </w:rPr>
        <w:t>万元，与2023年度相比，减少114.21万元，下降11.34%。主要原因是第五次全国经济普查支出较上年减少。较年初预算数减少72.47万元，下降7.51%。主要原因是财政收回部分第五次全国经济普查工作经费直接发放到乡镇。</w:t>
      </w:r>
    </w:p>
    <w:p>
      <w:pPr>
        <w:pStyle w:val="6"/>
        <w:widowControl w:val="0"/>
        <w:overflowPunct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rPr>
      </w:pPr>
      <w:r>
        <w:rPr>
          <w:rStyle w:val="10"/>
          <w:rFonts w:hint="default" w:ascii="Times New Roman" w:hAnsi="Times New Roman" w:eastAsia="方正仿宋_GB2312"/>
          <w:sz w:val="32"/>
          <w:szCs w:val="32"/>
          <w:shd w:val="clear" w:color="auto" w:fill="FFFFFF"/>
        </w:rPr>
        <w:t>3.结转结余情况。</w:t>
      </w:r>
      <w:r>
        <w:rPr>
          <w:rFonts w:hint="default" w:ascii="Times New Roman" w:hAnsi="Times New Roman" w:eastAsia="方正仿宋_GB2312"/>
          <w:sz w:val="32"/>
          <w:szCs w:val="32"/>
          <w:shd w:val="clear" w:color="auto" w:fill="FFFFFF"/>
        </w:rPr>
        <w:t>2024年度年末一般公共预算财政拨款结转和结余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万元，与2023年度相比，无增减，主要原因是</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资金已使用完，无年末结转和结余。</w:t>
      </w:r>
    </w:p>
    <w:p>
      <w:pPr>
        <w:pStyle w:val="6"/>
        <w:widowControl w:val="0"/>
        <w:overflowPunct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shd w:val="clear" w:color="auto" w:fill="FFFFFF"/>
        </w:rPr>
      </w:pPr>
      <w:r>
        <w:rPr>
          <w:rStyle w:val="10"/>
          <w:rFonts w:hint="default" w:ascii="Times New Roman" w:hAnsi="Times New Roman" w:eastAsia="方正仿宋_GB2312"/>
          <w:sz w:val="32"/>
          <w:szCs w:val="32"/>
          <w:shd w:val="clear" w:color="auto" w:fill="FFFFFF"/>
        </w:rPr>
        <w:t>4.比较情况。</w:t>
      </w:r>
      <w:r>
        <w:rPr>
          <w:rFonts w:hint="default" w:ascii="Times New Roman" w:hAnsi="Times New Roman" w:eastAsia="方正仿宋_GB2312"/>
          <w:sz w:val="32"/>
          <w:szCs w:val="32"/>
          <w:shd w:val="clear" w:color="auto" w:fill="FFFFFF"/>
        </w:rPr>
        <w:t>本部门2024年度一般公共预算财政拨款支出主要用于以下几个方面：</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（1）一般公共服务支出</w:t>
      </w:r>
      <w:r>
        <w:rPr>
          <w:rFonts w:hint="default" w:ascii="Times New Roman" w:hAnsi="Times New Roman" w:eastAsia="方正仿宋_GB2312"/>
          <w:sz w:val="32"/>
          <w:szCs w:val="32"/>
        </w:rPr>
        <w:t>727.17</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81.45</w:t>
      </w:r>
      <w:r>
        <w:rPr>
          <w:rFonts w:hint="default" w:ascii="Times New Roman" w:hAnsi="Times New Roman" w:eastAsia="方正仿宋_GB2312"/>
          <w:sz w:val="32"/>
          <w:szCs w:val="32"/>
          <w:shd w:val="clear" w:color="auto" w:fill="FFFFFF"/>
        </w:rPr>
        <w:t>%，较年初预算数减少94.17万元，下降11.47%，主要原因是第五次全国经济普查支出经费减少。</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（2）社会保障与就业支出</w:t>
      </w:r>
      <w:r>
        <w:rPr>
          <w:rFonts w:hint="default" w:ascii="Times New Roman" w:hAnsi="Times New Roman" w:eastAsia="方正仿宋_GB2312"/>
          <w:sz w:val="32"/>
          <w:szCs w:val="32"/>
        </w:rPr>
        <w:t>107.06</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11.99</w:t>
      </w:r>
      <w:r>
        <w:rPr>
          <w:rFonts w:hint="default" w:ascii="Times New Roman" w:hAnsi="Times New Roman" w:eastAsia="方正仿宋_GB2312"/>
          <w:sz w:val="32"/>
          <w:szCs w:val="32"/>
          <w:shd w:val="clear" w:color="auto" w:fill="FFFFFF"/>
        </w:rPr>
        <w:t>%，较年初预算数增加18.42万元，增长20.78%，主要原因是社保缴费基数调整。</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（3）卫生健康支出</w:t>
      </w:r>
      <w:r>
        <w:rPr>
          <w:rFonts w:hint="default" w:ascii="Times New Roman" w:hAnsi="Times New Roman" w:eastAsia="方正仿宋_GB2312"/>
          <w:sz w:val="32"/>
          <w:szCs w:val="32"/>
        </w:rPr>
        <w:t>25.79</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2.89</w:t>
      </w:r>
      <w:r>
        <w:rPr>
          <w:rFonts w:hint="default" w:ascii="Times New Roman" w:hAnsi="Times New Roman" w:eastAsia="方正仿宋_GB2312"/>
          <w:sz w:val="32"/>
          <w:szCs w:val="32"/>
          <w:shd w:val="clear" w:color="auto" w:fill="FFFFFF"/>
        </w:rPr>
        <w:t>%，较年初预算数增加2.50万元，增长10.73%，主要原因是缴费基数调整。</w:t>
      </w:r>
    </w:p>
    <w:p>
      <w:pPr>
        <w:widowControl w:val="0"/>
        <w:overflowPunct w:val="0"/>
        <w:spacing w:line="594" w:lineRule="exact"/>
        <w:ind w:firstLine="640" w:firstLineChars="200"/>
        <w:jc w:val="both"/>
        <w:rPr>
          <w:rFonts w:hint="default" w:ascii="Times New Roman" w:hAnsi="Times New Roman" w:eastAsia="方正仿宋_GB2312"/>
          <w:sz w:val="32"/>
          <w:szCs w:val="32"/>
          <w:shd w:val="clear" w:color="auto" w:fill="FFFFFF"/>
        </w:rPr>
      </w:pPr>
      <w:r>
        <w:rPr>
          <w:rFonts w:hint="default" w:ascii="Times New Roman" w:hAnsi="Times New Roman" w:eastAsia="方正仿宋_GB2312"/>
          <w:sz w:val="32"/>
          <w:szCs w:val="32"/>
          <w:shd w:val="clear" w:color="auto" w:fill="FFFFFF"/>
        </w:rPr>
        <w:t>（4）</w:t>
      </w:r>
      <w:r>
        <w:rPr>
          <w:rFonts w:hint="default" w:ascii="Times New Roman" w:hAnsi="Times New Roman" w:eastAsia="方正仿宋_GB2312"/>
          <w:sz w:val="32"/>
          <w:szCs w:val="32"/>
        </w:rPr>
        <w:t>住房保障支出32.72</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3.67</w:t>
      </w:r>
      <w:r>
        <w:rPr>
          <w:rFonts w:hint="default" w:ascii="Times New Roman" w:hAnsi="Times New Roman" w:eastAsia="方正仿宋_GB2312"/>
          <w:sz w:val="32"/>
          <w:szCs w:val="32"/>
          <w:shd w:val="clear" w:color="auto" w:fill="FFFFFF"/>
        </w:rPr>
        <w:t>%，较年初预算数增加2.26万元，增长7.42%，主要原因是缴费基数调整。</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（四）一般公共预算财政拨款基本支出决算情况说明</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2024年度一般公共财政拨款基本支出</w:t>
      </w:r>
      <w:r>
        <w:rPr>
          <w:rFonts w:hint="default" w:ascii="Times New Roman" w:hAnsi="Times New Roman" w:eastAsia="方正仿宋_GB2312"/>
          <w:sz w:val="32"/>
          <w:szCs w:val="32"/>
        </w:rPr>
        <w:t>572.91</w:t>
      </w:r>
      <w:r>
        <w:rPr>
          <w:rFonts w:hint="default" w:ascii="Times New Roman" w:hAnsi="Times New Roman" w:eastAsia="方正仿宋_GB2312"/>
          <w:sz w:val="32"/>
          <w:szCs w:val="32"/>
          <w:shd w:val="clear" w:color="auto" w:fill="FFFFFF"/>
        </w:rPr>
        <w:t>万元。其中：人员经费</w:t>
      </w:r>
      <w:r>
        <w:rPr>
          <w:rFonts w:hint="default" w:ascii="Times New Roman" w:hAnsi="Times New Roman" w:eastAsia="方正仿宋_GB2312"/>
          <w:sz w:val="32"/>
          <w:szCs w:val="32"/>
        </w:rPr>
        <w:t>503.81</w:t>
      </w:r>
      <w:r>
        <w:rPr>
          <w:rFonts w:hint="default" w:ascii="Times New Roman" w:hAnsi="Times New Roman" w:eastAsia="方正仿宋_GB2312"/>
          <w:sz w:val="32"/>
          <w:szCs w:val="32"/>
          <w:shd w:val="clear" w:color="auto" w:fill="FFFFFF"/>
        </w:rPr>
        <w:t>万元，与2023年度相比，减少30.15万元，下降5.65%，主要原因是单位人员调出、退休。人员经费用途主要包括</w:t>
      </w:r>
      <w:r>
        <w:rPr>
          <w:rFonts w:hint="default" w:ascii="Times New Roman" w:hAnsi="Times New Roman" w:eastAsia="方正仿宋_GB2312"/>
          <w:kern w:val="2"/>
          <w:sz w:val="32"/>
          <w:szCs w:val="32"/>
        </w:rPr>
        <w:t>人员工资、社会保障缴费、公积金缴费等。</w:t>
      </w:r>
      <w:r>
        <w:rPr>
          <w:rFonts w:hint="default" w:ascii="Times New Roman" w:hAnsi="Times New Roman" w:eastAsia="方正仿宋_GB2312"/>
          <w:sz w:val="32"/>
          <w:szCs w:val="32"/>
          <w:shd w:val="clear" w:color="auto" w:fill="FFFFFF"/>
        </w:rPr>
        <w:t>公用经费</w:t>
      </w:r>
      <w:r>
        <w:rPr>
          <w:rFonts w:hint="default" w:ascii="Times New Roman" w:hAnsi="Times New Roman" w:eastAsia="方正仿宋_GB2312"/>
          <w:sz w:val="32"/>
          <w:szCs w:val="32"/>
        </w:rPr>
        <w:t>69.10</w:t>
      </w:r>
      <w:r>
        <w:rPr>
          <w:rFonts w:hint="default" w:ascii="Times New Roman" w:hAnsi="Times New Roman" w:eastAsia="方正仿宋_GB2312"/>
          <w:sz w:val="32"/>
          <w:szCs w:val="32"/>
          <w:shd w:val="clear" w:color="auto" w:fill="FFFFFF"/>
        </w:rPr>
        <w:t>万元，与2023年度相比，减少7.69万元，下降10.01%，主要原因是办公费减少。公用经费用途主要包括</w:t>
      </w:r>
      <w:r>
        <w:rPr>
          <w:rFonts w:hint="default" w:ascii="Times New Roman" w:hAnsi="Times New Roman" w:eastAsia="方正仿宋_GB2312"/>
          <w:kern w:val="2"/>
          <w:sz w:val="32"/>
          <w:szCs w:val="32"/>
        </w:rPr>
        <w:t>办公费、工会经费、公务用车运行维护费等。</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（五）政府性基金预算收支决算情况说明</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是本年度无政府性基金预算财政拨款支出。本单位2024年度无政府性基金预算财政拨款收支。</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（六）国有资本经营预算财政拨款支出决算情况说明</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三、</w:t>
      </w:r>
      <w:r>
        <w:rPr>
          <w:rStyle w:val="10"/>
          <w:rFonts w:ascii="黑体" w:hAnsi="黑体" w:eastAsia="黑体" w:cs="黑体"/>
          <w:sz w:val="32"/>
          <w:szCs w:val="32"/>
          <w:shd w:val="clear" w:color="auto" w:fill="FFFFFF"/>
        </w:rPr>
        <w:t>财政拨款“三公”经费情况说明</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（一）“三公”经费支出总体情况说明</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2024年度“三公”经费支出共计</w:t>
      </w:r>
      <w:r>
        <w:rPr>
          <w:rFonts w:hint="default" w:ascii="Times New Roman" w:hAnsi="Times New Roman" w:eastAsia="方正仿宋_GB2312"/>
          <w:sz w:val="32"/>
          <w:szCs w:val="32"/>
        </w:rPr>
        <w:t>28.35</w:t>
      </w:r>
      <w:r>
        <w:rPr>
          <w:rFonts w:hint="default" w:ascii="Times New Roman" w:hAnsi="Times New Roman" w:eastAsia="方正仿宋_GB2312"/>
          <w:sz w:val="32"/>
          <w:szCs w:val="32"/>
          <w:shd w:val="clear" w:color="auto" w:fill="FFFFFF"/>
        </w:rPr>
        <w:t>万元，较年初预算数增加19.35万元，增长215.00%，主要原因是</w:t>
      </w:r>
      <w:bookmarkStart w:id="0" w:name="_GoBack"/>
      <w:bookmarkEnd w:id="0"/>
      <w:r>
        <w:rPr>
          <w:rFonts w:hint="default" w:ascii="Times New Roman" w:hAnsi="Times New Roman" w:eastAsia="方正仿宋_GB2312"/>
          <w:sz w:val="32"/>
          <w:szCs w:val="32"/>
          <w:shd w:val="clear" w:color="auto" w:fill="FFFFFF"/>
        </w:rPr>
        <w:t>业务开展需要</w:t>
      </w:r>
      <w:r>
        <w:rPr>
          <w:rFonts w:ascii="Times New Roman" w:hAnsi="Times New Roman" w:eastAsia="方正仿宋_GB2312"/>
          <w:sz w:val="32"/>
          <w:szCs w:val="32"/>
          <w:shd w:val="clear" w:color="auto" w:fill="FFFFFF"/>
        </w:rPr>
        <w:t>，</w:t>
      </w:r>
      <w:r>
        <w:rPr>
          <w:rFonts w:cs="宋体"/>
          <w:sz w:val="32"/>
          <w:szCs w:val="32"/>
          <w:shd w:val="clear" w:color="auto" w:fill="FFFFFF"/>
        </w:rPr>
        <w:t>追</w:t>
      </w:r>
      <w:r>
        <w:rPr>
          <w:rFonts w:ascii="___WRD_EMBED_SUB_59" w:hAnsi="___WRD_EMBED_SUB_59" w:eastAsia="___WRD_EMBED_SUB_59" w:cs="___WRD_EMBED_SUB_59"/>
          <w:sz w:val="32"/>
          <w:szCs w:val="32"/>
          <w:shd w:val="clear" w:color="auto" w:fill="FFFFFF"/>
        </w:rPr>
        <w:t>加</w:t>
      </w:r>
      <w:r>
        <w:rPr>
          <w:rFonts w:hint="default" w:ascii="Times New Roman" w:hAnsi="Times New Roman" w:eastAsia="方正仿宋_GB2312"/>
          <w:sz w:val="32"/>
          <w:szCs w:val="32"/>
          <w:shd w:val="clear" w:color="auto" w:fill="FFFFFF"/>
        </w:rPr>
        <w:t>购置公务车预算。较上年支出数增加24.74万元，增长685.32%，主要原因是购置新公务车一辆。</w:t>
      </w:r>
    </w:p>
    <w:p>
      <w:pPr>
        <w:pStyle w:val="11"/>
        <w:widowControl w:val="0"/>
        <w:overflowPunct w:val="0"/>
        <w:autoSpaceDE w:val="0"/>
        <w:spacing w:line="594" w:lineRule="exact"/>
        <w:ind w:firstLine="641"/>
        <w:jc w:val="both"/>
        <w:rPr>
          <w:rFonts w:ascii="Times New Roman" w:hAnsi="Times New Roman" w:eastAsia="方正仿宋_GB2312"/>
          <w:b/>
          <w:bCs/>
          <w:sz w:val="32"/>
          <w:szCs w:val="32"/>
          <w:shd w:val="clear" w:color="auto" w:fill="FFFFFF"/>
        </w:rPr>
      </w:pPr>
      <w:r>
        <w:rPr>
          <w:rFonts w:ascii="Times New Roman" w:hAnsi="Times New Roman" w:eastAsia="方正仿宋_GB2312"/>
          <w:b/>
          <w:bCs/>
          <w:sz w:val="32"/>
          <w:szCs w:val="32"/>
          <w:shd w:val="clear" w:color="auto" w:fill="FFFFFF"/>
        </w:rPr>
        <w:t>（二）“三公”经费分项支出情况</w:t>
      </w:r>
    </w:p>
    <w:p>
      <w:pPr>
        <w:widowControl w:val="0"/>
        <w:overflowPunct w:val="0"/>
        <w:spacing w:line="594" w:lineRule="exact"/>
        <w:ind w:firstLine="640" w:firstLineChars="200"/>
        <w:jc w:val="both"/>
        <w:rPr>
          <w:rFonts w:hint="default" w:ascii="Times New Roman" w:hAnsi="Times New Roman" w:eastAsia="方正仿宋_GB2312"/>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公务车购置费</w:t>
      </w:r>
      <w:r>
        <w:rPr>
          <w:rFonts w:hint="default" w:ascii="Times New Roman" w:hAnsi="Times New Roman" w:eastAsia="方正仿宋_GB2312"/>
          <w:sz w:val="32"/>
          <w:szCs w:val="32"/>
        </w:rPr>
        <w:t>24.96</w:t>
      </w:r>
      <w:r>
        <w:rPr>
          <w:rFonts w:hint="default" w:ascii="Times New Roman" w:hAnsi="Times New Roman" w:eastAsia="方正仿宋_GB2312"/>
          <w:sz w:val="32"/>
          <w:szCs w:val="32"/>
          <w:shd w:val="clear" w:color="auto" w:fill="FFFFFF"/>
        </w:rPr>
        <w:t>万元，主要用于购买新公务车满足日常公务出差需求。费用支出较年初预算数增加24.96万元，增长100.00%，主要原因是购置新公务车。较上年支出数增加24.96万元，增长100.00%，主要原因是购置新公务车。</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公务车运行维护费</w:t>
      </w:r>
      <w:r>
        <w:rPr>
          <w:rFonts w:hint="default" w:ascii="Times New Roman" w:hAnsi="Times New Roman" w:eastAsia="方正仿宋_GB2312"/>
          <w:sz w:val="32"/>
          <w:szCs w:val="32"/>
        </w:rPr>
        <w:t>3.39</w:t>
      </w:r>
      <w:r>
        <w:rPr>
          <w:rFonts w:hint="default" w:ascii="Times New Roman" w:hAnsi="Times New Roman" w:eastAsia="方正仿宋_GB2312"/>
          <w:sz w:val="32"/>
          <w:szCs w:val="32"/>
          <w:shd w:val="clear" w:color="auto" w:fill="FFFFFF"/>
        </w:rPr>
        <w:t>万元，主要用于</w:t>
      </w:r>
      <w:r>
        <w:rPr>
          <w:rFonts w:hint="default" w:ascii="Times New Roman" w:hAnsi="Times New Roman" w:eastAsia="方正仿宋_GB2312"/>
          <w:kern w:val="2"/>
          <w:sz w:val="32"/>
          <w:szCs w:val="32"/>
        </w:rPr>
        <w:t>公务用车加油、充电、公务用车保险费、公务用车维修费</w:t>
      </w:r>
      <w:r>
        <w:rPr>
          <w:rFonts w:hint="default" w:ascii="Times New Roman" w:hAnsi="Times New Roman" w:eastAsia="方正仿宋_GB2312"/>
          <w:sz w:val="32"/>
          <w:szCs w:val="32"/>
          <w:shd w:val="clear" w:color="auto" w:fill="FFFFFF"/>
        </w:rPr>
        <w:t>。费用支出较年初预算数减少0.61万元，下降15.25%，主要原因是</w:t>
      </w:r>
      <w:r>
        <w:rPr>
          <w:rFonts w:hint="default" w:ascii="Times New Roman" w:hAnsi="Times New Roman" w:eastAsia="方正仿宋_GB2312"/>
          <w:kern w:val="2"/>
          <w:sz w:val="32"/>
          <w:szCs w:val="32"/>
        </w:rPr>
        <w:t>公务用车次数减少</w:t>
      </w:r>
      <w:r>
        <w:rPr>
          <w:rFonts w:hint="default" w:ascii="Times New Roman" w:hAnsi="Times New Roman" w:eastAsia="方正仿宋_GB2312"/>
          <w:sz w:val="32"/>
          <w:szCs w:val="32"/>
          <w:shd w:val="clear" w:color="auto" w:fill="FFFFFF"/>
        </w:rPr>
        <w:t>。较上年支出数增加0.03万元，增长0.89%，主要原因是旧车维修。</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  公务接待费</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万元，费用支出较年初预算数减少5.00万元，下降100.00%，较上年支出数减少0.25万元，下降100.00%，主要原因是本年未发生公务接待。</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（三）“三公”经费实物量情况</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2024年度本部门因公出国（境）共计</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个团组，</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人；公务用车购置</w:t>
      </w:r>
      <w:r>
        <w:rPr>
          <w:rFonts w:hint="default" w:ascii="Times New Roman" w:hAnsi="Times New Roman" w:eastAsia="方正仿宋_GB2312"/>
          <w:sz w:val="32"/>
          <w:szCs w:val="32"/>
        </w:rPr>
        <w:t>1</w:t>
      </w:r>
      <w:r>
        <w:rPr>
          <w:rFonts w:hint="default" w:ascii="Times New Roman" w:hAnsi="Times New Roman" w:eastAsia="方正仿宋_GB2312"/>
          <w:sz w:val="32"/>
          <w:szCs w:val="32"/>
          <w:shd w:val="clear" w:color="auto" w:fill="FFFFFF"/>
        </w:rPr>
        <w:t>辆，公务车保有量为</w:t>
      </w:r>
      <w:r>
        <w:rPr>
          <w:rFonts w:hint="default" w:ascii="Times New Roman" w:hAnsi="Times New Roman" w:eastAsia="方正仿宋_GB2312"/>
          <w:sz w:val="32"/>
          <w:szCs w:val="32"/>
        </w:rPr>
        <w:t>1</w:t>
      </w:r>
      <w:r>
        <w:rPr>
          <w:rFonts w:hint="default" w:ascii="Times New Roman" w:hAnsi="Times New Roman" w:eastAsia="方正仿宋_GB2312"/>
          <w:sz w:val="32"/>
          <w:szCs w:val="32"/>
          <w:shd w:val="clear" w:color="auto" w:fill="FFFFFF"/>
        </w:rPr>
        <w:t>辆；国内公务接待</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批次</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人，其中：国内外事接待</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批次，</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人；国（境）外公务接待</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批次，</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人。2024年本部门人均接待费</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元，车均购置费</w:t>
      </w:r>
      <w:r>
        <w:rPr>
          <w:rFonts w:hint="default" w:ascii="Times New Roman" w:hAnsi="Times New Roman" w:eastAsia="方正仿宋_GB2312"/>
          <w:sz w:val="32"/>
          <w:szCs w:val="32"/>
        </w:rPr>
        <w:t>24.96</w:t>
      </w:r>
      <w:r>
        <w:rPr>
          <w:rFonts w:hint="default" w:ascii="Times New Roman" w:hAnsi="Times New Roman" w:eastAsia="方正仿宋_GB2312"/>
          <w:sz w:val="32"/>
          <w:szCs w:val="32"/>
          <w:shd w:val="clear" w:color="auto" w:fill="FFFFFF"/>
        </w:rPr>
        <w:t>万元，车均维护费</w:t>
      </w:r>
      <w:r>
        <w:rPr>
          <w:rFonts w:hint="default" w:ascii="Times New Roman" w:hAnsi="Times New Roman" w:eastAsia="方正仿宋_GB2312"/>
          <w:sz w:val="32"/>
          <w:szCs w:val="32"/>
        </w:rPr>
        <w:t>3.39</w:t>
      </w:r>
      <w:r>
        <w:rPr>
          <w:rFonts w:hint="default" w:ascii="Times New Roman" w:hAnsi="Times New Roman" w:eastAsia="方正仿宋_GB2312"/>
          <w:sz w:val="32"/>
          <w:szCs w:val="32"/>
          <w:shd w:val="clear" w:color="auto" w:fill="FFFFFF"/>
        </w:rPr>
        <w:t>万元。</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四、其他需要说明的事项</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（一）财政拨款会议费和培训费情况说明</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本年度会议费支出</w:t>
      </w:r>
      <w:r>
        <w:rPr>
          <w:rFonts w:hint="default" w:ascii="Times New Roman" w:hAnsi="Times New Roman" w:eastAsia="方正仿宋_GB2312"/>
          <w:sz w:val="32"/>
          <w:szCs w:val="32"/>
        </w:rPr>
        <w:t>0.72</w:t>
      </w:r>
      <w:r>
        <w:rPr>
          <w:rFonts w:hint="default" w:ascii="Times New Roman" w:hAnsi="Times New Roman" w:eastAsia="方正仿宋_GB2312"/>
          <w:sz w:val="32"/>
          <w:szCs w:val="32"/>
          <w:shd w:val="clear" w:color="auto" w:fill="FFFFFF"/>
        </w:rPr>
        <w:t>万元，与2023年度相比，减少4.96万元，下降87.32%，主要原因是今年第五次全国经济普查开展各个阶段工作布置及培训会议次数减少。本年度培训费支出</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万元，与2023年度相比，减少1.62万元，下降100.00%，主要原因是本年无培训费支出。</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（二）机关运行经费情况说明</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2024年度本部门机关运行经费支出</w:t>
      </w:r>
      <w:r>
        <w:rPr>
          <w:rFonts w:hint="default" w:ascii="Times New Roman" w:hAnsi="Times New Roman" w:eastAsia="方正仿宋_GB2312"/>
          <w:sz w:val="32"/>
          <w:szCs w:val="32"/>
        </w:rPr>
        <w:t>53.23</w:t>
      </w:r>
      <w:r>
        <w:rPr>
          <w:rFonts w:hint="default" w:ascii="Times New Roman" w:hAnsi="Times New Roman" w:eastAsia="方正仿宋_GB2312"/>
          <w:sz w:val="32"/>
          <w:szCs w:val="32"/>
          <w:shd w:val="clear" w:color="auto" w:fill="FFFFFF"/>
        </w:rPr>
        <w:t>万元，机关运行经费主要用于开支</w:t>
      </w:r>
      <w:r>
        <w:rPr>
          <w:rFonts w:hint="default" w:ascii="Times New Roman" w:hAnsi="Times New Roman" w:eastAsia="方正仿宋_GB2312"/>
          <w:kern w:val="2"/>
          <w:sz w:val="32"/>
          <w:szCs w:val="32"/>
        </w:rPr>
        <w:t>办公费6.48万元、印刷费1.42万元、邮电费1.35万元、差旅费3.73万元、会议费0.3万元、工会经费22.3万元、福利费3.14万元、公务用车运行维护费3.39万元、其他交通费用11.11万元。</w:t>
      </w:r>
      <w:r>
        <w:rPr>
          <w:rFonts w:hint="default" w:ascii="Times New Roman" w:hAnsi="Times New Roman" w:eastAsia="方正仿宋_GB2312"/>
          <w:sz w:val="32"/>
          <w:szCs w:val="32"/>
          <w:shd w:val="clear" w:color="auto" w:fill="FFFFFF"/>
        </w:rPr>
        <w:t>机关运行经费较上年支出数增加1.92万元，增长3.74%，主要原因是</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工会经费较上年增长较多。</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（三）国有资产占用情况说明</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截至2024年12月31日，本部门共有车辆</w:t>
      </w:r>
      <w:r>
        <w:rPr>
          <w:rFonts w:hint="default" w:ascii="Times New Roman" w:hAnsi="Times New Roman" w:eastAsia="方正仿宋_GB2312"/>
          <w:sz w:val="32"/>
          <w:szCs w:val="32"/>
        </w:rPr>
        <w:t>1</w:t>
      </w:r>
      <w:r>
        <w:rPr>
          <w:rFonts w:hint="default" w:ascii="Times New Roman" w:hAnsi="Times New Roman" w:eastAsia="方正仿宋_GB2312"/>
          <w:sz w:val="32"/>
          <w:szCs w:val="32"/>
          <w:shd w:val="clear" w:color="auto" w:fill="FFFFFF"/>
        </w:rPr>
        <w:t>辆，其中，副部（省）级及以上领导用车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辆、主要负责人用车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辆、机要通信用车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辆、应急保障用车</w:t>
      </w:r>
      <w:r>
        <w:rPr>
          <w:rFonts w:hint="default" w:ascii="Times New Roman" w:hAnsi="Times New Roman" w:eastAsia="方正仿宋_GB2312"/>
          <w:sz w:val="32"/>
          <w:szCs w:val="32"/>
        </w:rPr>
        <w:t>1</w:t>
      </w:r>
      <w:r>
        <w:rPr>
          <w:rFonts w:hint="default" w:ascii="Times New Roman" w:hAnsi="Times New Roman" w:eastAsia="方正仿宋_GB2312"/>
          <w:sz w:val="32"/>
          <w:szCs w:val="32"/>
          <w:shd w:val="clear" w:color="auto" w:fill="FFFFFF"/>
        </w:rPr>
        <w:t>辆、执法执勤用车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辆，特种专业技术用车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辆，离退休干部用车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辆。单价100万元（含）以上专用设备</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台（套）。</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（四）政府采购支出情况说明</w:t>
      </w:r>
    </w:p>
    <w:p>
      <w:pPr>
        <w:pStyle w:val="6"/>
        <w:widowControl w:val="0"/>
        <w:overflowPunct w:val="0"/>
        <w:snapToGrid w:val="0"/>
        <w:spacing w:before="0" w:beforeAutospacing="0" w:after="0" w:afterAutospacing="0" w:line="594" w:lineRule="exact"/>
        <w:ind w:firstLine="640" w:firstLineChars="200"/>
        <w:jc w:val="both"/>
        <w:rPr>
          <w:rFonts w:hint="default" w:ascii="Times New Roman" w:hAnsi="Times New Roman" w:eastAsia="方正仿宋_GB2312"/>
          <w:color w:val="FF0000"/>
          <w:sz w:val="32"/>
          <w:szCs w:val="32"/>
          <w:shd w:val="clear" w:color="auto" w:fill="FFFFFF"/>
        </w:rPr>
      </w:pPr>
      <w:r>
        <w:rPr>
          <w:rFonts w:hint="default" w:ascii="Times New Roman" w:hAnsi="Times New Roman" w:eastAsia="方正仿宋_GB2312"/>
          <w:sz w:val="32"/>
          <w:szCs w:val="32"/>
          <w:shd w:val="clear" w:color="auto" w:fill="FFFFFF"/>
        </w:rPr>
        <w:t>2024年度本部门政府采购支出总额</w:t>
      </w:r>
      <w:r>
        <w:rPr>
          <w:rFonts w:hint="default" w:ascii="Times New Roman" w:hAnsi="Times New Roman" w:eastAsia="方正仿宋_GB2312"/>
          <w:sz w:val="32"/>
          <w:szCs w:val="32"/>
        </w:rPr>
        <w:t>29.91</w:t>
      </w:r>
      <w:r>
        <w:rPr>
          <w:rFonts w:hint="default" w:ascii="Times New Roman" w:hAnsi="Times New Roman" w:eastAsia="方正仿宋_GB2312"/>
          <w:sz w:val="32"/>
          <w:szCs w:val="32"/>
          <w:shd w:val="clear" w:color="auto" w:fill="FFFFFF"/>
        </w:rPr>
        <w:t>万元，其中：政府采购货物支出</w:t>
      </w:r>
      <w:r>
        <w:rPr>
          <w:rFonts w:hint="default" w:ascii="Times New Roman" w:hAnsi="Times New Roman" w:eastAsia="方正仿宋_GB2312"/>
          <w:sz w:val="32"/>
          <w:szCs w:val="32"/>
        </w:rPr>
        <w:t>29.91</w:t>
      </w:r>
      <w:r>
        <w:rPr>
          <w:rFonts w:hint="default" w:ascii="Times New Roman" w:hAnsi="Times New Roman" w:eastAsia="方正仿宋_GB2312"/>
          <w:sz w:val="32"/>
          <w:szCs w:val="32"/>
          <w:shd w:val="clear" w:color="auto" w:fill="FFFFFF"/>
        </w:rPr>
        <w:t>万元、政府采购工程支出</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万元、政府采购服务支出</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万元。授予中小企业合同金额</w:t>
      </w:r>
      <w:r>
        <w:rPr>
          <w:rFonts w:hint="default" w:ascii="Times New Roman" w:hAnsi="Times New Roman" w:eastAsia="方正仿宋_GB2312"/>
          <w:sz w:val="32"/>
          <w:szCs w:val="32"/>
        </w:rPr>
        <w:t>29.91万</w:t>
      </w:r>
      <w:r>
        <w:rPr>
          <w:rFonts w:hint="default" w:ascii="Times New Roman" w:hAnsi="Times New Roman" w:eastAsia="方正仿宋_GB2312"/>
          <w:sz w:val="32"/>
          <w:szCs w:val="32"/>
          <w:shd w:val="clear" w:color="auto" w:fill="FFFFFF"/>
        </w:rPr>
        <w:t>元，占政府采购支出总额的</w:t>
      </w:r>
      <w:r>
        <w:rPr>
          <w:rFonts w:hint="default" w:ascii="Times New Roman" w:hAnsi="Times New Roman" w:eastAsia="方正仿宋_GB2312"/>
          <w:sz w:val="32"/>
          <w:szCs w:val="32"/>
        </w:rPr>
        <w:t>100.00</w:t>
      </w:r>
      <w:r>
        <w:rPr>
          <w:rFonts w:hint="default" w:ascii="Times New Roman" w:hAnsi="Times New Roman" w:eastAsia="方正仿宋_GB2312"/>
          <w:sz w:val="32"/>
          <w:szCs w:val="32"/>
          <w:shd w:val="clear" w:color="auto" w:fill="FFFFFF"/>
        </w:rPr>
        <w:t>%，其中：授予小微企业合同金额</w:t>
      </w:r>
      <w:r>
        <w:rPr>
          <w:rFonts w:hint="default" w:ascii="Times New Roman" w:hAnsi="Times New Roman" w:eastAsia="方正仿宋_GB2312"/>
          <w:sz w:val="32"/>
          <w:szCs w:val="32"/>
        </w:rPr>
        <w:t>29.91</w:t>
      </w:r>
      <w:r>
        <w:rPr>
          <w:rFonts w:hint="default" w:ascii="Times New Roman" w:hAnsi="Times New Roman" w:eastAsia="方正仿宋_GB2312"/>
          <w:sz w:val="32"/>
          <w:szCs w:val="32"/>
          <w:shd w:val="clear" w:color="auto" w:fill="FFFFFF"/>
        </w:rPr>
        <w:t>万元，占政府采购支出总额的</w:t>
      </w:r>
      <w:r>
        <w:rPr>
          <w:rFonts w:hint="default" w:ascii="Times New Roman" w:hAnsi="Times New Roman" w:eastAsia="方正仿宋_GB2312"/>
          <w:sz w:val="32"/>
          <w:szCs w:val="32"/>
        </w:rPr>
        <w:t>100.00</w:t>
      </w:r>
      <w:r>
        <w:rPr>
          <w:rFonts w:hint="default" w:ascii="Times New Roman" w:hAnsi="Times New Roman" w:eastAsia="方正仿宋_GB2312"/>
          <w:sz w:val="32"/>
          <w:szCs w:val="32"/>
          <w:shd w:val="clear" w:color="auto" w:fill="FFFFFF"/>
        </w:rPr>
        <w:t xml:space="preserve"> %。主要用于采购办公设备</w:t>
      </w:r>
      <w:r>
        <w:rPr>
          <w:rFonts w:hint="default" w:ascii="Times New Roman" w:hAnsi="Times New Roman" w:eastAsia="方正仿宋_GB2312"/>
          <w:color w:val="FF0000"/>
          <w:sz w:val="32"/>
          <w:szCs w:val="32"/>
          <w:shd w:val="clear" w:color="auto" w:fill="FFFFFF"/>
        </w:rPr>
        <w:t>。</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五、</w:t>
      </w:r>
      <w:r>
        <w:rPr>
          <w:rStyle w:val="10"/>
          <w:rFonts w:ascii="黑体" w:hAnsi="黑体" w:eastAsia="黑体" w:cs="黑体"/>
          <w:sz w:val="32"/>
          <w:szCs w:val="32"/>
          <w:shd w:val="clear" w:color="auto" w:fill="FFFFFF"/>
        </w:rPr>
        <w:t>2024年度预算绩效管理情况说明</w:t>
      </w:r>
    </w:p>
    <w:p>
      <w:pPr>
        <w:pStyle w:val="6"/>
        <w:widowControl w:val="0"/>
        <w:shd w:val="clear" w:color="auto" w:fill="FFFFFF"/>
        <w:overflowPunct w:val="0"/>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（一）部门自评情况</w:t>
      </w:r>
    </w:p>
    <w:p>
      <w:pPr>
        <w:pStyle w:val="12"/>
        <w:widowControl w:val="0"/>
        <w:overflowPunct w:val="0"/>
        <w:autoSpaceDE w:val="0"/>
        <w:spacing w:before="0" w:beforeAutospacing="0" w:after="0" w:afterAutospacing="0" w:line="594" w:lineRule="exact"/>
        <w:ind w:firstLine="640" w:firstLineChars="200"/>
        <w:jc w:val="both"/>
        <w:rPr>
          <w:rFonts w:ascii="Times New Roman" w:hAnsi="Times New Roman" w:eastAsia="方正仿宋_GB2312"/>
          <w:sz w:val="32"/>
          <w:szCs w:val="32"/>
          <w:shd w:val="clear" w:color="auto" w:fill="FFFFFF"/>
        </w:rPr>
      </w:pPr>
      <w:r>
        <w:rPr>
          <w:rFonts w:ascii="Times New Roman" w:hAnsi="Times New Roman" w:eastAsia="方正仿宋_GB2312"/>
          <w:sz w:val="32"/>
          <w:szCs w:val="32"/>
          <w:shd w:val="clear" w:color="auto" w:fill="FFFFFF"/>
        </w:rPr>
        <w:t>根据预算绩效管理要求，我部门对部门整体和11个二级项目开展了绩效自评，涉及财政拨款项目支出资金319.92万元。</w:t>
      </w:r>
    </w:p>
    <w:p>
      <w:pPr>
        <w:pStyle w:val="12"/>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28"/>
          <w:szCs w:val="28"/>
          <w:shd w:val="clear" w:color="auto" w:fill="FFFFFF"/>
        </w:rPr>
        <w:t>部门整体绩效自评表</w:t>
      </w:r>
    </w:p>
    <w:p>
      <w:pPr>
        <w:jc w:val="center"/>
        <w:textAlignment w:val="center"/>
        <w:rPr>
          <w:rFonts w:hint="default" w:ascii="微软雅黑" w:hAnsi="微软雅黑" w:eastAsia="微软雅黑" w:cs="微软雅黑"/>
          <w:b/>
          <w:color w:val="000000"/>
          <w:sz w:val="40"/>
          <w:szCs w:val="40"/>
          <w:lang w:bidi="ar"/>
        </w:rPr>
        <w:sectPr>
          <w:footerReference r:id="rId3" w:type="default"/>
          <w:pgSz w:w="11915" w:h="16840"/>
          <w:pgMar w:top="2098" w:right="1474" w:bottom="1984" w:left="1474" w:header="851" w:footer="992" w:gutter="0"/>
          <w:pgNumType w:fmt="numberInDash"/>
          <w:cols w:space="720" w:num="1"/>
          <w:docGrid w:type="lines" w:linePitch="312" w:charSpace="0"/>
        </w:sectPr>
      </w:pPr>
    </w:p>
    <w:tbl>
      <w:tblPr>
        <w:tblStyle w:val="7"/>
        <w:tblW w:w="8958" w:type="dxa"/>
        <w:tblInd w:w="0" w:type="dxa"/>
        <w:tblLayout w:type="fixed"/>
        <w:tblCellMar>
          <w:top w:w="0" w:type="dxa"/>
          <w:left w:w="0" w:type="dxa"/>
          <w:bottom w:w="0" w:type="dxa"/>
          <w:right w:w="0" w:type="dxa"/>
        </w:tblCellMar>
      </w:tblPr>
      <w:tblGrid>
        <w:gridCol w:w="1733"/>
        <w:gridCol w:w="683"/>
        <w:gridCol w:w="502"/>
        <w:gridCol w:w="675"/>
        <w:gridCol w:w="691"/>
        <w:gridCol w:w="517"/>
        <w:gridCol w:w="684"/>
        <w:gridCol w:w="704"/>
        <w:gridCol w:w="492"/>
        <w:gridCol w:w="645"/>
        <w:gridCol w:w="1632"/>
      </w:tblGrid>
      <w:tr>
        <w:tblPrEx>
          <w:tblCellMar>
            <w:top w:w="0" w:type="dxa"/>
            <w:left w:w="0" w:type="dxa"/>
            <w:bottom w:w="0" w:type="dxa"/>
            <w:right w:w="0" w:type="dxa"/>
          </w:tblCellMar>
        </w:tblPrEx>
        <w:trPr>
          <w:trHeight w:val="512" w:hRule="atLeast"/>
        </w:trPr>
        <w:tc>
          <w:tcPr>
            <w:tcW w:w="895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微软雅黑" w:hAnsi="微软雅黑" w:eastAsia="微软雅黑" w:cs="微软雅黑"/>
                <w:b/>
                <w:color w:val="000000"/>
                <w:sz w:val="13"/>
                <w:szCs w:val="13"/>
              </w:rPr>
            </w:pPr>
            <w:r>
              <w:rPr>
                <w:rFonts w:hint="default" w:ascii="Times New Roman" w:hAnsi="Times New Roman"/>
                <w:bCs/>
                <w:color w:val="000000"/>
                <w:lang w:bidi="ar"/>
              </w:rPr>
              <w:t>2024年度部门整体绩效自评表</w:t>
            </w:r>
          </w:p>
        </w:tc>
      </w:tr>
      <w:tr>
        <w:tblPrEx>
          <w:tblCellMar>
            <w:top w:w="0" w:type="dxa"/>
            <w:left w:w="0" w:type="dxa"/>
            <w:bottom w:w="0" w:type="dxa"/>
            <w:right w:w="0" w:type="dxa"/>
          </w:tblCellMar>
        </w:tblPrEx>
        <w:trPr>
          <w:trHeight w:val="263" w:hRule="atLeast"/>
        </w:trPr>
        <w:tc>
          <w:tcPr>
            <w:tcW w:w="895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1" w:firstLineChars="100"/>
              <w:jc w:val="right"/>
              <w:textAlignment w:val="center"/>
              <w:rPr>
                <w:rFonts w:hint="default" w:cs="宋体"/>
                <w:b/>
                <w:color w:val="DA3232"/>
                <w:sz w:val="15"/>
                <w:szCs w:val="15"/>
              </w:rPr>
            </w:pPr>
            <w:r>
              <w:rPr>
                <w:rFonts w:cs="宋体"/>
                <w:b/>
                <w:color w:val="DA3232"/>
                <w:sz w:val="15"/>
                <w:szCs w:val="15"/>
                <w:lang w:bidi="ar"/>
              </w:rPr>
              <w:t>状态：绩效审核已审</w:t>
            </w:r>
          </w:p>
        </w:tc>
      </w:tr>
      <w:tr>
        <w:tblPrEx>
          <w:tblCellMar>
            <w:top w:w="0" w:type="dxa"/>
            <w:left w:w="0" w:type="dxa"/>
            <w:bottom w:w="0" w:type="dxa"/>
            <w:right w:w="0" w:type="dxa"/>
          </w:tblCellMar>
        </w:tblPrEx>
        <w:trPr>
          <w:trHeight w:val="307"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cs="宋体"/>
                <w:b/>
                <w:color w:val="000000"/>
                <w:sz w:val="15"/>
                <w:szCs w:val="15"/>
              </w:rPr>
            </w:pPr>
            <w:r>
              <w:rPr>
                <w:rFonts w:cs="宋体"/>
                <w:b/>
                <w:color w:val="000000"/>
                <w:sz w:val="15"/>
                <w:szCs w:val="15"/>
                <w:lang w:bidi="ar"/>
              </w:rPr>
              <w:t>项目名称：</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垫江县统计局整体自评</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cs="宋体"/>
                <w:b/>
                <w:color w:val="000000"/>
                <w:sz w:val="15"/>
                <w:szCs w:val="15"/>
              </w:rPr>
            </w:pPr>
            <w:r>
              <w:rPr>
                <w:rFonts w:cs="宋体"/>
                <w:b/>
                <w:color w:val="000000"/>
                <w:sz w:val="15"/>
                <w:szCs w:val="15"/>
                <w:lang w:bidi="ar"/>
              </w:rPr>
              <w:t>项目编码：</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50023100024P000156</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cs="宋体"/>
                <w:b/>
                <w:color w:val="000000"/>
                <w:sz w:val="15"/>
                <w:szCs w:val="15"/>
              </w:rPr>
            </w:pPr>
            <w:r>
              <w:rPr>
                <w:rFonts w:cs="宋体"/>
                <w:b/>
                <w:color w:val="000000"/>
                <w:sz w:val="15"/>
                <w:szCs w:val="15"/>
                <w:lang w:bidi="ar"/>
              </w:rPr>
              <w:t>自评总分：</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cs="宋体"/>
                <w:b/>
                <w:color w:val="000000"/>
                <w:sz w:val="15"/>
                <w:szCs w:val="15"/>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202"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cs="宋体"/>
                <w:b/>
                <w:color w:val="000000"/>
                <w:sz w:val="15"/>
                <w:szCs w:val="15"/>
              </w:rPr>
            </w:pPr>
            <w:r>
              <w:rPr>
                <w:rFonts w:cs="宋体"/>
                <w:b/>
                <w:color w:val="000000"/>
                <w:sz w:val="15"/>
                <w:szCs w:val="15"/>
                <w:lang w:bidi="ar"/>
              </w:rPr>
              <w:t>项目主管部门：</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123-垫江县统计局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cs="宋体"/>
                <w:b/>
                <w:color w:val="000000"/>
                <w:sz w:val="15"/>
                <w:szCs w:val="15"/>
              </w:rPr>
            </w:pPr>
            <w:r>
              <w:rPr>
                <w:rFonts w:cs="宋体"/>
                <w:b/>
                <w:color w:val="000000"/>
                <w:sz w:val="15"/>
                <w:szCs w:val="15"/>
                <w:lang w:bidi="ar"/>
              </w:rPr>
              <w:t>财政归口处室：</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004-行财科</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cs="宋体"/>
                <w:b/>
                <w:color w:val="000000"/>
                <w:sz w:val="15"/>
                <w:szCs w:val="15"/>
              </w:rPr>
            </w:pPr>
            <w:r>
              <w:rPr>
                <w:rFonts w:cs="宋体"/>
                <w:b/>
                <w:color w:val="000000"/>
                <w:sz w:val="15"/>
                <w:szCs w:val="15"/>
                <w:lang w:bidi="ar"/>
              </w:rPr>
              <w:t>部门联系人：</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赵丹丹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cs="宋体"/>
                <w:b/>
                <w:color w:val="000000"/>
                <w:sz w:val="15"/>
                <w:szCs w:val="15"/>
              </w:rPr>
            </w:pPr>
            <w:r>
              <w:rPr>
                <w:rFonts w:cs="宋体"/>
                <w:b/>
                <w:color w:val="000000"/>
                <w:sz w:val="15"/>
                <w:szCs w:val="15"/>
                <w:lang w:bidi="ar"/>
              </w:rPr>
              <w:t>联系电话：</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15"/>
                <w:szCs w:val="15"/>
              </w:rPr>
            </w:pPr>
            <w:r>
              <w:rPr>
                <w:rFonts w:cs="宋体"/>
                <w:color w:val="000000"/>
                <w:sz w:val="15"/>
                <w:szCs w:val="15"/>
                <w:lang w:bidi="ar"/>
              </w:rPr>
              <w:t>18996829558</w:t>
            </w:r>
          </w:p>
        </w:tc>
      </w:tr>
      <w:tr>
        <w:tblPrEx>
          <w:tblCellMar>
            <w:top w:w="0" w:type="dxa"/>
            <w:left w:w="0" w:type="dxa"/>
            <w:bottom w:w="0" w:type="dxa"/>
            <w:right w:w="0" w:type="dxa"/>
          </w:tblCellMar>
        </w:tblPrEx>
        <w:trPr>
          <w:trHeight w:val="263" w:hRule="atLeast"/>
        </w:trPr>
        <w:tc>
          <w:tcPr>
            <w:tcW w:w="895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微软雅黑" w:hAnsi="微软雅黑" w:eastAsia="微软雅黑" w:cs="微软雅黑"/>
                <w:b/>
                <w:color w:val="808080"/>
                <w:sz w:val="15"/>
                <w:szCs w:val="15"/>
              </w:rPr>
            </w:pPr>
            <w:r>
              <w:rPr>
                <w:rFonts w:asciiTheme="minorEastAsia" w:hAnsiTheme="minorEastAsia" w:eastAsiaTheme="minorEastAsia" w:cstheme="minorEastAsia"/>
                <w:bCs/>
                <w:color w:val="000000" w:themeColor="text1"/>
                <w:sz w:val="15"/>
                <w:szCs w:val="15"/>
                <w:lang w:bidi="ar"/>
                <w14:textFill>
                  <w14:solidFill>
                    <w14:schemeClr w14:val="tx1"/>
                  </w14:solidFill>
                </w14:textFill>
              </w:rPr>
              <w:t>资金情况</w:t>
            </w:r>
          </w:p>
        </w:tc>
      </w:tr>
      <w:tr>
        <w:tblPrEx>
          <w:tblCellMar>
            <w:top w:w="0" w:type="dxa"/>
            <w:left w:w="0" w:type="dxa"/>
            <w:bottom w:w="0" w:type="dxa"/>
            <w:right w:w="0" w:type="dxa"/>
          </w:tblCellMar>
        </w:tblPrEx>
        <w:trPr>
          <w:trHeight w:val="226"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color w:val="000000"/>
                <w:sz w:val="15"/>
                <w:szCs w:val="15"/>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年初预算数</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全年（调整）预算数</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b/>
                <w:color w:val="000000"/>
                <w:sz w:val="15"/>
                <w:szCs w:val="15"/>
              </w:rPr>
            </w:pPr>
            <w:r>
              <w:rPr>
                <w:rFonts w:cs="宋体"/>
                <w:b/>
                <w:color w:val="000000"/>
                <w:sz w:val="15"/>
                <w:szCs w:val="15"/>
                <w:lang w:bidi="ar"/>
              </w:rPr>
              <w:t>执行率权重</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执行率得分</w:t>
            </w:r>
          </w:p>
        </w:tc>
      </w:tr>
      <w:tr>
        <w:tblPrEx>
          <w:tblCellMar>
            <w:top w:w="0" w:type="dxa"/>
            <w:left w:w="0" w:type="dxa"/>
            <w:bottom w:w="0" w:type="dxa"/>
            <w:right w:w="0" w:type="dxa"/>
          </w:tblCellMar>
        </w:tblPrEx>
        <w:trPr>
          <w:trHeight w:val="275" w:hRule="atLeast"/>
        </w:trPr>
        <w:tc>
          <w:tcPr>
            <w:tcW w:w="17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napToGrid w:val="0"/>
              <w:textAlignment w:val="center"/>
              <w:rPr>
                <w:rFonts w:hint="default" w:cs="宋体"/>
                <w:color w:val="000000"/>
                <w:sz w:val="15"/>
                <w:szCs w:val="15"/>
              </w:rPr>
            </w:pPr>
            <w:r>
              <w:rPr>
                <w:rFonts w:cs="宋体"/>
                <w:color w:val="000000"/>
                <w:sz w:val="15"/>
                <w:szCs w:val="15"/>
                <w:lang w:bidi="ar"/>
              </w:rPr>
              <w:t>年度总金额</w:t>
            </w:r>
          </w:p>
        </w:tc>
        <w:tc>
          <w:tcPr>
            <w:tcW w:w="6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9,652,200.67</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8,928,364.67</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8,927,464.67</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cs="宋体"/>
                <w:color w:val="000000"/>
                <w:sz w:val="15"/>
                <w:szCs w:val="15"/>
              </w:rPr>
            </w:pPr>
          </w:p>
        </w:tc>
      </w:tr>
      <w:tr>
        <w:tblPrEx>
          <w:tblCellMar>
            <w:top w:w="0" w:type="dxa"/>
            <w:left w:w="0" w:type="dxa"/>
            <w:bottom w:w="0" w:type="dxa"/>
            <w:right w:w="0" w:type="dxa"/>
          </w:tblCellMar>
        </w:tblPrEx>
        <w:trPr>
          <w:trHeight w:val="263" w:hRule="atLeast"/>
        </w:trPr>
        <w:tc>
          <w:tcPr>
            <w:tcW w:w="17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napToGrid w:val="0"/>
              <w:textAlignment w:val="center"/>
              <w:rPr>
                <w:rFonts w:hint="default" w:cs="宋体"/>
                <w:color w:val="000000"/>
                <w:sz w:val="15"/>
                <w:szCs w:val="15"/>
              </w:rPr>
            </w:pPr>
            <w:r>
              <w:rPr>
                <w:rFonts w:cs="宋体"/>
                <w:color w:val="000000"/>
                <w:sz w:val="15"/>
                <w:szCs w:val="15"/>
                <w:lang w:bidi="ar"/>
              </w:rPr>
              <w:t>其中：财政拨款</w:t>
            </w:r>
          </w:p>
        </w:tc>
        <w:tc>
          <w:tcPr>
            <w:tcW w:w="6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9,652,200.67</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8,928,364.67</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8,927,464.67</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99.99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10.00</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10.00</w:t>
            </w:r>
          </w:p>
        </w:tc>
      </w:tr>
      <w:tr>
        <w:tblPrEx>
          <w:tblCellMar>
            <w:top w:w="0" w:type="dxa"/>
            <w:left w:w="0" w:type="dxa"/>
            <w:bottom w:w="0" w:type="dxa"/>
            <w:right w:w="0" w:type="dxa"/>
          </w:tblCellMar>
        </w:tblPrEx>
        <w:trPr>
          <w:trHeight w:val="214" w:hRule="atLeast"/>
        </w:trPr>
        <w:tc>
          <w:tcPr>
            <w:tcW w:w="17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napToGrid w:val="0"/>
              <w:textAlignment w:val="center"/>
              <w:rPr>
                <w:rFonts w:hint="default" w:cs="宋体"/>
                <w:color w:val="000000"/>
                <w:sz w:val="15"/>
                <w:szCs w:val="15"/>
              </w:rPr>
            </w:pPr>
            <w:r>
              <w:rPr>
                <w:rFonts w:cs="宋体"/>
                <w:color w:val="000000"/>
                <w:sz w:val="15"/>
                <w:szCs w:val="15"/>
                <w:lang w:bidi="ar"/>
              </w:rPr>
              <w:t>一般公共预算</w:t>
            </w:r>
          </w:p>
        </w:tc>
        <w:tc>
          <w:tcPr>
            <w:tcW w:w="6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9,652,200.67</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8,928,364.67</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8,927,464.67</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color w:val="000000"/>
                <w:sz w:val="15"/>
                <w:szCs w:val="15"/>
              </w:rPr>
            </w:pPr>
            <w:r>
              <w:rPr>
                <w:rFonts w:cs="宋体"/>
                <w:color w:val="000000"/>
                <w:sz w:val="15"/>
                <w:szCs w:val="15"/>
                <w:lang w:bidi="ar"/>
              </w:rPr>
              <w:t>99.99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cs="宋体"/>
                <w:color w:val="000000"/>
                <w:sz w:val="15"/>
                <w:szCs w:val="15"/>
              </w:rPr>
            </w:pPr>
          </w:p>
        </w:tc>
      </w:tr>
      <w:tr>
        <w:tblPrEx>
          <w:tblCellMar>
            <w:top w:w="0" w:type="dxa"/>
            <w:left w:w="0" w:type="dxa"/>
            <w:bottom w:w="0" w:type="dxa"/>
            <w:right w:w="0" w:type="dxa"/>
          </w:tblCellMar>
        </w:tblPrEx>
        <w:trPr>
          <w:trHeight w:val="303" w:hRule="atLeast"/>
        </w:trPr>
        <w:tc>
          <w:tcPr>
            <w:tcW w:w="895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微软雅黑" w:hAnsi="微软雅黑" w:eastAsia="微软雅黑" w:cs="微软雅黑"/>
                <w:b/>
                <w:color w:val="808080"/>
                <w:sz w:val="15"/>
                <w:szCs w:val="15"/>
              </w:rPr>
            </w:pPr>
            <w:r>
              <w:rPr>
                <w:rFonts w:asciiTheme="minorEastAsia" w:hAnsiTheme="minorEastAsia" w:eastAsiaTheme="minorEastAsia" w:cstheme="minorEastAsia"/>
                <w:bCs/>
                <w:color w:val="000000" w:themeColor="text1"/>
                <w:sz w:val="15"/>
                <w:szCs w:val="15"/>
                <w:lang w:bidi="ar"/>
                <w14:textFill>
                  <w14:solidFill>
                    <w14:schemeClr w14:val="tx1"/>
                  </w14:solidFill>
                </w14:textFill>
              </w:rPr>
              <w:t>绩效目标</w:t>
            </w:r>
          </w:p>
        </w:tc>
      </w:tr>
      <w:tr>
        <w:tblPrEx>
          <w:tblCellMar>
            <w:top w:w="0" w:type="dxa"/>
            <w:left w:w="0" w:type="dxa"/>
            <w:bottom w:w="0" w:type="dxa"/>
            <w:right w:w="0" w:type="dxa"/>
          </w:tblCellMar>
        </w:tblPrEx>
        <w:trPr>
          <w:trHeight w:val="298" w:hRule="atLeast"/>
        </w:trPr>
        <w:tc>
          <w:tcPr>
            <w:tcW w:w="35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年初绩效目标</w:t>
            </w:r>
          </w:p>
        </w:tc>
        <w:tc>
          <w:tcPr>
            <w:tcW w:w="25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全年（调整）绩效目标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全年目标实际完成情况</w:t>
            </w:r>
          </w:p>
        </w:tc>
      </w:tr>
      <w:tr>
        <w:tblPrEx>
          <w:tblCellMar>
            <w:top w:w="0" w:type="dxa"/>
            <w:left w:w="0" w:type="dxa"/>
            <w:bottom w:w="0" w:type="dxa"/>
            <w:right w:w="0" w:type="dxa"/>
          </w:tblCellMar>
        </w:tblPrEx>
        <w:trPr>
          <w:trHeight w:val="1598" w:hRule="atLeast"/>
        </w:trPr>
        <w:tc>
          <w:tcPr>
            <w:tcW w:w="35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napToGrid w:val="0"/>
              <w:textAlignment w:val="top"/>
              <w:rPr>
                <w:rFonts w:hint="default" w:cs="宋体"/>
                <w:color w:val="000000"/>
                <w:sz w:val="15"/>
                <w:szCs w:val="15"/>
              </w:rPr>
            </w:pPr>
            <w:r>
              <w:rPr>
                <w:rFonts w:cs="宋体"/>
                <w:color w:val="000000"/>
                <w:sz w:val="15"/>
                <w:szCs w:val="15"/>
                <w:lang w:bidi="ar"/>
              </w:rPr>
              <w:t>完成各专业全年统计报表任务，完成各专业统计信息及统计分析任务，完成统计产品印刷，掌握全县经济运行情况。完成第五次全国经济普查登记工作，掌握自第四次全国经济普查以来我县经济发展变化情况。完成各专业全年调查工作任务，对调查数据进行审核汇总分析和依法发布，完成调查研究产品任务。充分收集民情民意，为县委县政府制定政策提供参考依据。</w:t>
            </w:r>
          </w:p>
        </w:tc>
        <w:tc>
          <w:tcPr>
            <w:tcW w:w="25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napToGrid w:val="0"/>
              <w:rPr>
                <w:rFonts w:hint="default" w:cs="宋体"/>
                <w:color w:val="000000"/>
                <w:sz w:val="15"/>
                <w:szCs w:val="15"/>
              </w:rPr>
            </w:pP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napToGrid w:val="0"/>
              <w:textAlignment w:val="top"/>
              <w:rPr>
                <w:rFonts w:hint="default" w:cs="宋体"/>
                <w:color w:val="000000"/>
                <w:sz w:val="15"/>
                <w:szCs w:val="15"/>
              </w:rPr>
            </w:pPr>
            <w:r>
              <w:rPr>
                <w:rFonts w:cs="宋体"/>
                <w:color w:val="000000"/>
                <w:sz w:val="15"/>
                <w:szCs w:val="15"/>
                <w:lang w:bidi="ar"/>
              </w:rPr>
              <w:t>完成各专业全年统计报表任务，完成各专业统计信息及统计分析任务，完成统计产品印刷，掌握全县经济运行情况。完成第五次全国经济普查登记工作，掌握自第四次全国经济普查以来我县经济发展变化情况。完成各专业全年调查工作任务，对调查数据进行审核汇总分析和依法发布，完成调查研究产品任务。充分收集民情民意，为县委县政府制定政策提供参考依据。</w:t>
            </w:r>
          </w:p>
        </w:tc>
      </w:tr>
      <w:tr>
        <w:tblPrEx>
          <w:tblCellMar>
            <w:top w:w="0" w:type="dxa"/>
            <w:left w:w="0" w:type="dxa"/>
            <w:bottom w:w="0" w:type="dxa"/>
            <w:right w:w="0" w:type="dxa"/>
          </w:tblCellMar>
        </w:tblPrEx>
        <w:trPr>
          <w:trHeight w:val="258" w:hRule="atLeast"/>
        </w:trPr>
        <w:tc>
          <w:tcPr>
            <w:tcW w:w="895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微软雅黑" w:hAnsi="微软雅黑" w:eastAsia="微软雅黑" w:cs="微软雅黑"/>
                <w:b/>
                <w:color w:val="808080"/>
                <w:sz w:val="15"/>
                <w:szCs w:val="15"/>
              </w:rPr>
            </w:pPr>
            <w:r>
              <w:rPr>
                <w:rFonts w:asciiTheme="minorEastAsia" w:hAnsiTheme="minorEastAsia" w:eastAsiaTheme="minorEastAsia" w:cstheme="minorEastAsia"/>
                <w:bCs/>
                <w:color w:val="000000" w:themeColor="text1"/>
                <w:sz w:val="15"/>
                <w:szCs w:val="15"/>
                <w:lang w:bidi="ar"/>
                <w14:textFill>
                  <w14:solidFill>
                    <w14:schemeClr w14:val="tx1"/>
                  </w14:solidFill>
                </w14:textFill>
              </w:rPr>
              <w:t>绩效指标</w:t>
            </w:r>
          </w:p>
        </w:tc>
      </w:tr>
      <w:tr>
        <w:tblPrEx>
          <w:tblCellMar>
            <w:top w:w="0" w:type="dxa"/>
            <w:left w:w="0" w:type="dxa"/>
            <w:bottom w:w="0" w:type="dxa"/>
            <w:right w:w="0" w:type="dxa"/>
          </w:tblCellMar>
        </w:tblPrEx>
        <w:trPr>
          <w:trHeight w:val="298"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指标名称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计量单位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指标值</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全年完成值</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偏离度（%）</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得分系数（%）</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指标得分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是否核心指标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15"/>
                <w:szCs w:val="15"/>
              </w:rPr>
            </w:pPr>
            <w:r>
              <w:rPr>
                <w:rFonts w:cs="宋体"/>
                <w:b/>
                <w:color w:val="000000"/>
                <w:sz w:val="15"/>
                <w:szCs w:val="15"/>
                <w:lang w:bidi="ar"/>
              </w:rPr>
              <w:t>说明</w:t>
            </w:r>
          </w:p>
        </w:tc>
      </w:tr>
      <w:tr>
        <w:tblPrEx>
          <w:tblCellMar>
            <w:top w:w="0" w:type="dxa"/>
            <w:left w:w="0" w:type="dxa"/>
            <w:bottom w:w="0" w:type="dxa"/>
            <w:right w:w="0" w:type="dxa"/>
          </w:tblCellMar>
        </w:tblPrEx>
        <w:trPr>
          <w:trHeight w:val="18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编印统计月报，手册，年鉴，公报</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册</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3500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4060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16</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是</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677"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每年培训人次</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人次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1500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1400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是</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经济普查正式登记业务培训，及审核业务培训次数及人数较预算增加</w:t>
            </w:r>
          </w:p>
        </w:tc>
      </w:tr>
      <w:tr>
        <w:tblPrEx>
          <w:tblCellMar>
            <w:top w:w="0" w:type="dxa"/>
            <w:left w:w="0" w:type="dxa"/>
            <w:bottom w:w="0" w:type="dxa"/>
            <w:right w:w="0" w:type="dxa"/>
          </w:tblCellMar>
        </w:tblPrEx>
        <w:trPr>
          <w:trHeight w:val="746"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民意调查访问人次</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人次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3000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10000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233.33</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是</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垫江县政务服务事项办理情况满意度调查数量较预期数量增多。</w:t>
            </w:r>
          </w:p>
        </w:tc>
      </w:tr>
      <w:tr>
        <w:tblPrEx>
          <w:tblCellMar>
            <w:top w:w="0" w:type="dxa"/>
            <w:left w:w="0" w:type="dxa"/>
            <w:bottom w:w="0" w:type="dxa"/>
            <w:right w:w="0" w:type="dxa"/>
          </w:tblCellMar>
        </w:tblPrEx>
        <w:trPr>
          <w:trHeight w:val="429"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为县委县政府的提供有效的分析材料</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20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25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25</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是</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429"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部门预决算按时公开率</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是</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429"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企业报表及时率</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否</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429"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全年预算支出执行率</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否</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429"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三季度预算执行进度</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75</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75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否</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429"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调查指标填报准确率</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否</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429"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反映人口变化情况</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95</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否</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429"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统计对象对统计服务工作满意度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否</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r>
        <w:tblPrEx>
          <w:tblCellMar>
            <w:top w:w="0" w:type="dxa"/>
            <w:left w:w="0" w:type="dxa"/>
            <w:bottom w:w="0" w:type="dxa"/>
            <w:right w:w="0" w:type="dxa"/>
          </w:tblCellMar>
        </w:tblPrEx>
        <w:trPr>
          <w:trHeight w:val="452"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textAlignment w:val="center"/>
              <w:rPr>
                <w:rFonts w:hint="default" w:cs="宋体"/>
                <w:color w:val="000000"/>
                <w:sz w:val="15"/>
                <w:szCs w:val="15"/>
              </w:rPr>
            </w:pPr>
            <w:r>
              <w:rPr>
                <w:rFonts w:cs="宋体"/>
                <w:color w:val="000000"/>
                <w:sz w:val="15"/>
                <w:szCs w:val="15"/>
                <w:lang w:bidi="ar"/>
              </w:rPr>
              <w:t>县委县政府对统计工作满意度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90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50" w:firstLineChars="100"/>
              <w:jc w:val="center"/>
              <w:textAlignment w:val="center"/>
              <w:rPr>
                <w:rFonts w:hint="default" w:cs="宋体"/>
                <w:color w:val="000000"/>
                <w:sz w:val="15"/>
                <w:szCs w:val="15"/>
              </w:rPr>
            </w:pPr>
            <w:r>
              <w:rPr>
                <w:rFonts w:cs="宋体"/>
                <w:color w:val="000000"/>
                <w:sz w:val="15"/>
                <w:szCs w:val="15"/>
                <w:lang w:bidi="ar"/>
              </w:rPr>
              <w:t>否</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default" w:cs="宋体"/>
                <w:color w:val="000000"/>
                <w:sz w:val="15"/>
                <w:szCs w:val="15"/>
              </w:rPr>
            </w:pPr>
          </w:p>
        </w:tc>
      </w:tr>
    </w:tbl>
    <w:p>
      <w:pPr>
        <w:pStyle w:val="12"/>
        <w:spacing w:before="0" w:beforeAutospacing="0"/>
        <w:rPr>
          <w:rFonts w:ascii="方正仿宋_GBK" w:hAnsi="方正仿宋_GBK" w:eastAsia="方正仿宋_GBK" w:cs="方正仿宋_GBK"/>
          <w:sz w:val="32"/>
          <w:szCs w:val="32"/>
          <w:shd w:val="clear" w:color="auto" w:fill="FFFFFF"/>
        </w:rPr>
      </w:pPr>
    </w:p>
    <w:tbl>
      <w:tblPr>
        <w:tblStyle w:val="7"/>
        <w:tblW w:w="9957" w:type="dxa"/>
        <w:jc w:val="center"/>
        <w:tblLayout w:type="fixed"/>
        <w:tblCellMar>
          <w:top w:w="0" w:type="dxa"/>
          <w:left w:w="0" w:type="dxa"/>
          <w:bottom w:w="0" w:type="dxa"/>
          <w:right w:w="0" w:type="dxa"/>
        </w:tblCellMar>
      </w:tblPr>
      <w:tblGrid>
        <w:gridCol w:w="993"/>
        <w:gridCol w:w="409"/>
        <w:gridCol w:w="881"/>
        <w:gridCol w:w="888"/>
        <w:gridCol w:w="978"/>
        <w:gridCol w:w="1223"/>
        <w:gridCol w:w="799"/>
        <w:gridCol w:w="498"/>
        <w:gridCol w:w="830"/>
        <w:gridCol w:w="951"/>
        <w:gridCol w:w="1507"/>
      </w:tblGrid>
      <w:tr>
        <w:tblPrEx>
          <w:tblCellMar>
            <w:top w:w="0" w:type="dxa"/>
            <w:left w:w="0" w:type="dxa"/>
            <w:bottom w:w="0" w:type="dxa"/>
            <w:right w:w="0" w:type="dxa"/>
          </w:tblCellMar>
        </w:tblPrEx>
        <w:trPr>
          <w:trHeight w:val="359" w:hRule="atLeast"/>
          <w:jc w:val="center"/>
        </w:trPr>
        <w:tc>
          <w:tcPr>
            <w:tcW w:w="995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imes New Roman" w:hAnsi="Times New Roman" w:eastAsia="方正仿宋_GB2312"/>
                <w:sz w:val="32"/>
                <w:szCs w:val="32"/>
              </w:rPr>
              <w:t>2024年度二级项目绩效自评表</w:t>
            </w:r>
          </w:p>
        </w:tc>
      </w:tr>
      <w:tr>
        <w:tblPrEx>
          <w:tblCellMar>
            <w:top w:w="0" w:type="dxa"/>
            <w:left w:w="0" w:type="dxa"/>
            <w:bottom w:w="0" w:type="dxa"/>
            <w:right w:w="0" w:type="dxa"/>
          </w:tblCellMar>
        </w:tblPrEx>
        <w:trPr>
          <w:trHeight w:val="130" w:hRule="atLeast"/>
          <w:jc w:val="center"/>
        </w:trPr>
        <w:tc>
          <w:tcPr>
            <w:tcW w:w="995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1" w:firstLineChars="10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状态：绩效审核已审</w:t>
            </w:r>
          </w:p>
        </w:tc>
      </w:tr>
      <w:tr>
        <w:tblPrEx>
          <w:tblCellMar>
            <w:top w:w="0" w:type="dxa"/>
            <w:left w:w="0" w:type="dxa"/>
            <w:bottom w:w="0" w:type="dxa"/>
            <w:right w:w="0" w:type="dxa"/>
          </w:tblCellMar>
        </w:tblPrEx>
        <w:trPr>
          <w:trHeight w:val="434"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项目名称：</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第五次全国经济普查</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项目编码：</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50023122T000000115875</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lang w:bidi="ar"/>
              </w:rPr>
            </w:pPr>
            <w:r>
              <w:rPr>
                <w:rFonts w:asciiTheme="minorEastAsia" w:hAnsiTheme="minorEastAsia" w:eastAsiaTheme="minorEastAsia" w:cstheme="minorEastAsia"/>
                <w:b/>
                <w:sz w:val="18"/>
                <w:szCs w:val="18"/>
                <w:lang w:bidi="ar"/>
              </w:rPr>
              <w:t>自评</w:t>
            </w:r>
          </w:p>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总分：</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99.99</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
                <w:sz w:val="18"/>
                <w:szCs w:val="18"/>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50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项目主管部门：</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123-垫江县统计局</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财政归口处室：</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004-行财科</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lang w:bidi="ar"/>
              </w:rPr>
            </w:pPr>
            <w:r>
              <w:rPr>
                <w:rFonts w:asciiTheme="minorEastAsia" w:hAnsiTheme="minorEastAsia" w:eastAsiaTheme="minorEastAsia" w:cstheme="minorEastAsia"/>
                <w:b/>
                <w:sz w:val="18"/>
                <w:szCs w:val="18"/>
                <w:lang w:bidi="ar"/>
              </w:rPr>
              <w:t>部门</w:t>
            </w:r>
          </w:p>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联系人：</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胡莹</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联系电话：</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74512573</w:t>
            </w:r>
          </w:p>
        </w:tc>
      </w:tr>
      <w:tr>
        <w:tblPrEx>
          <w:tblCellMar>
            <w:top w:w="0" w:type="dxa"/>
            <w:left w:w="0" w:type="dxa"/>
            <w:bottom w:w="0" w:type="dxa"/>
            <w:right w:w="0" w:type="dxa"/>
          </w:tblCellMar>
        </w:tblPrEx>
        <w:trPr>
          <w:trHeight w:val="205" w:hRule="atLeast"/>
          <w:jc w:val="center"/>
        </w:trPr>
        <w:tc>
          <w:tcPr>
            <w:tcW w:w="995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资金情况</w:t>
            </w:r>
          </w:p>
        </w:tc>
      </w:tr>
      <w:tr>
        <w:tblPrEx>
          <w:tblCellMar>
            <w:top w:w="0" w:type="dxa"/>
            <w:left w:w="0" w:type="dxa"/>
            <w:bottom w:w="0" w:type="dxa"/>
            <w:right w:w="0" w:type="dxa"/>
          </w:tblCellMar>
        </w:tblPrEx>
        <w:trPr>
          <w:trHeight w:val="19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年初预算数</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全年（调整）预算数</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全年执行数</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执行率</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执行率权重</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执行率得分</w:t>
            </w:r>
          </w:p>
        </w:tc>
      </w:tr>
      <w:tr>
        <w:tblPrEx>
          <w:tblCellMar>
            <w:top w:w="0" w:type="dxa"/>
            <w:left w:w="0" w:type="dxa"/>
            <w:bottom w:w="0" w:type="dxa"/>
            <w:right w:w="0" w:type="dxa"/>
          </w:tblCellMar>
        </w:tblPrEx>
        <w:trPr>
          <w:trHeight w:val="25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年度总金额</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2,090,000.00</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1,092,901.82</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1,092,001.82</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235"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其中：财政拨款</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2,090,000.00</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1,092,901.82</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lang w:bidi="ar"/>
              </w:rPr>
            </w:pPr>
            <w:r>
              <w:rPr>
                <w:rFonts w:asciiTheme="minorEastAsia" w:hAnsiTheme="minorEastAsia" w:eastAsiaTheme="minorEastAsia" w:cstheme="minorEastAsia"/>
                <w:sz w:val="18"/>
                <w:szCs w:val="18"/>
                <w:lang w:bidi="ar"/>
              </w:rPr>
              <w:t>1,092,001.82</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99.92</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9.99</w:t>
            </w:r>
          </w:p>
        </w:tc>
      </w:tr>
      <w:tr>
        <w:tblPrEx>
          <w:tblCellMar>
            <w:top w:w="0" w:type="dxa"/>
            <w:left w:w="0" w:type="dxa"/>
            <w:bottom w:w="0" w:type="dxa"/>
            <w:right w:w="0" w:type="dxa"/>
          </w:tblCellMar>
        </w:tblPrEx>
        <w:trPr>
          <w:trHeight w:val="28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一般公共预算</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2,090,000.00</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1,092,901.82</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1,092,001.82</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99.92</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235" w:hRule="atLeast"/>
          <w:jc w:val="center"/>
        </w:trPr>
        <w:tc>
          <w:tcPr>
            <w:tcW w:w="995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绩效目标</w:t>
            </w:r>
          </w:p>
        </w:tc>
      </w:tr>
      <w:tr>
        <w:tblPrEx>
          <w:tblCellMar>
            <w:top w:w="0" w:type="dxa"/>
            <w:left w:w="0" w:type="dxa"/>
            <w:bottom w:w="0" w:type="dxa"/>
            <w:right w:w="0" w:type="dxa"/>
          </w:tblCellMar>
        </w:tblPrEx>
        <w:trPr>
          <w:trHeight w:val="295" w:hRule="atLeast"/>
          <w:jc w:val="center"/>
        </w:trPr>
        <w:tc>
          <w:tcPr>
            <w:tcW w:w="31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年初绩效目标</w:t>
            </w:r>
          </w:p>
        </w:tc>
        <w:tc>
          <w:tcPr>
            <w:tcW w:w="34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全年（调整）绩效目标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全年目标实际完成情况</w:t>
            </w:r>
          </w:p>
        </w:tc>
      </w:tr>
      <w:tr>
        <w:tblPrEx>
          <w:tblCellMar>
            <w:top w:w="0" w:type="dxa"/>
            <w:left w:w="0" w:type="dxa"/>
            <w:bottom w:w="0" w:type="dxa"/>
            <w:right w:w="0" w:type="dxa"/>
          </w:tblCellMar>
        </w:tblPrEx>
        <w:trPr>
          <w:trHeight w:val="1071" w:hRule="atLeast"/>
          <w:jc w:val="center"/>
        </w:trPr>
        <w:tc>
          <w:tcPr>
            <w:tcW w:w="31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top"/>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掌握全县经济运行情况，掌握自第四次全国经济普查以来我县经济发展变化情况。完成第五次全国经济普查各项工作。</w:t>
            </w:r>
          </w:p>
        </w:tc>
        <w:tc>
          <w:tcPr>
            <w:tcW w:w="34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top"/>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掌握全县经济运行情况，掌握自第四次全国经济普查以来我县经济发展变化情况。完成第五次全国经济普查各项工作。</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top"/>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掌握全县经济运行情况，掌握自第四次全国经济普查以来我县经济发展变化情况。完成第五次全国经济普查各项工作。</w:t>
            </w:r>
          </w:p>
        </w:tc>
      </w:tr>
      <w:tr>
        <w:tblPrEx>
          <w:tblCellMar>
            <w:top w:w="0" w:type="dxa"/>
            <w:left w:w="0" w:type="dxa"/>
            <w:bottom w:w="0" w:type="dxa"/>
            <w:right w:w="0" w:type="dxa"/>
          </w:tblCellMar>
        </w:tblPrEx>
        <w:trPr>
          <w:trHeight w:val="235" w:hRule="atLeast"/>
          <w:jc w:val="center"/>
        </w:trPr>
        <w:tc>
          <w:tcPr>
            <w:tcW w:w="995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绩效指标</w:t>
            </w:r>
          </w:p>
        </w:tc>
      </w:tr>
      <w:tr>
        <w:tblPrEx>
          <w:tblCellMar>
            <w:top w:w="0" w:type="dxa"/>
            <w:left w:w="0" w:type="dxa"/>
            <w:bottom w:w="0" w:type="dxa"/>
            <w:right w:w="0" w:type="dxa"/>
          </w:tblCellMar>
        </w:tblPrEx>
        <w:trPr>
          <w:trHeight w:val="53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指标名称</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计量单位</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指标性质</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指标值</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全年完成值</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偏离度（%）</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得分系数（%）</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指标权重</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指标得分</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是否核心指标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说明</w:t>
            </w:r>
          </w:p>
        </w:tc>
      </w:tr>
      <w:tr>
        <w:tblPrEx>
          <w:tblCellMar>
            <w:top w:w="0" w:type="dxa"/>
            <w:left w:w="0" w:type="dxa"/>
            <w:bottom w:w="0" w:type="dxa"/>
            <w:right w:w="0" w:type="dxa"/>
          </w:tblCellMar>
        </w:tblPrEx>
        <w:trPr>
          <w:trHeight w:val="465"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普查登记审核验收率</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是</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45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普查工作培训次数</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次</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200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否</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业务复杂，培训次数较年初设定值增加</w:t>
            </w:r>
          </w:p>
        </w:tc>
      </w:tr>
      <w:tr>
        <w:tblPrEx>
          <w:tblCellMar>
            <w:top w:w="0" w:type="dxa"/>
            <w:left w:w="0" w:type="dxa"/>
            <w:bottom w:w="0" w:type="dxa"/>
            <w:right w:w="0" w:type="dxa"/>
          </w:tblCellMar>
        </w:tblPrEx>
        <w:trPr>
          <w:trHeight w:val="53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统计宣传覆盖率</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95</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95</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否</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443"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普查数据质量达标率</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是</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205"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普查登记及时率</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否</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503"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国家核定一级指标通过率</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95</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95</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是</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139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反映统计调查对象、企业等有关服务对象对统计工作的满意度</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否</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bl>
    <w:tbl>
      <w:tblPr>
        <w:tblStyle w:val="7"/>
        <w:tblpPr w:leftFromText="180" w:rightFromText="180" w:vertAnchor="text" w:horzAnchor="page" w:tblpXSpec="center" w:tblpY="817"/>
        <w:tblOverlap w:val="never"/>
        <w:tblW w:w="10605" w:type="dxa"/>
        <w:jc w:val="center"/>
        <w:tblLayout w:type="fixed"/>
        <w:tblCellMar>
          <w:top w:w="0" w:type="dxa"/>
          <w:left w:w="0" w:type="dxa"/>
          <w:bottom w:w="0" w:type="dxa"/>
          <w:right w:w="0" w:type="dxa"/>
        </w:tblCellMar>
      </w:tblPr>
      <w:tblGrid>
        <w:gridCol w:w="984"/>
        <w:gridCol w:w="555"/>
        <w:gridCol w:w="690"/>
        <w:gridCol w:w="678"/>
        <w:gridCol w:w="1002"/>
        <w:gridCol w:w="1123"/>
        <w:gridCol w:w="1358"/>
        <w:gridCol w:w="609"/>
        <w:gridCol w:w="1230"/>
        <w:gridCol w:w="1296"/>
        <w:gridCol w:w="1080"/>
      </w:tblGrid>
      <w:tr>
        <w:tblPrEx>
          <w:tblCellMar>
            <w:top w:w="0" w:type="dxa"/>
            <w:left w:w="0" w:type="dxa"/>
            <w:bottom w:w="0" w:type="dxa"/>
            <w:right w:w="0" w:type="dxa"/>
          </w:tblCellMar>
        </w:tblPrEx>
        <w:trPr>
          <w:trHeight w:val="374" w:hRule="atLeast"/>
          <w:jc w:val="center"/>
        </w:trPr>
        <w:tc>
          <w:tcPr>
            <w:tcW w:w="106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微软雅黑" w:hAnsi="微软雅黑" w:eastAsia="微软雅黑" w:cs="微软雅黑"/>
                <w:b/>
                <w:sz w:val="40"/>
                <w:szCs w:val="40"/>
              </w:rPr>
            </w:pPr>
            <w:r>
              <w:rPr>
                <w:rFonts w:cs="宋体"/>
                <w:b/>
                <w:sz w:val="32"/>
                <w:szCs w:val="32"/>
                <w:lang w:bidi="ar"/>
              </w:rPr>
              <w:t>2024年度二级项目绩效自评表</w:t>
            </w:r>
          </w:p>
        </w:tc>
      </w:tr>
      <w:tr>
        <w:tblPrEx>
          <w:tblCellMar>
            <w:top w:w="0" w:type="dxa"/>
            <w:left w:w="0" w:type="dxa"/>
            <w:bottom w:w="0" w:type="dxa"/>
            <w:right w:w="0" w:type="dxa"/>
          </w:tblCellMar>
        </w:tblPrEx>
        <w:trPr>
          <w:trHeight w:val="500" w:hRule="atLeast"/>
          <w:jc w:val="center"/>
        </w:trPr>
        <w:tc>
          <w:tcPr>
            <w:tcW w:w="106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1" w:firstLineChars="100"/>
              <w:jc w:val="right"/>
              <w:textAlignment w:val="center"/>
              <w:rPr>
                <w:rFonts w:hint="default" w:cs="宋体"/>
                <w:b/>
                <w:sz w:val="22"/>
                <w:szCs w:val="22"/>
              </w:rPr>
            </w:pPr>
            <w:r>
              <w:rPr>
                <w:rFonts w:cs="宋体"/>
                <w:b/>
                <w:sz w:val="22"/>
                <w:szCs w:val="22"/>
                <w:lang w:bidi="ar"/>
              </w:rPr>
              <w:t>状态：绩效审核已审</w:t>
            </w:r>
          </w:p>
        </w:tc>
      </w:tr>
      <w:tr>
        <w:tblPrEx>
          <w:tblCellMar>
            <w:top w:w="0" w:type="dxa"/>
            <w:left w:w="0" w:type="dxa"/>
            <w:bottom w:w="0" w:type="dxa"/>
            <w:right w:w="0" w:type="dxa"/>
          </w:tblCellMar>
        </w:tblPrEx>
        <w:trPr>
          <w:trHeight w:val="51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项目名称：</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抽样调查网络经费</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项目编码：</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50023123T000003496587</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自评总分：</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100.00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sz w:val="18"/>
                <w:szCs w:val="18"/>
              </w:rPr>
            </w:pPr>
          </w:p>
        </w:tc>
      </w:tr>
      <w:tr>
        <w:tblPrEx>
          <w:tblCellMar>
            <w:top w:w="0" w:type="dxa"/>
            <w:left w:w="0" w:type="dxa"/>
            <w:bottom w:w="0" w:type="dxa"/>
            <w:right w:w="0" w:type="dxa"/>
          </w:tblCellMar>
        </w:tblPrEx>
        <w:trPr>
          <w:trHeight w:val="485"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项目主管部门：</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123-垫江县统计局</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财政归口处室：</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004-行财科</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部门联系人：</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赵丹丹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联系电话：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18"/>
                <w:szCs w:val="18"/>
              </w:rPr>
            </w:pPr>
            <w:r>
              <w:rPr>
                <w:rFonts w:cs="宋体"/>
                <w:sz w:val="18"/>
                <w:szCs w:val="18"/>
                <w:lang w:bidi="ar"/>
              </w:rPr>
              <w:t>74512573</w:t>
            </w:r>
          </w:p>
        </w:tc>
      </w:tr>
      <w:tr>
        <w:tblPrEx>
          <w:tblCellMar>
            <w:top w:w="0" w:type="dxa"/>
            <w:left w:w="0" w:type="dxa"/>
            <w:bottom w:w="0" w:type="dxa"/>
            <w:right w:w="0" w:type="dxa"/>
          </w:tblCellMar>
        </w:tblPrEx>
        <w:trPr>
          <w:trHeight w:val="335" w:hRule="atLeast"/>
          <w:jc w:val="center"/>
        </w:trPr>
        <w:tc>
          <w:tcPr>
            <w:tcW w:w="106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资金情况</w:t>
            </w:r>
          </w:p>
        </w:tc>
      </w:tr>
      <w:tr>
        <w:tblPrEx>
          <w:tblCellMar>
            <w:top w:w="0" w:type="dxa"/>
            <w:left w:w="0" w:type="dxa"/>
            <w:bottom w:w="0" w:type="dxa"/>
            <w:right w:w="0" w:type="dxa"/>
          </w:tblCellMar>
        </w:tblPrEx>
        <w:trPr>
          <w:trHeight w:val="500" w:hRule="atLeast"/>
          <w:jc w:val="center"/>
        </w:trPr>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年初预算数</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全年（调整）预算数</w:t>
            </w:r>
          </w:p>
        </w:tc>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全年执行数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执行率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b/>
                <w:sz w:val="18"/>
                <w:szCs w:val="18"/>
              </w:rPr>
            </w:pPr>
            <w:r>
              <w:rPr>
                <w:rFonts w:cs="宋体"/>
                <w:b/>
                <w:sz w:val="18"/>
                <w:szCs w:val="18"/>
                <w:lang w:bidi="ar"/>
              </w:rPr>
              <w:t>执行率权重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执行率得分</w:t>
            </w:r>
          </w:p>
        </w:tc>
      </w:tr>
      <w:tr>
        <w:tblPrEx>
          <w:tblCellMar>
            <w:top w:w="0" w:type="dxa"/>
            <w:left w:w="0" w:type="dxa"/>
            <w:bottom w:w="0" w:type="dxa"/>
            <w:right w:w="0" w:type="dxa"/>
          </w:tblCellMar>
        </w:tblPrEx>
        <w:trPr>
          <w:trHeight w:val="350" w:hRule="atLeast"/>
          <w:jc w:val="center"/>
        </w:trPr>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18"/>
                <w:szCs w:val="18"/>
              </w:rPr>
            </w:pPr>
            <w:r>
              <w:rPr>
                <w:rFonts w:cs="宋体"/>
                <w:sz w:val="18"/>
                <w:szCs w:val="18"/>
                <w:lang w:bidi="ar"/>
              </w:rPr>
              <w:t>年度总金额</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277,200.00</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r>
      <w:tr>
        <w:tblPrEx>
          <w:tblCellMar>
            <w:top w:w="0" w:type="dxa"/>
            <w:left w:w="0" w:type="dxa"/>
            <w:bottom w:w="0" w:type="dxa"/>
            <w:right w:w="0" w:type="dxa"/>
          </w:tblCellMar>
        </w:tblPrEx>
        <w:trPr>
          <w:trHeight w:val="355" w:hRule="atLeast"/>
          <w:jc w:val="center"/>
        </w:trPr>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18"/>
                <w:szCs w:val="18"/>
              </w:rPr>
            </w:pPr>
            <w:r>
              <w:rPr>
                <w:rFonts w:cs="宋体"/>
                <w:sz w:val="18"/>
                <w:szCs w:val="18"/>
                <w:lang w:bidi="ar"/>
              </w:rPr>
              <w:t>其中：财政拨款</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277,200.00</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100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jc w:val="center"/>
              <w:textAlignment w:val="center"/>
              <w:rPr>
                <w:rFonts w:hint="default" w:cs="宋体"/>
                <w:sz w:val="18"/>
                <w:szCs w:val="18"/>
              </w:rPr>
            </w:pPr>
            <w:r>
              <w:rPr>
                <w:rFonts w:cs="宋体"/>
                <w:sz w:val="18"/>
                <w:szCs w:val="18"/>
                <w:lang w:bidi="ar"/>
              </w:rPr>
              <w:t>10.00</w:t>
            </w:r>
          </w:p>
        </w:tc>
      </w:tr>
      <w:tr>
        <w:tblPrEx>
          <w:tblCellMar>
            <w:top w:w="0" w:type="dxa"/>
            <w:left w:w="0" w:type="dxa"/>
            <w:bottom w:w="0" w:type="dxa"/>
            <w:right w:w="0" w:type="dxa"/>
          </w:tblCellMar>
        </w:tblPrEx>
        <w:trPr>
          <w:trHeight w:val="340" w:hRule="atLeast"/>
          <w:jc w:val="center"/>
        </w:trPr>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18"/>
                <w:szCs w:val="18"/>
              </w:rPr>
            </w:pPr>
            <w:r>
              <w:rPr>
                <w:rFonts w:cs="宋体"/>
                <w:sz w:val="18"/>
                <w:szCs w:val="18"/>
                <w:lang w:bidi="ar"/>
              </w:rPr>
              <w:t>一般公共预算</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277,200.00</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100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r>
      <w:tr>
        <w:tblPrEx>
          <w:tblCellMar>
            <w:top w:w="0" w:type="dxa"/>
            <w:left w:w="0" w:type="dxa"/>
            <w:bottom w:w="0" w:type="dxa"/>
            <w:right w:w="0" w:type="dxa"/>
          </w:tblCellMar>
        </w:tblPrEx>
        <w:trPr>
          <w:trHeight w:val="365" w:hRule="atLeast"/>
          <w:jc w:val="center"/>
        </w:trPr>
        <w:tc>
          <w:tcPr>
            <w:tcW w:w="106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绩效目标</w:t>
            </w:r>
          </w:p>
        </w:tc>
      </w:tr>
      <w:tr>
        <w:tblPrEx>
          <w:tblCellMar>
            <w:top w:w="0" w:type="dxa"/>
            <w:left w:w="0" w:type="dxa"/>
            <w:bottom w:w="0" w:type="dxa"/>
            <w:right w:w="0" w:type="dxa"/>
          </w:tblCellMar>
        </w:tblPrEx>
        <w:trPr>
          <w:trHeight w:val="385"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年初绩效目标</w:t>
            </w:r>
          </w:p>
        </w:tc>
        <w:tc>
          <w:tcPr>
            <w:tcW w:w="40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全年（调整）绩效目标</w:t>
            </w:r>
          </w:p>
        </w:tc>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全年目标实际完成情况</w:t>
            </w:r>
          </w:p>
        </w:tc>
      </w:tr>
      <w:tr>
        <w:tblPrEx>
          <w:tblCellMar>
            <w:top w:w="0" w:type="dxa"/>
            <w:left w:w="0" w:type="dxa"/>
            <w:bottom w:w="0" w:type="dxa"/>
            <w:right w:w="0" w:type="dxa"/>
          </w:tblCellMar>
        </w:tblPrEx>
        <w:trPr>
          <w:trHeight w:val="670"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napToGrid w:val="0"/>
              <w:textAlignment w:val="top"/>
              <w:rPr>
                <w:rFonts w:hint="default" w:cs="宋体"/>
                <w:sz w:val="18"/>
                <w:szCs w:val="18"/>
              </w:rPr>
            </w:pPr>
            <w:r>
              <w:rPr>
                <w:rFonts w:cs="宋体"/>
                <w:sz w:val="18"/>
                <w:szCs w:val="18"/>
                <w:lang w:bidi="ar"/>
              </w:rPr>
              <w:t>用于规下工业、规下服务业、农产品产量、城镇居民收入、农村居民收入及农民工等12个方面的抽样工作</w:t>
            </w:r>
          </w:p>
        </w:tc>
        <w:tc>
          <w:tcPr>
            <w:tcW w:w="40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napToGrid w:val="0"/>
              <w:rPr>
                <w:rFonts w:hint="default" w:cs="宋体"/>
                <w:sz w:val="18"/>
                <w:szCs w:val="18"/>
              </w:rPr>
            </w:pPr>
          </w:p>
        </w:tc>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napToGrid w:val="0"/>
              <w:textAlignment w:val="top"/>
              <w:rPr>
                <w:rFonts w:hint="default" w:cs="宋体"/>
                <w:sz w:val="18"/>
                <w:szCs w:val="18"/>
              </w:rPr>
            </w:pPr>
            <w:r>
              <w:rPr>
                <w:rFonts w:cs="宋体"/>
                <w:sz w:val="18"/>
                <w:szCs w:val="18"/>
                <w:lang w:bidi="ar"/>
              </w:rPr>
              <w:t>用于规下工业、规下服务业、农产品产量、城镇居民收入、农村居民收入及农民工等12个方面的抽样工作</w:t>
            </w:r>
          </w:p>
        </w:tc>
      </w:tr>
      <w:tr>
        <w:tblPrEx>
          <w:tblCellMar>
            <w:top w:w="0" w:type="dxa"/>
            <w:left w:w="0" w:type="dxa"/>
            <w:bottom w:w="0" w:type="dxa"/>
            <w:right w:w="0" w:type="dxa"/>
          </w:tblCellMar>
        </w:tblPrEx>
        <w:trPr>
          <w:trHeight w:val="305" w:hRule="atLeast"/>
          <w:jc w:val="center"/>
        </w:trPr>
        <w:tc>
          <w:tcPr>
            <w:tcW w:w="106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绩效指标</w:t>
            </w:r>
          </w:p>
        </w:tc>
      </w:tr>
      <w:tr>
        <w:tblPrEx>
          <w:tblCellMar>
            <w:top w:w="0" w:type="dxa"/>
            <w:left w:w="0" w:type="dxa"/>
            <w:bottom w:w="0" w:type="dxa"/>
            <w:right w:w="0" w:type="dxa"/>
          </w:tblCellMar>
        </w:tblPrEx>
        <w:trPr>
          <w:trHeight w:val="569"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指标名称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计量单位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lang w:bidi="ar"/>
              </w:rPr>
            </w:pPr>
            <w:r>
              <w:rPr>
                <w:rFonts w:cs="宋体"/>
                <w:b/>
                <w:sz w:val="18"/>
                <w:szCs w:val="18"/>
                <w:lang w:bidi="ar"/>
              </w:rPr>
              <w:t xml:space="preserve">指标 </w:t>
            </w:r>
          </w:p>
          <w:p>
            <w:pPr>
              <w:snapToGrid w:val="0"/>
              <w:jc w:val="center"/>
              <w:textAlignment w:val="center"/>
              <w:rPr>
                <w:rFonts w:hint="default" w:cs="宋体"/>
                <w:b/>
                <w:sz w:val="18"/>
                <w:szCs w:val="18"/>
              </w:rPr>
            </w:pPr>
            <w:r>
              <w:rPr>
                <w:rFonts w:cs="宋体"/>
                <w:b/>
                <w:sz w:val="18"/>
                <w:szCs w:val="18"/>
                <w:lang w:bidi="ar"/>
              </w:rPr>
              <w:t>性质</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指标值</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全年完成值</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偏离度（%）</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得分系数（%）</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lang w:bidi="ar"/>
              </w:rPr>
            </w:pPr>
            <w:r>
              <w:rPr>
                <w:rFonts w:cs="宋体"/>
                <w:b/>
                <w:sz w:val="18"/>
                <w:szCs w:val="18"/>
                <w:lang w:bidi="ar"/>
              </w:rPr>
              <w:t xml:space="preserve">指标 </w:t>
            </w:r>
          </w:p>
          <w:p>
            <w:pPr>
              <w:snapToGrid w:val="0"/>
              <w:jc w:val="center"/>
              <w:textAlignment w:val="center"/>
              <w:rPr>
                <w:rFonts w:hint="default" w:cs="宋体"/>
                <w:b/>
                <w:sz w:val="18"/>
                <w:szCs w:val="18"/>
              </w:rPr>
            </w:pPr>
            <w:r>
              <w:rPr>
                <w:rFonts w:cs="宋体"/>
                <w:b/>
                <w:sz w:val="18"/>
                <w:szCs w:val="18"/>
                <w:lang w:bidi="ar"/>
              </w:rPr>
              <w:t>权重</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指标得分</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是否核心指标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说明</w:t>
            </w:r>
          </w:p>
        </w:tc>
      </w:tr>
      <w:tr>
        <w:tblPrEx>
          <w:tblCellMar>
            <w:top w:w="0" w:type="dxa"/>
            <w:left w:w="0" w:type="dxa"/>
            <w:bottom w:w="0" w:type="dxa"/>
            <w:right w:w="0" w:type="dxa"/>
          </w:tblCellMar>
        </w:tblPrEx>
        <w:trPr>
          <w:trHeight w:val="43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常规调查完成度</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trHeight w:val="555"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数据分析研究数</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篇</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trHeight w:val="5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主要统计指标数据质量合格率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trHeight w:val="535"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常规调查完成及时率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trHeight w:val="395"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使用财政资金</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27.72</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27.71</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0.04</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trHeight w:val="365"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提升统计数据质量</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95</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95</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trHeight w:val="1205"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反映统计调查对象、企业等有关服务对象对统计工作的满意度</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95</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95</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bl>
    <w:p>
      <w:pPr>
        <w:pStyle w:val="11"/>
        <w:autoSpaceDE w:val="0"/>
        <w:ind w:firstLine="640"/>
        <w:rPr>
          <w:rFonts w:ascii="方正楷体_GB2312" w:hAnsi="方正楷体_GB2312" w:eastAsia="方正楷体_GB2312" w:cs="方正楷体_GB2312"/>
          <w:sz w:val="32"/>
          <w:szCs w:val="32"/>
          <w:shd w:val="clear" w:color="auto" w:fill="FFFFFF"/>
        </w:rPr>
      </w:pPr>
    </w:p>
    <w:p>
      <w:pPr>
        <w:pStyle w:val="11"/>
        <w:autoSpaceDE w:val="0"/>
        <w:ind w:firstLine="640"/>
        <w:rPr>
          <w:rFonts w:ascii="方正楷体_GB2312" w:hAnsi="方正楷体_GB2312" w:eastAsia="方正楷体_GB2312" w:cs="方正楷体_GB2312"/>
          <w:sz w:val="32"/>
          <w:szCs w:val="32"/>
          <w:shd w:val="clear" w:color="auto" w:fill="FFFFFF"/>
        </w:rPr>
      </w:pPr>
      <w:r>
        <w:rPr>
          <w:rFonts w:hint="eastAsia" w:ascii="方正楷体_GB2312" w:hAnsi="方正楷体_GB2312" w:eastAsia="方正楷体_GB2312" w:cs="方正楷体_GB2312"/>
          <w:sz w:val="32"/>
          <w:szCs w:val="32"/>
          <w:shd w:val="clear" w:color="auto" w:fill="FFFFFF"/>
        </w:rPr>
        <w:t>（二）部门绩效评价情况</w:t>
      </w:r>
    </w:p>
    <w:p>
      <w:pPr>
        <w:pStyle w:val="11"/>
        <w:widowControl w:val="0"/>
        <w:autoSpaceDE w:val="0"/>
        <w:spacing w:line="594" w:lineRule="exact"/>
        <w:ind w:firstLine="640"/>
        <w:jc w:val="both"/>
        <w:rPr>
          <w:rFonts w:ascii="Times New Roman" w:hAnsi="Times New Roman" w:eastAsia="方正仿宋_GB2312"/>
          <w:color w:val="000000" w:themeColor="text1"/>
          <w:sz w:val="32"/>
          <w:szCs w:val="32"/>
          <w:shd w:val="clear" w:color="auto" w:fill="FFFFFF"/>
          <w14:textFill>
            <w14:solidFill>
              <w14:schemeClr w14:val="tx1"/>
            </w14:solidFill>
          </w14:textFill>
        </w:rPr>
      </w:pPr>
      <w:r>
        <w:rPr>
          <w:rFonts w:ascii="Times New Roman" w:hAnsi="Times New Roman" w:eastAsia="方正仿宋_GB2312"/>
          <w:color w:val="000000" w:themeColor="text1"/>
          <w:sz w:val="32"/>
          <w:szCs w:val="32"/>
          <w:shd w:val="clear" w:color="auto" w:fill="FFFFFF"/>
          <w14:textFill>
            <w14:solidFill>
              <w14:schemeClr w14:val="tx1"/>
            </w14:solidFill>
          </w14:textFill>
        </w:rPr>
        <w:t>我部门未组织开展绩效评价。</w:t>
      </w:r>
    </w:p>
    <w:p>
      <w:pPr>
        <w:pStyle w:val="11"/>
        <w:widowControl w:val="0"/>
        <w:autoSpaceDE w:val="0"/>
        <w:spacing w:line="594" w:lineRule="exact"/>
        <w:ind w:firstLine="640"/>
        <w:jc w:val="both"/>
        <w:rPr>
          <w:rFonts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pPr>
      <w:r>
        <w:rPr>
          <w:rFonts w:hint="eastAsia"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（三）财政绩效评价情况</w:t>
      </w:r>
    </w:p>
    <w:p>
      <w:pPr>
        <w:pStyle w:val="11"/>
        <w:widowControl w:val="0"/>
        <w:autoSpaceDE w:val="0"/>
        <w:spacing w:line="594" w:lineRule="exact"/>
        <w:ind w:firstLine="640"/>
        <w:jc w:val="both"/>
        <w:rPr>
          <w:rFonts w:ascii="Times New Roman" w:hAnsi="Times New Roman" w:eastAsia="方正仿宋_GB2312"/>
          <w:sz w:val="32"/>
          <w:szCs w:val="32"/>
          <w:shd w:val="clear" w:color="auto" w:fill="FFFFFF"/>
        </w:rPr>
      </w:pPr>
      <w:r>
        <w:rPr>
          <w:rFonts w:hint="eastAsia" w:ascii="Times New Roman" w:hAnsi="Times New Roman" w:eastAsia="方正仿宋_GB2312"/>
          <w:sz w:val="32"/>
          <w:szCs w:val="32"/>
          <w:shd w:val="clear" w:color="auto" w:fill="FFFFFF"/>
        </w:rPr>
        <w:t>县</w:t>
      </w:r>
      <w:r>
        <w:rPr>
          <w:rFonts w:ascii="Times New Roman" w:hAnsi="Times New Roman" w:eastAsia="方正仿宋_GB2312"/>
          <w:sz w:val="32"/>
          <w:szCs w:val="32"/>
          <w:shd w:val="clear" w:color="auto" w:fill="FFFFFF"/>
        </w:rPr>
        <w:t>财政局未委托第三方对我部门开展绩效评价。</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0"/>
          <w:rFonts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六、专业名词解释</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（一）财政拨款收入：</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（二）事业收入：</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（三）经营收入：</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（四）其他收入：</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（五）使用非财政拨款结余</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（六）年初结转和结余：</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（七）结余分配：</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（八）年末结转和结余：</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指单位结转下年的基本支出结转、项目支出结转和结余、经营结余。</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（九）基本支出：</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（十）项目支出：</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（十一）经营支出：</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（十二）“三公”经费</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（十三）机关运行经费：</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（十四）工资福利支出（支出经济分类科目类级）：</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（十五）商品和服务支出（支出经济分类科目类级）：</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（十六）对个人和家庭的补助（支出经济分类科目类级）：</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反映用于对个人和家庭的补助支出。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color w:val="000000" w:themeColor="text1"/>
          <w:sz w:val="32"/>
          <w:szCs w:val="32"/>
          <w14:textFill>
            <w14:solidFill>
              <w14:schemeClr w14:val="tx1"/>
            </w14:solidFill>
          </w14:textFill>
        </w:rPr>
      </w:pPr>
      <w:r>
        <w:rPr>
          <w:rFonts w:hint="default" w:ascii="方正楷体_GB2312" w:hAnsi="方正楷体_GB2312" w:eastAsia="方正楷体_GB2312" w:cs="方正楷体_GB2312"/>
          <w:color w:val="000000" w:themeColor="text1"/>
          <w:sz w:val="32"/>
          <w:szCs w:val="32"/>
          <w:shd w:val="clear" w:color="auto" w:fill="FFFFFF"/>
          <w14:textFill>
            <w14:solidFill>
              <w14:schemeClr w14:val="tx1"/>
            </w14:solidFill>
          </w14:textFill>
        </w:rPr>
        <w:t>（十七）其他资本性支出（支出经济分类科目类级）：</w:t>
      </w:r>
      <w:r>
        <w:rPr>
          <w:rFonts w:hint="default" w:ascii="Times New Roman" w:hAnsi="Times New Roman" w:eastAsia="方正仿宋_GB2312"/>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0"/>
          <w:rFonts w:hint="default"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七、决算公开联系方式及信息反馈渠道</w:t>
      </w:r>
    </w:p>
    <w:p>
      <w:pPr>
        <w:pStyle w:val="11"/>
        <w:widowControl w:val="0"/>
        <w:autoSpaceDE w:val="0"/>
        <w:spacing w:line="594" w:lineRule="exact"/>
        <w:ind w:firstLine="640"/>
        <w:jc w:val="both"/>
        <w:rPr>
          <w:rStyle w:val="10"/>
          <w:rFonts w:ascii="Times New Roman" w:hAnsi="Times New Roman" w:eastAsia="方正仿宋_GB2312"/>
          <w:color w:val="000000" w:themeColor="text1"/>
          <w:sz w:val="32"/>
          <w:szCs w:val="32"/>
          <w:shd w:val="clear" w:color="auto" w:fill="FFFF00"/>
          <w14:textFill>
            <w14:solidFill>
              <w14:schemeClr w14:val="tx1"/>
            </w14:solidFill>
          </w14:textFill>
        </w:rPr>
        <w:sectPr>
          <w:pgSz w:w="11915" w:h="16840"/>
          <w:pgMar w:top="2098" w:right="1474" w:bottom="1984" w:left="1474" w:header="851" w:footer="992" w:gutter="0"/>
          <w:pgNumType w:fmt="numberInDash"/>
          <w:cols w:space="720" w:num="1"/>
          <w:docGrid w:type="lines" w:linePitch="312" w:charSpace="0"/>
        </w:sectPr>
      </w:pPr>
      <w:r>
        <w:rPr>
          <w:rFonts w:ascii="Times New Roman" w:hAnsi="Times New Roman" w:eastAsia="方正仿宋_GB2312"/>
          <w:color w:val="000000" w:themeColor="text1"/>
          <w:sz w:val="32"/>
          <w:szCs w:val="32"/>
          <w:shd w:val="clear" w:color="auto" w:fill="FFFFFF"/>
          <w14:textFill>
            <w14:solidFill>
              <w14:schemeClr w14:val="tx1"/>
            </w14:solidFill>
          </w14:textFill>
        </w:rPr>
        <w:t>本单位决算公开信息反</w:t>
      </w:r>
      <w:r>
        <w:rPr>
          <w:rFonts w:ascii="Times New Roman" w:hAnsi="Times New Roman" w:eastAsia="方正仿宋_GB2312"/>
          <w:sz w:val="32"/>
          <w:szCs w:val="32"/>
          <w:shd w:val="clear" w:color="auto" w:fill="FFFFFF"/>
        </w:rPr>
        <w:t>馈和联系方式：</w:t>
      </w:r>
      <w:r>
        <w:rPr>
          <w:rFonts w:hint="eastAsia" w:ascii="Times New Roman" w:hAnsi="Times New Roman" w:eastAsia="方正仿宋_GB2312"/>
          <w:sz w:val="32"/>
          <w:szCs w:val="32"/>
          <w:shd w:val="clear" w:color="auto" w:fill="FFFFFF"/>
        </w:rPr>
        <w:t>吴老师</w:t>
      </w:r>
      <w:r>
        <w:rPr>
          <w:rFonts w:ascii="Times New Roman" w:hAnsi="Times New Roman" w:eastAsia="方正仿宋_GB2312"/>
          <w:sz w:val="32"/>
          <w:szCs w:val="32"/>
          <w:shd w:val="clear" w:color="auto" w:fill="FFFFFF"/>
        </w:rPr>
        <w:t>023-74</w:t>
      </w:r>
      <w:r>
        <w:rPr>
          <w:rFonts w:ascii="Times New Roman" w:hAnsi="Times New Roman" w:eastAsia="方正仿宋_GB2312"/>
          <w:color w:val="000000" w:themeColor="text1"/>
          <w:sz w:val="32"/>
          <w:szCs w:val="32"/>
          <w:shd w:val="clear" w:color="auto" w:fill="FFFFFF"/>
          <w14:textFill>
            <w14:solidFill>
              <w14:schemeClr w14:val="tx1"/>
            </w14:solidFill>
          </w14:textFill>
        </w:rPr>
        <w:t>512573</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垫江县统计局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892.75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892.75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892.75</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892.75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040" w:type="dxa"/>
        <w:jc w:val="center"/>
        <w:tblLayout w:type="fixed"/>
        <w:tblCellMar>
          <w:top w:w="0" w:type="dxa"/>
          <w:left w:w="0" w:type="dxa"/>
          <w:bottom w:w="0" w:type="dxa"/>
          <w:right w:w="0" w:type="dxa"/>
        </w:tblCellMar>
      </w:tblPr>
      <w:tblGrid>
        <w:gridCol w:w="1392"/>
        <w:gridCol w:w="3233"/>
        <w:gridCol w:w="1330"/>
        <w:gridCol w:w="1283"/>
        <w:gridCol w:w="1283"/>
        <w:gridCol w:w="949"/>
        <w:gridCol w:w="1407"/>
        <w:gridCol w:w="1171"/>
        <w:gridCol w:w="1388"/>
        <w:gridCol w:w="1604"/>
      </w:tblGrid>
      <w:tr>
        <w:tblPrEx>
          <w:tblCellMar>
            <w:top w:w="0" w:type="dxa"/>
            <w:left w:w="0" w:type="dxa"/>
            <w:bottom w:w="0" w:type="dxa"/>
            <w:right w:w="0" w:type="dxa"/>
          </w:tblCellMar>
        </w:tblPrEx>
        <w:trPr>
          <w:trHeight w:val="90" w:hRule="atLeast"/>
          <w:jc w:val="center"/>
        </w:trPr>
        <w:tc>
          <w:tcPr>
            <w:tcW w:w="1504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90" w:hRule="atLeast"/>
          <w:jc w:val="center"/>
        </w:trPr>
        <w:tc>
          <w:tcPr>
            <w:tcW w:w="595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垫江县统计局</w:t>
            </w:r>
          </w:p>
        </w:tc>
        <w:tc>
          <w:tcPr>
            <w:tcW w:w="12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90" w:hRule="atLeast"/>
          <w:jc w:val="center"/>
        </w:trPr>
        <w:tc>
          <w:tcPr>
            <w:tcW w:w="595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462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widowControl w:val="0"/>
              <w:snapToGrid w:val="0"/>
              <w:jc w:val="center"/>
              <w:textAlignment w:val="bottom"/>
              <w:rPr>
                <w:rFonts w:hint="default" w:cs="宋体"/>
                <w:b/>
                <w:color w:val="000000"/>
                <w:sz w:val="20"/>
                <w:szCs w:val="20"/>
              </w:rPr>
            </w:pPr>
            <w:r>
              <w:rPr>
                <w:rFonts w:cs="宋体"/>
                <w:b/>
                <w:color w:val="000000"/>
                <w:sz w:val="20"/>
                <w:szCs w:val="20"/>
              </w:rPr>
              <w:t>项目</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本年收入合计</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财政拨款收入</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上级补助收入</w:t>
            </w:r>
          </w:p>
        </w:tc>
        <w:tc>
          <w:tcPr>
            <w:tcW w:w="23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val="0"/>
              <w:snapToGrid w:val="0"/>
              <w:jc w:val="center"/>
              <w:textAlignment w:val="bottom"/>
              <w:rPr>
                <w:rFonts w:hint="default" w:cs="宋体"/>
                <w:b/>
                <w:color w:val="000000"/>
                <w:sz w:val="20"/>
                <w:szCs w:val="20"/>
              </w:rPr>
            </w:pPr>
            <w:r>
              <w:rPr>
                <w:rFonts w:cs="宋体"/>
                <w:b/>
                <w:color w:val="000000"/>
                <w:sz w:val="20"/>
                <w:szCs w:val="20"/>
              </w:rPr>
              <w:t>事业收入</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经营收入</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附属单位上缴收入</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12" w:hRule="atLeast"/>
          <w:jc w:val="center"/>
        </w:trPr>
        <w:tc>
          <w:tcPr>
            <w:tcW w:w="13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23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小计</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其中：教育收费</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jc w:val="center"/>
        </w:trPr>
        <w:tc>
          <w:tcPr>
            <w:tcW w:w="13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323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jc w:val="center"/>
        </w:trPr>
        <w:tc>
          <w:tcPr>
            <w:tcW w:w="13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323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jc w:val="center"/>
        </w:trPr>
        <w:tc>
          <w:tcPr>
            <w:tcW w:w="13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323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90" w:hRule="atLeast"/>
          <w:jc w:val="center"/>
        </w:trPr>
        <w:tc>
          <w:tcPr>
            <w:tcW w:w="4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20"/>
                <w:szCs w:val="20"/>
              </w:rPr>
            </w:pPr>
            <w:r>
              <w:rPr>
                <w:rFonts w:cs="宋体"/>
                <w:b/>
                <w:color w:val="000000"/>
                <w:sz w:val="20"/>
                <w:szCs w:val="20"/>
              </w:rPr>
              <w:t>合计</w:t>
            </w:r>
          </w:p>
        </w:tc>
        <w:tc>
          <w:tcPr>
            <w:tcW w:w="1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892.75</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892.75</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201</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一般公共服务支出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727.17</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727.17</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20105</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统计信息事务</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727.17</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727.17</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2010501</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行政运行</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257.14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257.14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2010505</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专项统计业务</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148.76</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148.76</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2010506</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统计管理</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2010507</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专项普查活动</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131.72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131.72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2010508</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统计抽样调查</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37.31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37.31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2010550</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事业运行</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150.24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150.24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208</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社会保障和就业支出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107.06</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107.06</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20801</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人力资源和社会保障管理事务</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2080102</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一般行政管理事务</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20805</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行政事业单位养老支出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107.02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107.02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2080505</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49.51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49.51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2080506</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23.37</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23.37</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2080599</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其他行政事业单位养老支出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34.14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34.14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210</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卫生健康支出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21011</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行政事业单位医疗</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2101101</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行政单位医疗</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18.64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18.64</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2101102</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事业单位医疗</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221</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住房保障支出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32.72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32.72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22102</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b/>
                <w:color w:val="000000"/>
                <w:sz w:val="20"/>
                <w:szCs w:val="20"/>
              </w:rPr>
              <w:t>住房改革支出</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32.72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32.72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jc w:val="center"/>
        </w:trPr>
        <w:tc>
          <w:tcPr>
            <w:tcW w:w="13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2210201</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20"/>
                <w:szCs w:val="20"/>
              </w:rPr>
            </w:pPr>
            <w:r>
              <w:rPr>
                <w:rFonts w:cs="宋体"/>
                <w:color w:val="000000"/>
                <w:sz w:val="20"/>
                <w:szCs w:val="20"/>
              </w:rPr>
              <w:t>住房公积金</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14960" w:type="dxa"/>
        <w:tblInd w:w="0" w:type="dxa"/>
        <w:tblLayout w:type="fixed"/>
        <w:tblCellMar>
          <w:top w:w="0" w:type="dxa"/>
          <w:left w:w="0" w:type="dxa"/>
          <w:bottom w:w="0" w:type="dxa"/>
          <w:right w:w="0" w:type="dxa"/>
        </w:tblCellMar>
      </w:tblPr>
      <w:tblGrid>
        <w:gridCol w:w="1886"/>
        <w:gridCol w:w="3356"/>
        <w:gridCol w:w="1735"/>
        <w:gridCol w:w="937"/>
        <w:gridCol w:w="1763"/>
        <w:gridCol w:w="1592"/>
        <w:gridCol w:w="1295"/>
        <w:gridCol w:w="2396"/>
      </w:tblGrid>
      <w:tr>
        <w:tblPrEx>
          <w:tblCellMar>
            <w:top w:w="0" w:type="dxa"/>
            <w:left w:w="0" w:type="dxa"/>
            <w:bottom w:w="0" w:type="dxa"/>
            <w:right w:w="0" w:type="dxa"/>
          </w:tblCellMar>
        </w:tblPrEx>
        <w:trPr>
          <w:trHeight w:val="90" w:hRule="atLeast"/>
        </w:trPr>
        <w:tc>
          <w:tcPr>
            <w:tcW w:w="1496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90" w:hRule="atLeast"/>
        </w:trPr>
        <w:tc>
          <w:tcPr>
            <w:tcW w:w="697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垫江县统计局 </w:t>
            </w:r>
          </w:p>
        </w:tc>
        <w:tc>
          <w:tcPr>
            <w:tcW w:w="9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9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697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9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napToGrid w:val="0"/>
              <w:jc w:val="center"/>
              <w:textAlignment w:val="bottom"/>
              <w:rPr>
                <w:rFonts w:hint="default" w:cs="宋体"/>
                <w:b/>
                <w:color w:val="000000"/>
                <w:sz w:val="20"/>
                <w:szCs w:val="20"/>
              </w:rPr>
            </w:pPr>
            <w:r>
              <w:rPr>
                <w:rFonts w:cs="宋体"/>
                <w:b/>
                <w:color w:val="000000"/>
                <w:sz w:val="20"/>
                <w:szCs w:val="20"/>
              </w:rPr>
              <w:t>项目</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本年支出合计</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基本支出</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项目支出</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上缴上级支出</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经营支出</w:t>
            </w:r>
          </w:p>
        </w:tc>
        <w:tc>
          <w:tcPr>
            <w:tcW w:w="2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12" w:hRule="atLeast"/>
        </w:trPr>
        <w:tc>
          <w:tcPr>
            <w:tcW w:w="18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35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35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35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35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90" w:hRule="atLeast"/>
        </w:trPr>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合计</w:t>
            </w:r>
          </w:p>
        </w:tc>
        <w:tc>
          <w:tcPr>
            <w:tcW w:w="17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892.75</w:t>
            </w:r>
          </w:p>
        </w:tc>
        <w:tc>
          <w:tcPr>
            <w:tcW w:w="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572.91</w:t>
            </w:r>
          </w:p>
        </w:tc>
        <w:tc>
          <w:tcPr>
            <w:tcW w:w="17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319.83</w:t>
            </w:r>
          </w:p>
        </w:tc>
        <w:tc>
          <w:tcPr>
            <w:tcW w:w="15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2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一般公共服务支出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727.17</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407.38</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319.80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20105</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统计信息事务</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727.17</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407.38</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319.80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2010501</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行政运行</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257.14</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257.14</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2010505</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专项统计业务</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148.76</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148.76</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2010506</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统计管理</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2010507</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专项普查活动</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131.72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131.72</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2010508</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统计抽样调查</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37.31</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37.31</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2010550</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事业运行</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150.24</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150.24</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社会保障和就业支出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107.06</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107.02</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20801</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人力资源和社会保障管理事务</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2080102</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一般行政管理事务</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20805</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行政事业单位养老支出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107.02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107.02</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2080505</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49.51</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49.51</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2080506</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23.37</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23.37</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2080599</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其他行政事业单位养老支出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34.14</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34.14</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卫生健康支出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21011</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行政事业单位医疗</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2101101</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行政单位医疗</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18.64</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18.64</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2101102</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事业单位医疗</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住房保障支出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32.72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32.72</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22102</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住房改革支出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32.72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32.72</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90"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2210201</w:t>
            </w:r>
          </w:p>
        </w:tc>
        <w:tc>
          <w:tcPr>
            <w:tcW w:w="3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住房公积金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2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垫江县统计局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892.75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892.75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892.75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4640" w:type="dxa"/>
        <w:tblInd w:w="0" w:type="dxa"/>
        <w:tblLayout w:type="fixed"/>
        <w:tblCellMar>
          <w:top w:w="0" w:type="dxa"/>
          <w:left w:w="0" w:type="dxa"/>
          <w:bottom w:w="0" w:type="dxa"/>
          <w:right w:w="0" w:type="dxa"/>
        </w:tblCellMar>
      </w:tblPr>
      <w:tblGrid>
        <w:gridCol w:w="1716"/>
        <w:gridCol w:w="3423"/>
        <w:gridCol w:w="3159"/>
        <w:gridCol w:w="3151"/>
        <w:gridCol w:w="3191"/>
      </w:tblGrid>
      <w:tr>
        <w:tblPrEx>
          <w:tblCellMar>
            <w:top w:w="0" w:type="dxa"/>
            <w:left w:w="0" w:type="dxa"/>
            <w:bottom w:w="0" w:type="dxa"/>
            <w:right w:w="0" w:type="dxa"/>
          </w:tblCellMar>
        </w:tblPrEx>
        <w:trPr>
          <w:trHeight w:val="611" w:hRule="atLeast"/>
        </w:trPr>
        <w:tc>
          <w:tcPr>
            <w:tcW w:w="1464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313" w:hRule="atLeast"/>
        </w:trPr>
        <w:tc>
          <w:tcPr>
            <w:tcW w:w="829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垫江县统计局</w:t>
            </w:r>
          </w:p>
        </w:tc>
        <w:tc>
          <w:tcPr>
            <w:tcW w:w="31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19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313" w:hRule="atLeast"/>
        </w:trPr>
        <w:tc>
          <w:tcPr>
            <w:tcW w:w="829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1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19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18" w:hRule="atLeast"/>
        </w:trPr>
        <w:tc>
          <w:tcPr>
            <w:tcW w:w="5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w:t>
            </w:r>
          </w:p>
        </w:tc>
        <w:tc>
          <w:tcPr>
            <w:tcW w:w="950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12" w:hRule="atLeast"/>
        </w:trPr>
        <w:tc>
          <w:tcPr>
            <w:tcW w:w="171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4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31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合计</w:t>
            </w:r>
          </w:p>
        </w:tc>
        <w:tc>
          <w:tcPr>
            <w:tcW w:w="31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基本支出</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12" w:hRule="atLeast"/>
        </w:trPr>
        <w:tc>
          <w:tcPr>
            <w:tcW w:w="17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517" w:hRule="atLeast"/>
        </w:trPr>
        <w:tc>
          <w:tcPr>
            <w:tcW w:w="17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CellMar>
            <w:top w:w="0" w:type="dxa"/>
            <w:left w:w="0" w:type="dxa"/>
            <w:bottom w:w="0" w:type="dxa"/>
            <w:right w:w="0" w:type="dxa"/>
          </w:tblCellMar>
        </w:tblPrEx>
        <w:trPr>
          <w:trHeight w:val="285" w:hRule="atLeast"/>
        </w:trPr>
        <w:tc>
          <w:tcPr>
            <w:tcW w:w="51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合计</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892.75</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572.91</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319.83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一般公共服务支出</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727.17</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407.38</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20105</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统计信息事务</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727.17</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407.38</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2010501</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行政运行</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257.14</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257.14</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2010505</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专项统计业务</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148.76</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2010506</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统计管理</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2010507</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专项普查活动</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131.72</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2010508</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统计抽样调查</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37.31</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2010550</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事业运行</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150.24</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150.24</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社会保障和就业支出</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107.06</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107.02</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20801</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人力资源和社会保障管理事务</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2080102</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一般行政管理事务</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20805</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行政事业单位养老支出</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107.02</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107.02</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2080505</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49.51</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49.51</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2080506</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2080599</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其他行政事业单位养老支出</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34.14</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34.14</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卫生健康支出</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21011</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行政事业单位医疗</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2101101</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行政单位医疗</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18.64</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18.64</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2101102</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事业单位医疗</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7.16</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7.16</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住房保障支出</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32.72</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32.72</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285"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22102</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住房改革支出</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32.72</w:t>
            </w:r>
            <w:r>
              <w:rPr>
                <w:rFonts w:ascii="Times New Roman" w:hAnsi="Times New Roman"/>
                <w:b/>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32.72</w:t>
            </w:r>
            <w:r>
              <w:rPr>
                <w:rFonts w:ascii="Times New Roman" w:hAnsi="Times New Roman"/>
                <w:b/>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18" w:hRule="atLeast"/>
        </w:trPr>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2210201</w:t>
            </w:r>
          </w:p>
        </w:tc>
        <w:tc>
          <w:tcPr>
            <w:tcW w:w="3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住房公积金</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32.72</w:t>
            </w:r>
            <w:r>
              <w:rPr>
                <w:rFonts w:ascii="Times New Roman" w:hAnsi="Times New Roman"/>
                <w:color w:val="000000"/>
                <w:sz w:val="20"/>
              </w:rPr>
              <w:t xml:space="preserve"> </w:t>
            </w:r>
          </w:p>
        </w:tc>
        <w:tc>
          <w:tcPr>
            <w:tcW w:w="3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32.72</w:t>
            </w:r>
            <w:r>
              <w:rPr>
                <w:rFonts w:ascii="Times New Roman" w:hAnsi="Times New Roman"/>
                <w:color w:val="000000"/>
                <w:sz w:val="20"/>
              </w:rPr>
              <w:t xml:space="preserve"> </w:t>
            </w:r>
          </w:p>
        </w:tc>
        <w:tc>
          <w:tcPr>
            <w:tcW w:w="3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220" w:type="dxa"/>
        <w:tblInd w:w="0" w:type="dxa"/>
        <w:tblLayout w:type="fixed"/>
        <w:tblCellMar>
          <w:top w:w="0" w:type="dxa"/>
          <w:left w:w="0" w:type="dxa"/>
          <w:bottom w:w="0" w:type="dxa"/>
          <w:right w:w="0" w:type="dxa"/>
        </w:tblCellMar>
      </w:tblPr>
      <w:tblGrid>
        <w:gridCol w:w="597"/>
        <w:gridCol w:w="2836"/>
        <w:gridCol w:w="1243"/>
        <w:gridCol w:w="826"/>
        <w:gridCol w:w="1908"/>
        <w:gridCol w:w="1638"/>
        <w:gridCol w:w="798"/>
        <w:gridCol w:w="3493"/>
        <w:gridCol w:w="1881"/>
      </w:tblGrid>
      <w:tr>
        <w:tblPrEx>
          <w:tblCellMar>
            <w:top w:w="0" w:type="dxa"/>
            <w:left w:w="0" w:type="dxa"/>
            <w:bottom w:w="0" w:type="dxa"/>
            <w:right w:w="0" w:type="dxa"/>
          </w:tblCellMar>
        </w:tblPrEx>
        <w:trPr>
          <w:trHeight w:val="473" w:hRule="atLeast"/>
        </w:trPr>
        <w:tc>
          <w:tcPr>
            <w:tcW w:w="1522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12" w:hRule="atLeast"/>
        </w:trPr>
        <w:tc>
          <w:tcPr>
            <w:tcW w:w="7410"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垫江县统计局</w:t>
            </w:r>
          </w:p>
        </w:tc>
        <w:tc>
          <w:tcPr>
            <w:tcW w:w="163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9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9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312" w:hRule="atLeast"/>
        </w:trPr>
        <w:tc>
          <w:tcPr>
            <w:tcW w:w="7410"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3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9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9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85" w:hRule="atLeast"/>
        </w:trPr>
        <w:tc>
          <w:tcPr>
            <w:tcW w:w="4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人员经费</w:t>
            </w:r>
          </w:p>
        </w:tc>
        <w:tc>
          <w:tcPr>
            <w:tcW w:w="10544"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44" w:hRule="atLeast"/>
        </w:trPr>
        <w:tc>
          <w:tcPr>
            <w:tcW w:w="59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经济分类科目编码</w:t>
            </w:r>
          </w:p>
        </w:tc>
        <w:tc>
          <w:tcPr>
            <w:tcW w:w="28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金额</w:t>
            </w:r>
          </w:p>
        </w:tc>
        <w:tc>
          <w:tcPr>
            <w:tcW w:w="82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经济分类科目编码</w:t>
            </w:r>
          </w:p>
        </w:tc>
        <w:tc>
          <w:tcPr>
            <w:tcW w:w="19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金额</w:t>
            </w:r>
          </w:p>
        </w:tc>
        <w:tc>
          <w:tcPr>
            <w:tcW w:w="7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经济分类科目编码</w:t>
            </w:r>
          </w:p>
        </w:tc>
        <w:tc>
          <w:tcPr>
            <w:tcW w:w="349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639" w:hRule="atLeast"/>
        </w:trPr>
        <w:tc>
          <w:tcPr>
            <w:tcW w:w="5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18"/>
                <w:szCs w:val="18"/>
              </w:rPr>
            </w:pPr>
          </w:p>
        </w:tc>
        <w:tc>
          <w:tcPr>
            <w:tcW w:w="28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18"/>
                <w:szCs w:val="18"/>
              </w:rPr>
            </w:pPr>
          </w:p>
        </w:tc>
        <w:tc>
          <w:tcPr>
            <w:tcW w:w="12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18"/>
                <w:szCs w:val="18"/>
              </w:rPr>
            </w:pPr>
          </w:p>
        </w:tc>
        <w:tc>
          <w:tcPr>
            <w:tcW w:w="82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18"/>
                <w:szCs w:val="18"/>
              </w:rPr>
            </w:pPr>
          </w:p>
        </w:tc>
        <w:tc>
          <w:tcPr>
            <w:tcW w:w="19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18"/>
                <w:szCs w:val="18"/>
              </w:rPr>
            </w:pPr>
          </w:p>
        </w:tc>
        <w:tc>
          <w:tcPr>
            <w:tcW w:w="16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18"/>
                <w:szCs w:val="18"/>
              </w:rPr>
            </w:pPr>
          </w:p>
        </w:tc>
        <w:tc>
          <w:tcPr>
            <w:tcW w:w="7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18"/>
                <w:szCs w:val="18"/>
              </w:rPr>
            </w:pPr>
          </w:p>
        </w:tc>
        <w:tc>
          <w:tcPr>
            <w:tcW w:w="34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18"/>
                <w:szCs w:val="18"/>
              </w:rPr>
            </w:pPr>
          </w:p>
        </w:tc>
        <w:tc>
          <w:tcPr>
            <w:tcW w:w="18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rPr>
                <w:rFonts w:hint="default" w:cs="宋体"/>
                <w:b/>
                <w:color w:val="000000"/>
                <w:sz w:val="18"/>
                <w:szCs w:val="18"/>
              </w:rPr>
            </w:pP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b/>
                <w:bCs/>
                <w:color w:val="000000"/>
                <w:sz w:val="18"/>
                <w:szCs w:val="18"/>
              </w:rPr>
            </w:pPr>
            <w:r>
              <w:rPr>
                <w:rFonts w:cs="宋体"/>
                <w:b/>
                <w:bCs/>
                <w:color w:val="000000"/>
                <w:sz w:val="18"/>
                <w:szCs w:val="18"/>
              </w:rPr>
              <w:t>301</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b/>
                <w:bCs/>
                <w:color w:val="000000"/>
                <w:sz w:val="18"/>
                <w:szCs w:val="18"/>
              </w:rPr>
            </w:pPr>
            <w:r>
              <w:rPr>
                <w:rFonts w:cs="宋体"/>
                <w:b/>
                <w:bCs/>
                <w:color w:val="000000"/>
                <w:sz w:val="18"/>
                <w:szCs w:val="18"/>
              </w:rPr>
              <w:t>工资福利支出</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469.67</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bCs/>
                <w:color w:val="000000"/>
                <w:sz w:val="18"/>
                <w:szCs w:val="18"/>
              </w:rPr>
            </w:pPr>
            <w:r>
              <w:rPr>
                <w:rFonts w:cs="宋体"/>
                <w:b/>
                <w:bCs/>
                <w:color w:val="000000"/>
                <w:sz w:val="18"/>
                <w:szCs w:val="18"/>
              </w:rPr>
              <w:t>302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b/>
                <w:bCs/>
                <w:color w:val="000000"/>
                <w:sz w:val="18"/>
                <w:szCs w:val="18"/>
              </w:rPr>
            </w:pPr>
            <w:r>
              <w:rPr>
                <w:rFonts w:cs="宋体"/>
                <w:b/>
                <w:bCs/>
                <w:color w:val="000000"/>
                <w:sz w:val="18"/>
                <w:szCs w:val="18"/>
              </w:rPr>
              <w:t>商品和服务支出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69.10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bCs/>
                <w:color w:val="000000"/>
                <w:sz w:val="18"/>
                <w:szCs w:val="18"/>
              </w:rPr>
            </w:pPr>
            <w:r>
              <w:rPr>
                <w:rFonts w:cs="宋体"/>
                <w:b/>
                <w:bCs/>
                <w:color w:val="000000"/>
                <w:sz w:val="18"/>
                <w:szCs w:val="18"/>
              </w:rPr>
              <w:t>310</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b/>
                <w:bCs/>
                <w:color w:val="000000"/>
                <w:sz w:val="18"/>
                <w:szCs w:val="18"/>
              </w:rPr>
            </w:pPr>
            <w:r>
              <w:rPr>
                <w:rFonts w:cs="宋体"/>
                <w:b/>
                <w:bCs/>
                <w:color w:val="000000"/>
                <w:sz w:val="18"/>
                <w:szCs w:val="18"/>
              </w:rPr>
              <w:t>资本性支出</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30101</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基本工资</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99.83</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30201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办公费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31001</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房屋建筑物购建</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30102</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津贴补贴</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45.99</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30202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印刷费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31002</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办公设备购置</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30103</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奖金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86.72</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30203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咨询费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31003</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专用设备购置</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30106</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伙食补助费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30204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手续费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31005</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基础设施建设</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30107</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绩效工资</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91.80</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30205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水费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31006</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大型修缮</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30108</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49.51</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30206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电费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31007</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信息网络及软件购置更新</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30109</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职业年金缴费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23.37</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30207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邮电费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31008</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物资储备</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30110</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职工基本医疗保险缴费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25.79</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30208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取暖费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31009</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土地补偿</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30111</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公务员医疗补助缴费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30209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物业管理费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31010</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安置补助</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30112</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其他社会保障缴费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30211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差旅费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3.73</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31011</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地上附着物和青苗补偿</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30113</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住房公积金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32.72</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30212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因公出国（境）费用</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31012</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拆迁补偿</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30114</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医疗费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30213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维修（护）费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31013</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公务用车购置</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30199</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其他工资福利支出</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30214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租赁费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31019</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其他交通工具购置</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b/>
                <w:bCs/>
                <w:color w:val="000000"/>
                <w:sz w:val="18"/>
                <w:szCs w:val="18"/>
              </w:rPr>
            </w:pPr>
            <w:r>
              <w:rPr>
                <w:rFonts w:cs="宋体"/>
                <w:b/>
                <w:bCs/>
                <w:color w:val="000000"/>
                <w:sz w:val="18"/>
                <w:szCs w:val="18"/>
              </w:rPr>
              <w:t>303</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b/>
                <w:bCs/>
                <w:color w:val="000000"/>
                <w:sz w:val="18"/>
                <w:szCs w:val="18"/>
              </w:rPr>
            </w:pPr>
            <w:r>
              <w:rPr>
                <w:rFonts w:cs="宋体"/>
                <w:b/>
                <w:bCs/>
                <w:color w:val="000000"/>
                <w:sz w:val="18"/>
                <w:szCs w:val="18"/>
              </w:rPr>
              <w:t>对个人和家庭的补助</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34.14</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30215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会议费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31021</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文物和陈列品购置</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30301</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离休费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30216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培训费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31022</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无形资产购置</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30302</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退休费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30217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公务接待费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31099</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其他资本性支出</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30303</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退职（役）费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30218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专用材料费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bCs/>
                <w:color w:val="000000"/>
                <w:sz w:val="18"/>
                <w:szCs w:val="18"/>
              </w:rPr>
            </w:pPr>
            <w:r>
              <w:rPr>
                <w:rFonts w:cs="宋体"/>
                <w:b/>
                <w:bCs/>
                <w:color w:val="000000"/>
                <w:sz w:val="18"/>
                <w:szCs w:val="18"/>
              </w:rPr>
              <w:t>312</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b/>
                <w:bCs/>
                <w:color w:val="000000"/>
                <w:sz w:val="18"/>
                <w:szCs w:val="18"/>
              </w:rPr>
            </w:pPr>
            <w:r>
              <w:rPr>
                <w:rFonts w:cs="宋体"/>
                <w:b/>
                <w:bCs/>
                <w:color w:val="000000"/>
                <w:sz w:val="18"/>
                <w:szCs w:val="18"/>
              </w:rPr>
              <w:t>对企业补助</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30304</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抚恤金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30224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被装购置费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31201</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资本金注入</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30305</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生活补助</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30.16</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30225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专用燃料费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31203</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政府投资基金股权投资</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30306</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救济费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30226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劳务费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31204</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费用补贴</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30307</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医疗费补助</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30227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委托业务费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31205</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利息补贴</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30308</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助学金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30228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工会经费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32.16</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31206</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30309</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奖励金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30229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福利费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3.14</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31299</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其他对企业补助</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wordWrap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519"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30310</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个人农业生产补贴</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wordWrap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30231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公务用车运行维护费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bCs/>
                <w:color w:val="000000"/>
                <w:sz w:val="18"/>
                <w:szCs w:val="18"/>
              </w:rPr>
            </w:pPr>
            <w:r>
              <w:rPr>
                <w:rFonts w:cs="宋体"/>
                <w:b/>
                <w:bCs/>
                <w:color w:val="000000"/>
                <w:sz w:val="18"/>
                <w:szCs w:val="18"/>
              </w:rPr>
              <w:t>399</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b/>
                <w:bCs/>
                <w:color w:val="000000"/>
                <w:sz w:val="18"/>
                <w:szCs w:val="18"/>
              </w:rPr>
            </w:pPr>
            <w:r>
              <w:rPr>
                <w:rFonts w:cs="宋体"/>
                <w:b/>
                <w:bCs/>
                <w:color w:val="000000"/>
                <w:sz w:val="18"/>
                <w:szCs w:val="18"/>
              </w:rPr>
              <w:t>其他支出</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30311</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代缴社会保险费</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wordWrap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30239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其他交通费用</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11.11</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39907</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国家赔偿费用支出</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99"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30399</w:t>
            </w: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其他对个人和家庭的补助</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wordWrap w:val="0"/>
              <w:snapToGrid w:val="0"/>
              <w:jc w:val="center"/>
              <w:textAlignment w:val="center"/>
              <w:rPr>
                <w:rFonts w:hint="default" w:ascii="Times New Roman" w:hAnsi="Times New Roman"/>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30240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税金及附加费用</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39908</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39"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val="0"/>
              <w:snapToGrid w:val="0"/>
              <w:jc w:val="center"/>
              <w:rPr>
                <w:rFonts w:hint="default" w:cs="宋体"/>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30299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其他商品和服务支出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39909</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经常性赠与</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val="0"/>
              <w:snapToGrid w:val="0"/>
              <w:jc w:val="center"/>
              <w:rPr>
                <w:rFonts w:hint="default" w:cs="宋体"/>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bCs/>
                <w:color w:val="000000"/>
                <w:sz w:val="18"/>
                <w:szCs w:val="18"/>
              </w:rPr>
            </w:pPr>
            <w:r>
              <w:rPr>
                <w:rFonts w:cs="宋体"/>
                <w:b/>
                <w:bCs/>
                <w:color w:val="000000"/>
                <w:sz w:val="18"/>
                <w:szCs w:val="18"/>
              </w:rPr>
              <w:t>307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b/>
                <w:bCs/>
                <w:color w:val="000000"/>
                <w:sz w:val="18"/>
                <w:szCs w:val="18"/>
              </w:rPr>
            </w:pPr>
            <w:r>
              <w:rPr>
                <w:rFonts w:cs="宋体"/>
                <w:b/>
                <w:bCs/>
                <w:color w:val="000000"/>
                <w:sz w:val="18"/>
                <w:szCs w:val="18"/>
              </w:rPr>
              <w:t>债务利息及费用支出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39910</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资本性赠与</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val="0"/>
              <w:snapToGrid w:val="0"/>
              <w:jc w:val="center"/>
              <w:rPr>
                <w:rFonts w:hint="default" w:cs="宋体"/>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30701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国内债务付息</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39999</w:t>
            </w: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其他支出</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wordWrap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val="0"/>
              <w:snapToGrid w:val="0"/>
              <w:jc w:val="center"/>
              <w:rPr>
                <w:rFonts w:hint="default" w:cs="宋体"/>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30702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国外债务付息</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wordWrap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val="0"/>
              <w:snapToGrid w:val="0"/>
              <w:jc w:val="center"/>
              <w:rPr>
                <w:rFonts w:hint="default" w:cs="宋体"/>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30703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国内债务发行费用</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wordWrap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val="0"/>
              <w:snapToGrid w:val="0"/>
              <w:jc w:val="center"/>
              <w:rPr>
                <w:rFonts w:hint="default" w:cs="宋体"/>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color w:val="000000"/>
                <w:sz w:val="18"/>
                <w:szCs w:val="18"/>
              </w:rPr>
            </w:pPr>
            <w:r>
              <w:rPr>
                <w:rFonts w:cs="宋体"/>
                <w:color w:val="000000"/>
                <w:sz w:val="18"/>
                <w:szCs w:val="18"/>
              </w:rPr>
              <w:t>30704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color w:val="000000"/>
                <w:sz w:val="18"/>
                <w:szCs w:val="18"/>
              </w:rPr>
            </w:pPr>
            <w:r>
              <w:rPr>
                <w:rFonts w:cs="宋体"/>
                <w:color w:val="000000"/>
                <w:sz w:val="18"/>
                <w:szCs w:val="18"/>
              </w:rPr>
              <w:t xml:space="preserve">  国外债务发行费用</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wordWrap w:val="0"/>
              <w:snapToGrid w:val="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rPr>
                <w:rFonts w:hint="default" w:cs="宋体"/>
                <w:color w:val="000000"/>
                <w:sz w:val="18"/>
                <w:szCs w:val="18"/>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285" w:hRule="atLeast"/>
        </w:trPr>
        <w:tc>
          <w:tcPr>
            <w:tcW w:w="34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人员经费合计</w:t>
            </w:r>
          </w:p>
        </w:tc>
        <w:tc>
          <w:tcPr>
            <w:tcW w:w="12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val="0"/>
              <w:wordWrap w:val="0"/>
              <w:snapToGrid w:val="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503.81</w:t>
            </w:r>
            <w:r>
              <w:rPr>
                <w:rFonts w:ascii="Times New Roman" w:hAnsi="Times New Roman"/>
                <w:color w:val="000000"/>
                <w:sz w:val="18"/>
              </w:rPr>
              <w:t xml:space="preserve"> </w:t>
            </w:r>
          </w:p>
        </w:tc>
        <w:tc>
          <w:tcPr>
            <w:tcW w:w="866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color w:val="000000"/>
                <w:sz w:val="18"/>
                <w:szCs w:val="18"/>
              </w:rPr>
            </w:pPr>
            <w:r>
              <w:rPr>
                <w:rFonts w:cs="宋体"/>
                <w:b/>
                <w:color w:val="000000"/>
                <w:sz w:val="18"/>
                <w:szCs w:val="18"/>
              </w:rPr>
              <w:t>公用经费合计</w:t>
            </w:r>
          </w:p>
        </w:tc>
        <w:tc>
          <w:tcPr>
            <w:tcW w:w="1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wordWrap w:val="0"/>
              <w:snapToGrid w:val="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垫江县统计局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垫江县统计局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5020" w:type="dxa"/>
        <w:tblInd w:w="0" w:type="dxa"/>
        <w:tblLayout w:type="fixed"/>
        <w:tblCellMar>
          <w:top w:w="0" w:type="dxa"/>
          <w:left w:w="170" w:type="dxa"/>
          <w:bottom w:w="0" w:type="dxa"/>
          <w:right w:w="170" w:type="dxa"/>
        </w:tblCellMar>
      </w:tblPr>
      <w:tblGrid>
        <w:gridCol w:w="3378"/>
        <w:gridCol w:w="2567"/>
        <w:gridCol w:w="2524"/>
        <w:gridCol w:w="3905"/>
        <w:gridCol w:w="2646"/>
      </w:tblGrid>
      <w:tr>
        <w:tblPrEx>
          <w:tblCellMar>
            <w:top w:w="0" w:type="dxa"/>
            <w:left w:w="170" w:type="dxa"/>
            <w:bottom w:w="0" w:type="dxa"/>
            <w:right w:w="170" w:type="dxa"/>
          </w:tblCellMar>
        </w:tblPrEx>
        <w:trPr>
          <w:trHeight w:val="401" w:hRule="atLeast"/>
        </w:trPr>
        <w:tc>
          <w:tcPr>
            <w:tcW w:w="1502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85" w:hRule="atLeast"/>
        </w:trPr>
        <w:tc>
          <w:tcPr>
            <w:tcW w:w="3378"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567"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52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05"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646"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85" w:hRule="atLeast"/>
        </w:trPr>
        <w:tc>
          <w:tcPr>
            <w:tcW w:w="594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垫江县统计局</w:t>
            </w:r>
          </w:p>
        </w:tc>
        <w:tc>
          <w:tcPr>
            <w:tcW w:w="252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0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64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9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9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53.23</w:t>
            </w: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28.35</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28.35</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53.23</w:t>
            </w: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28.35</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28.35</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24.96</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24.96</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3.39</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3.39</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29.91</w:t>
            </w: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29.91</w:t>
            </w: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29.91</w:t>
            </w:r>
          </w:p>
        </w:tc>
      </w:tr>
      <w:tr>
        <w:tblPrEx>
          <w:tblCellMar>
            <w:top w:w="0" w:type="dxa"/>
            <w:left w:w="170" w:type="dxa"/>
            <w:bottom w:w="0" w:type="dxa"/>
            <w:right w:w="170" w:type="dxa"/>
          </w:tblCellMar>
        </w:tblPrEx>
        <w:trPr>
          <w:trHeight w:val="307"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29.91</w:t>
            </w:r>
          </w:p>
        </w:tc>
      </w:tr>
      <w:tr>
        <w:tblPrEx>
          <w:tblCellMar>
            <w:top w:w="0" w:type="dxa"/>
            <w:left w:w="170" w:type="dxa"/>
            <w:bottom w:w="0" w:type="dxa"/>
            <w:right w:w="170" w:type="dxa"/>
          </w:tblCellMar>
        </w:tblPrEx>
        <w:trPr>
          <w:trHeight w:val="301"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center"/>
              <w:rPr>
                <w:rFonts w:hint="default" w:cs="宋体"/>
                <w:color w:val="000000"/>
                <w:kern w:val="2"/>
                <w:sz w:val="16"/>
                <w:szCs w:val="16"/>
              </w:rPr>
            </w:pPr>
          </w:p>
        </w:tc>
      </w:tr>
      <w:tr>
        <w:tblPrEx>
          <w:tblCellMar>
            <w:top w:w="0" w:type="dxa"/>
            <w:left w:w="170" w:type="dxa"/>
            <w:bottom w:w="0" w:type="dxa"/>
            <w:right w:w="170" w:type="dxa"/>
          </w:tblCellMar>
        </w:tblPrEx>
        <w:trPr>
          <w:trHeight w:val="400"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kern w:val="2"/>
                <w:sz w:val="18"/>
                <w:szCs w:val="18"/>
              </w:rPr>
            </w:pP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center"/>
              <w:rPr>
                <w:rFonts w:hint="default" w:cs="宋体"/>
                <w:color w:val="000000"/>
                <w:kern w:val="2"/>
                <w:sz w:val="16"/>
                <w:szCs w:val="16"/>
              </w:rPr>
            </w:pPr>
          </w:p>
        </w:tc>
      </w:tr>
      <w:tr>
        <w:tblPrEx>
          <w:tblCellMar>
            <w:top w:w="0" w:type="dxa"/>
            <w:left w:w="170" w:type="dxa"/>
            <w:bottom w:w="0" w:type="dxa"/>
            <w:right w:w="170" w:type="dxa"/>
          </w:tblCellMar>
        </w:tblPrEx>
        <w:trPr>
          <w:trHeight w:val="410" w:hRule="atLeast"/>
        </w:trPr>
        <w:tc>
          <w:tcPr>
            <w:tcW w:w="33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20.50</w:t>
            </w:r>
          </w:p>
        </w:tc>
        <w:tc>
          <w:tcPr>
            <w:tcW w:w="3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center"/>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3408D1-915B-40BC-B208-934EE128CC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4F06A9E-AAB8-486F-A932-6AE962BC50A1}"/>
  </w:font>
  <w:font w:name="方正黑体_GBK">
    <w:panose1 w:val="02000000000000000000"/>
    <w:charset w:val="86"/>
    <w:family w:val="script"/>
    <w:pitch w:val="default"/>
    <w:sig w:usb0="A00002BF" w:usb1="38CF7CFA" w:usb2="00082016" w:usb3="00000000" w:csb0="00040001" w:csb1="00000000"/>
    <w:embedRegular r:id="rId3" w:fontKey="{F131E89F-7F94-42EE-8DB5-A427515D56A5}"/>
  </w:font>
  <w:font w:name="方正楷体_GB2312">
    <w:altName w:val="楷体_GB2312"/>
    <w:panose1 w:val="00000000000000000000"/>
    <w:charset w:val="86"/>
    <w:family w:val="auto"/>
    <w:pitch w:val="default"/>
    <w:sig w:usb0="00000000" w:usb1="00000000" w:usb2="00000012" w:usb3="00000000" w:csb0="00040001" w:csb1="00000000"/>
    <w:embedRegular r:id="rId4" w:fontKey="{F98280BE-2E3D-4942-AE47-892127D7A722}"/>
  </w:font>
  <w:font w:name="方正仿宋_GB2312">
    <w:altName w:val="仿宋"/>
    <w:panose1 w:val="00000000000000000000"/>
    <w:charset w:val="00"/>
    <w:family w:val="auto"/>
    <w:pitch w:val="default"/>
    <w:sig w:usb0="00000000" w:usb1="00000000" w:usb2="00000000" w:usb3="00000000" w:csb0="00000000" w:csb1="00000000"/>
    <w:embedRegular r:id="rId5" w:fontKey="{694F105F-C95C-447C-A5F7-388D90A5C557}"/>
  </w:font>
  <w:font w:name="方正仿宋_GBK">
    <w:panose1 w:val="02000000000000000000"/>
    <w:charset w:val="86"/>
    <w:family w:val="script"/>
    <w:pitch w:val="default"/>
    <w:sig w:usb0="A00002BF" w:usb1="38CF7CFA" w:usb2="00082016" w:usb3="00000000" w:csb0="00040001" w:csb1="00000000"/>
    <w:embedRegular r:id="rId6" w:fontKey="{C92A6542-48F9-4EDB-92D0-B08B89363BA4}"/>
  </w:font>
  <w:font w:name="___WRD_EMBED_SUB_59">
    <w:panose1 w:val="02000000000000000000"/>
    <w:charset w:val="86"/>
    <w:family w:val="auto"/>
    <w:pitch w:val="default"/>
    <w:sig w:usb0="A00002BF" w:usb1="184F6CFA" w:usb2="00000012" w:usb3="00000000" w:csb0="00040001" w:csb1="00000000"/>
    <w:embedRegular r:id="rId7" w:fontKey="{A1A6FDF8-E285-45F4-BE4A-BAC8799D99A3}"/>
  </w:font>
  <w:font w:name="微软雅黑">
    <w:panose1 w:val="020B0503020204020204"/>
    <w:charset w:val="86"/>
    <w:family w:val="swiss"/>
    <w:pitch w:val="default"/>
    <w:sig w:usb0="80000287" w:usb1="2ACF3C50" w:usb2="00000016" w:usb3="00000000" w:csb0="0004001F" w:csb1="00000000"/>
    <w:embedRegular r:id="rId8" w:fontKey="{BD465DD4-966C-495E-92C5-942C33BFCBEE}"/>
  </w:font>
  <w:font w:name="Arial">
    <w:panose1 w:val="020B0604020202020204"/>
    <w:charset w:val="00"/>
    <w:family w:val="swiss"/>
    <w:pitch w:val="default"/>
    <w:sig w:usb0="E0002EFF" w:usb1="C000785B" w:usb2="00000009" w:usb3="00000000" w:csb0="400001FF" w:csb1="FFFF0000"/>
    <w:embedRegular r:id="rId9" w:fontKey="{4E3EDEAC-96C6-4A0B-A7EC-BCFE85C9B9B2}"/>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20"/>
  <w:drawingGridVerticalSpacing w:val="16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F6B8D"/>
    <w:rsid w:val="00261065"/>
    <w:rsid w:val="002D0E5A"/>
    <w:rsid w:val="002E5443"/>
    <w:rsid w:val="0032196C"/>
    <w:rsid w:val="004C12FF"/>
    <w:rsid w:val="00550ABE"/>
    <w:rsid w:val="005B023C"/>
    <w:rsid w:val="00600322"/>
    <w:rsid w:val="006137D7"/>
    <w:rsid w:val="00634FA8"/>
    <w:rsid w:val="0063613A"/>
    <w:rsid w:val="006B7F63"/>
    <w:rsid w:val="006E2034"/>
    <w:rsid w:val="007129C1"/>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32E8B"/>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1A34E8"/>
    <w:rsid w:val="06A2550B"/>
    <w:rsid w:val="06F80EE2"/>
    <w:rsid w:val="07001CCA"/>
    <w:rsid w:val="075678DB"/>
    <w:rsid w:val="079D7CC7"/>
    <w:rsid w:val="08051BCA"/>
    <w:rsid w:val="086C12F4"/>
    <w:rsid w:val="08BA052C"/>
    <w:rsid w:val="08DB07BA"/>
    <w:rsid w:val="092108C3"/>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227A45"/>
    <w:rsid w:val="2533755C"/>
    <w:rsid w:val="25791755"/>
    <w:rsid w:val="26396DF4"/>
    <w:rsid w:val="27167136"/>
    <w:rsid w:val="273378B5"/>
    <w:rsid w:val="27B23302"/>
    <w:rsid w:val="29310A5F"/>
    <w:rsid w:val="29C37A35"/>
    <w:rsid w:val="2A076083"/>
    <w:rsid w:val="2A73162E"/>
    <w:rsid w:val="2B167953"/>
    <w:rsid w:val="2B200583"/>
    <w:rsid w:val="2B8209DE"/>
    <w:rsid w:val="2C6762A3"/>
    <w:rsid w:val="2CEB4BC0"/>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6A05EB4"/>
    <w:rsid w:val="471E6C84"/>
    <w:rsid w:val="4748792B"/>
    <w:rsid w:val="475D719D"/>
    <w:rsid w:val="47674801"/>
    <w:rsid w:val="48225EF7"/>
    <w:rsid w:val="488F422B"/>
    <w:rsid w:val="48E36915"/>
    <w:rsid w:val="494B1C7E"/>
    <w:rsid w:val="495C4A24"/>
    <w:rsid w:val="497135DF"/>
    <w:rsid w:val="4A263DF2"/>
    <w:rsid w:val="4A6F6675"/>
    <w:rsid w:val="4B0502DF"/>
    <w:rsid w:val="4B135857"/>
    <w:rsid w:val="4B7951CB"/>
    <w:rsid w:val="4B7C315C"/>
    <w:rsid w:val="4C912F16"/>
    <w:rsid w:val="4DAC4ACA"/>
    <w:rsid w:val="4DBE01D2"/>
    <w:rsid w:val="4EFC6D10"/>
    <w:rsid w:val="4F0C6BA3"/>
    <w:rsid w:val="4F10477D"/>
    <w:rsid w:val="4F186D58"/>
    <w:rsid w:val="4FEA65B7"/>
    <w:rsid w:val="4FF4660A"/>
    <w:rsid w:val="50F06B6E"/>
    <w:rsid w:val="510460CD"/>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E141FA4"/>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7FC68A1"/>
    <w:rsid w:val="68407834"/>
    <w:rsid w:val="6883293E"/>
    <w:rsid w:val="688412AD"/>
    <w:rsid w:val="68EB1B71"/>
    <w:rsid w:val="69475C96"/>
    <w:rsid w:val="6AAD2300"/>
    <w:rsid w:val="6B474EF5"/>
    <w:rsid w:val="6B804F7F"/>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866C07"/>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FFDD9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10745</Words>
  <Characters>14401</Characters>
  <Lines>125</Lines>
  <Paragraphs>35</Paragraphs>
  <TotalTime>6</TotalTime>
  <ScaleCrop>false</ScaleCrop>
  <LinksUpToDate>false</LinksUpToDate>
  <CharactersWithSpaces>15097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HUAWEI</cp:lastModifiedBy>
  <dcterms:modified xsi:type="dcterms:W3CDTF">2025-10-22T02:34:54Z</dcterms:modified>
  <dc:title>垫江县统计局2024年度决算公开说明</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7EDFD5DA7A6547DF88FA4B910D33BB09_13</vt:lpwstr>
  </property>
  <property fmtid="{D5CDD505-2E9C-101B-9397-08002B2CF9AE}" pid="4" name="KSOTemplateDocerSaveRecord">
    <vt:lpwstr>eyJoZGlkIjoiYWE3Y2JiMTMzNjA4NjZjZDUyMDg1NmNmYzFjNTZkNGQiLCJ1c2VySWQiOiI3MzM4ODgyIn0=</vt:lpwstr>
  </property>
</Properties>
</file>