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C51C5" w:rsidRDefault="000C51C5" w:rsidP="000C51C5">
      <w:pPr>
        <w:pStyle w:val="a7"/>
        <w:spacing w:before="0" w:beforeAutospacing="0" w:after="0" w:afterAutospacing="0" w:line="596" w:lineRule="exact"/>
        <w:jc w:val="center"/>
        <w:rPr>
          <w:rFonts w:ascii="方正小标宋_GBK" w:eastAsia="方正小标宋_GBK" w:hAnsi="方正小标宋_GBK" w:cs="方正小标宋_GBK" w:hint="default"/>
          <w:sz w:val="44"/>
          <w:szCs w:val="44"/>
        </w:rPr>
      </w:pPr>
      <w:r>
        <w:rPr>
          <w:rFonts w:ascii="方正小标宋_GBK" w:eastAsia="方正小标宋_GBK" w:hAnsi="方正小标宋_GBK" w:cs="方正小标宋_GBK"/>
          <w:sz w:val="44"/>
          <w:szCs w:val="44"/>
        </w:rPr>
        <w:t>垫江县退役军人事务局</w:t>
      </w:r>
    </w:p>
    <w:p w:rsidR="00455050" w:rsidRPr="000C51C5" w:rsidRDefault="000C51C5" w:rsidP="000C51C5">
      <w:pPr>
        <w:pStyle w:val="a7"/>
        <w:shd w:val="clear" w:color="050000" w:fill="auto"/>
        <w:spacing w:before="0" w:beforeAutospacing="0" w:after="0" w:afterAutospacing="0" w:line="594" w:lineRule="exact"/>
        <w:jc w:val="center"/>
        <w:rPr>
          <w:rStyle w:val="a8"/>
          <w:rFonts w:ascii="方正小标宋_GBK" w:eastAsia="方正小标宋_GBK" w:hAnsi="方正小标宋_GBK" w:cs="方正小标宋_GBK"/>
          <w:b w:val="0"/>
          <w:sz w:val="44"/>
          <w:szCs w:val="44"/>
          <w:shd w:val="clear" w:color="auto" w:fill="FFFFFF"/>
        </w:rPr>
      </w:pPr>
      <w:r>
        <w:rPr>
          <w:rFonts w:ascii="Times New Roman" w:eastAsia="方正小标宋_GBK" w:hAnsi="Times New Roman" w:hint="default"/>
          <w:sz w:val="44"/>
          <w:szCs w:val="44"/>
          <w:shd w:val="clear" w:color="auto" w:fill="FFFFFF"/>
        </w:rPr>
        <w:t>2024</w:t>
      </w:r>
      <w:r>
        <w:rPr>
          <w:rFonts w:ascii="方正小标宋_GBK" w:eastAsia="方正小标宋_GBK" w:hAnsi="方正小标宋_GBK" w:cs="方正小标宋_GBK"/>
          <w:sz w:val="44"/>
          <w:szCs w:val="44"/>
          <w:shd w:val="clear" w:color="auto" w:fill="FFFFFF"/>
        </w:rPr>
        <w:t>年度决算公开说明</w:t>
      </w:r>
    </w:p>
    <w:p w:rsidR="00455050" w:rsidRDefault="000C51C5">
      <w:pPr>
        <w:pStyle w:val="a7"/>
        <w:spacing w:before="0" w:beforeAutospacing="0" w:after="0" w:afterAutospacing="0" w:line="594" w:lineRule="exact"/>
        <w:ind w:firstLineChars="200" w:firstLine="640"/>
        <w:rPr>
          <w:rFonts w:ascii="方正黑体_GBK" w:eastAsia="方正黑体_GBK" w:hAnsi="方正黑体_GBK" w:cs="方正黑体_GBK" w:hint="default"/>
          <w:bCs/>
          <w:sz w:val="32"/>
          <w:szCs w:val="32"/>
        </w:rPr>
      </w:pPr>
      <w:r>
        <w:rPr>
          <w:rStyle w:val="a8"/>
          <w:rFonts w:ascii="方正黑体_GBK" w:eastAsia="方正黑体_GBK" w:hAnsi="方正黑体_GBK" w:cs="方正黑体_GBK"/>
          <w:b w:val="0"/>
          <w:bCs/>
          <w:sz w:val="32"/>
          <w:szCs w:val="32"/>
          <w:shd w:val="clear" w:color="auto" w:fill="FFFFFF"/>
        </w:rPr>
        <w:t>一、部门基本情况</w:t>
      </w:r>
    </w:p>
    <w:p w:rsidR="00455050" w:rsidRDefault="000C51C5">
      <w:pPr>
        <w:pStyle w:val="a7"/>
        <w:spacing w:before="0" w:beforeAutospacing="0" w:after="0" w:afterAutospacing="0" w:line="594" w:lineRule="exact"/>
        <w:ind w:firstLine="420"/>
        <w:rPr>
          <w:rFonts w:ascii="方正楷体_GBK" w:eastAsia="方正楷体_GBK" w:hAnsi="方正楷体_GBK" w:cs="方正楷体_GBK" w:hint="default"/>
          <w:bCs/>
          <w:sz w:val="32"/>
          <w:szCs w:val="32"/>
        </w:rPr>
      </w:pPr>
      <w:r>
        <w:rPr>
          <w:rStyle w:val="a8"/>
          <w:rFonts w:ascii="方正楷体_GBK" w:eastAsia="方正楷体_GBK" w:hAnsi="方正楷体_GBK" w:cs="方正楷体_GBK"/>
          <w:b w:val="0"/>
          <w:bCs/>
          <w:sz w:val="32"/>
          <w:szCs w:val="32"/>
          <w:shd w:val="clear" w:color="auto" w:fill="FFFFFF"/>
        </w:rPr>
        <w:t>（一）职能职责</w:t>
      </w:r>
    </w:p>
    <w:p w:rsidR="00455050" w:rsidRDefault="000C51C5">
      <w:pPr>
        <w:pStyle w:val="a7"/>
        <w:spacing w:before="0" w:beforeAutospacing="0" w:after="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组织实施退役军人思想政治、管理保障和安置优抚等工作政策法规，褒扬彰显退役军人为党、国家和人民牺牲奉献的精神风范和价值导向。负责军队转业干部、复员干部、离休退休干部、退役士兵和无军籍退休退职职工的移交安置工作和自主择业、就业退役军人服务管理工作。组织开展退役军人教育培训工作，协调扶持退役军人和随军随调家属就业创业。会同有关部门组织实施退役军人特殊保障政策。组织协调落实接收的离休退休军人、符合条件的其他退役军人和无军籍退休退职职工的住房保障工作，以及退役军人医疗保障、社会保险等待遇保障工作。组织开展伤病残退役军人服务管理和抚恤工作，制定有关退役军人医疗、疗养、养老等机构的规划政策并指导实施。承担不适宜继续服役的伤病残军人相关工作。组织开展军供服务保障工作。组织开展全县拥军优属工作。负责现役军人、退役军人、军队文职人员和军属优待、抚恤等工作，贯彻落实国民党抗战老兵等有关人员优待政策。负责烈士及退役军人荣誉奖励、军人公墓管理维护、纪念活动等工作，依法承担英雄烈士保护相关工作，承办县内我国烈士和外国在垫烈士纪念设施保护事宜，总结表彰和宣扬退役军人、退役军人工作单位和个人先进典型事迹。指导并监督检查退役军</w:t>
      </w:r>
      <w:r>
        <w:rPr>
          <w:rFonts w:ascii="方正仿宋_GBK" w:eastAsia="方正仿宋_GBK" w:hAnsi="方正仿宋_GBK" w:cs="方正仿宋_GBK"/>
          <w:sz w:val="32"/>
          <w:szCs w:val="32"/>
          <w:shd w:val="clear" w:color="auto" w:fill="FFFFFF"/>
        </w:rPr>
        <w:lastRenderedPageBreak/>
        <w:t>人相关法律法规和政策措施的落实，组织开展退役军人权益维护和有关人员的帮扶援助工作。</w:t>
      </w:r>
    </w:p>
    <w:p w:rsidR="00455050" w:rsidRDefault="000C51C5">
      <w:pPr>
        <w:pStyle w:val="a7"/>
        <w:spacing w:beforeAutospacing="0" w:after="0" w:afterAutospacing="0" w:line="594" w:lineRule="exact"/>
        <w:ind w:firstLine="420"/>
        <w:rPr>
          <w:rFonts w:ascii="方正楷体_GBK" w:eastAsia="方正楷体_GBK" w:hAnsi="方正楷体_GBK" w:cs="方正楷体_GBK" w:hint="default"/>
          <w:bCs/>
          <w:sz w:val="32"/>
          <w:szCs w:val="32"/>
        </w:rPr>
      </w:pPr>
      <w:r>
        <w:rPr>
          <w:rStyle w:val="a8"/>
          <w:rFonts w:ascii="方正楷体_GBK" w:eastAsia="方正楷体_GBK" w:hAnsi="方正楷体_GBK" w:cs="方正楷体_GBK"/>
          <w:b w:val="0"/>
          <w:bCs/>
          <w:sz w:val="32"/>
          <w:szCs w:val="32"/>
          <w:shd w:val="clear" w:color="auto" w:fill="FFFFFF"/>
        </w:rPr>
        <w:t>（二）机构设置</w:t>
      </w:r>
    </w:p>
    <w:p w:rsidR="00455050" w:rsidRDefault="000C51C5">
      <w:pPr>
        <w:pStyle w:val="a7"/>
        <w:spacing w:before="0" w:beforeAutospacing="0" w:after="0" w:afterAutospacing="0" w:line="594"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县退役军人事务局内设四科一室，分别为：办公室、思想政治和权益维护科、安置和军休服务管理科、优抚科</w:t>
      </w:r>
      <w:r>
        <w:rPr>
          <w:rFonts w:ascii="方正仿宋_GBK" w:eastAsia="方正仿宋_GBK" w:hAnsi="方正仿宋_GBK" w:cs="方正仿宋_GBK" w:hint="default"/>
          <w:sz w:val="32"/>
          <w:szCs w:val="32"/>
          <w:shd w:val="clear" w:color="auto" w:fill="FFFFFF"/>
        </w:rPr>
        <w:t>(</w:t>
      </w:r>
      <w:r>
        <w:rPr>
          <w:rFonts w:ascii="方正仿宋_GBK" w:eastAsia="方正仿宋_GBK" w:hAnsi="方正仿宋_GBK" w:cs="方正仿宋_GBK"/>
          <w:sz w:val="32"/>
          <w:szCs w:val="32"/>
          <w:shd w:val="clear" w:color="auto" w:fill="FFFFFF"/>
        </w:rPr>
        <w:t>垫江县拥军优属拥政爱民工作领导小组办公室）、就业创业科。</w:t>
      </w:r>
    </w:p>
    <w:p w:rsidR="00455050" w:rsidRDefault="000C51C5">
      <w:pPr>
        <w:pStyle w:val="a7"/>
        <w:spacing w:before="0" w:beforeAutospacing="0" w:after="0" w:afterAutospacing="0" w:line="594" w:lineRule="exact"/>
        <w:ind w:firstLineChars="200" w:firstLine="643"/>
        <w:rPr>
          <w:rFonts w:ascii="方正黑体_GBK" w:eastAsia="方正黑体_GBK" w:hAnsi="方正黑体_GBK" w:cs="方正黑体_GBK" w:hint="default"/>
          <w:bCs/>
          <w:sz w:val="32"/>
          <w:szCs w:val="32"/>
        </w:rPr>
      </w:pPr>
      <w:r>
        <w:rPr>
          <w:rStyle w:val="a8"/>
          <w:rFonts w:ascii="黑体" w:eastAsia="黑体" w:hAnsi="黑体" w:cs="黑体"/>
          <w:sz w:val="32"/>
          <w:szCs w:val="32"/>
          <w:shd w:val="clear" w:color="auto" w:fill="FFFFFF"/>
        </w:rPr>
        <w:t>二、部门决算收支情况说明</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（一）收入支出决算总体情况说明</w:t>
      </w:r>
    </w:p>
    <w:p w:rsidR="00455050" w:rsidRDefault="000C51C5">
      <w:pPr>
        <w:pStyle w:val="a7"/>
        <w:spacing w:beforeAutospacing="0" w:after="0" w:afterAutospacing="0" w:line="594" w:lineRule="exact"/>
        <w:ind w:firstLineChars="200" w:firstLine="643"/>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1.总体情况。</w:t>
      </w:r>
      <w:r>
        <w:rPr>
          <w:rFonts w:ascii="方正仿宋_GBK" w:eastAsia="方正仿宋_GBK" w:hAnsi="方正仿宋_GBK" w:cs="方正仿宋_GBK"/>
          <w:sz w:val="32"/>
          <w:szCs w:val="32"/>
          <w:shd w:val="clear" w:color="auto" w:fill="FFFFFF"/>
        </w:rPr>
        <w:t>2024年度收入总计11149.40万元，支出总计</w:t>
      </w:r>
      <w:r>
        <w:rPr>
          <w:rFonts w:ascii="方正仿宋_GBK" w:eastAsia="方正仿宋_GBK" w:hAnsi="方正仿宋_GBK" w:cs="方正仿宋_GBK"/>
          <w:sz w:val="32"/>
          <w:szCs w:val="32"/>
        </w:rPr>
        <w:t>11149.40</w:t>
      </w:r>
      <w:r>
        <w:rPr>
          <w:rFonts w:ascii="方正仿宋_GBK" w:eastAsia="方正仿宋_GBK" w:hAnsi="方正仿宋_GBK" w:cs="方正仿宋_GBK"/>
          <w:sz w:val="32"/>
          <w:szCs w:val="32"/>
          <w:shd w:val="clear" w:color="auto" w:fill="FFFFFF"/>
        </w:rPr>
        <w:t>万元。收、支与2023年度相比，减少372.81万元，下降3.2%，主要原因是优抚抚恤补助经费减少、退役军人安置经费减少、优抚对象医疗补助经费减少。</w:t>
      </w:r>
    </w:p>
    <w:p w:rsidR="00455050" w:rsidRDefault="000C51C5">
      <w:pPr>
        <w:pStyle w:val="a7"/>
        <w:shd w:val="clear" w:color="050000" w:fill="auto"/>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2.收入情况。</w:t>
      </w:r>
      <w:r>
        <w:rPr>
          <w:rFonts w:ascii="方正仿宋_GBK" w:eastAsia="方正仿宋_GBK" w:hAnsi="方正仿宋_GBK" w:cs="方正仿宋_GBK"/>
          <w:sz w:val="32"/>
          <w:szCs w:val="32"/>
          <w:shd w:val="clear" w:color="auto" w:fill="FFFFFF"/>
        </w:rPr>
        <w:t>2024年度收入合计11149.40万元，与2023年度相比，减少372.61万元，下降3.2%，主要原因是优抚抚恤补助经费减少、退役军人安置经费减少、优抚对象医疗补助经费减少。其中：财政拨款收入</w:t>
      </w:r>
      <w:r>
        <w:rPr>
          <w:rFonts w:ascii="方正仿宋_GBK" w:eastAsia="方正仿宋_GBK" w:hAnsi="方正仿宋_GBK" w:cs="方正仿宋_GBK"/>
          <w:sz w:val="32"/>
          <w:szCs w:val="32"/>
        </w:rPr>
        <w:t>11149.40</w:t>
      </w:r>
      <w:r>
        <w:rPr>
          <w:rFonts w:ascii="方正仿宋_GBK" w:eastAsia="方正仿宋_GBK" w:hAnsi="方正仿宋_GBK" w:cs="方正仿宋_GBK"/>
          <w:sz w:val="32"/>
          <w:szCs w:val="32"/>
          <w:shd w:val="clear" w:color="auto" w:fill="FFFFFF"/>
        </w:rPr>
        <w:t>万元，占</w:t>
      </w:r>
      <w:r>
        <w:rPr>
          <w:rFonts w:ascii="方正仿宋_GBK" w:eastAsia="方正仿宋_GBK" w:hAnsi="方正仿宋_GBK" w:cs="方正仿宋_GBK"/>
          <w:sz w:val="32"/>
          <w:szCs w:val="32"/>
        </w:rPr>
        <w:t>100.0%</w:t>
      </w:r>
      <w:r>
        <w:rPr>
          <w:rFonts w:ascii="方正仿宋_GBK" w:eastAsia="方正仿宋_GBK" w:hAnsi="方正仿宋_GBK" w:cs="方正仿宋_GBK"/>
          <w:sz w:val="32"/>
          <w:szCs w:val="32"/>
          <w:shd w:val="clear" w:color="auto" w:fill="FFFFFF"/>
        </w:rPr>
        <w:t>；事业收入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万元，占0.0%；经营收入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万元，占0.0%；其他收入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万元，占0.0%。此外，使用非财政拨款结余和专用结余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万元，年初结转和结余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455050" w:rsidRDefault="000C51C5">
      <w:pPr>
        <w:pStyle w:val="a7"/>
        <w:shd w:val="clear" w:color="050000" w:fill="auto"/>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3.支出情况。</w:t>
      </w:r>
      <w:r>
        <w:rPr>
          <w:rFonts w:ascii="方正仿宋_GBK" w:eastAsia="方正仿宋_GBK" w:hAnsi="方正仿宋_GBK" w:cs="方正仿宋_GBK"/>
          <w:sz w:val="32"/>
          <w:szCs w:val="32"/>
          <w:shd w:val="clear" w:color="auto" w:fill="FFFFFF"/>
        </w:rPr>
        <w:t>2024年度支出合计</w:t>
      </w:r>
      <w:r>
        <w:rPr>
          <w:rFonts w:ascii="方正仿宋_GBK" w:eastAsia="方正仿宋_GBK" w:hAnsi="方正仿宋_GBK" w:cs="方正仿宋_GBK"/>
          <w:sz w:val="32"/>
          <w:szCs w:val="32"/>
        </w:rPr>
        <w:t>11149.40</w:t>
      </w:r>
      <w:r>
        <w:rPr>
          <w:rFonts w:ascii="方正仿宋_GBK" w:eastAsia="方正仿宋_GBK" w:hAnsi="方正仿宋_GBK" w:cs="方正仿宋_GBK"/>
          <w:sz w:val="32"/>
          <w:szCs w:val="32"/>
          <w:shd w:val="clear" w:color="auto" w:fill="FFFFFF"/>
        </w:rPr>
        <w:t>万元，与2023年度相比，减少372.81万元，下降3.2%，主要原因是优抚抚恤补助经</w:t>
      </w:r>
      <w:r>
        <w:rPr>
          <w:rFonts w:ascii="方正仿宋_GBK" w:eastAsia="方正仿宋_GBK" w:hAnsi="方正仿宋_GBK" w:cs="方正仿宋_GBK"/>
          <w:sz w:val="32"/>
          <w:szCs w:val="32"/>
          <w:shd w:val="clear" w:color="auto" w:fill="FFFFFF"/>
        </w:rPr>
        <w:lastRenderedPageBreak/>
        <w:t>费减少、退役军人安置经费减少、优抚对象医疗补助经费减少。其中：基本支出</w:t>
      </w:r>
      <w:r>
        <w:rPr>
          <w:rFonts w:ascii="方正仿宋_GBK" w:eastAsia="方正仿宋_GBK" w:hAnsi="方正仿宋_GBK" w:cs="方正仿宋_GBK"/>
          <w:sz w:val="32"/>
          <w:szCs w:val="32"/>
        </w:rPr>
        <w:t>470.40</w:t>
      </w:r>
      <w:r>
        <w:rPr>
          <w:rFonts w:ascii="方正仿宋_GBK" w:eastAsia="方正仿宋_GBK" w:hAnsi="方正仿宋_GBK" w:cs="方正仿宋_GBK"/>
          <w:sz w:val="32"/>
          <w:szCs w:val="32"/>
          <w:shd w:val="clear" w:color="auto" w:fill="FFFFFF"/>
        </w:rPr>
        <w:t>万元，占4.2%；项目支出</w:t>
      </w:r>
      <w:r>
        <w:rPr>
          <w:rFonts w:ascii="方正仿宋_GBK" w:eastAsia="方正仿宋_GBK" w:hAnsi="方正仿宋_GBK" w:cs="方正仿宋_GBK"/>
          <w:sz w:val="32"/>
          <w:szCs w:val="32"/>
        </w:rPr>
        <w:t>10679.00</w:t>
      </w:r>
      <w:r>
        <w:rPr>
          <w:rFonts w:ascii="方正仿宋_GBK" w:eastAsia="方正仿宋_GBK" w:hAnsi="方正仿宋_GBK" w:cs="方正仿宋_GBK"/>
          <w:sz w:val="32"/>
          <w:szCs w:val="32"/>
          <w:shd w:val="clear" w:color="auto" w:fill="FFFFFF"/>
        </w:rPr>
        <w:t>万元，占95.8%；经营支出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万元，占0.0%。此外，结余分配</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455050" w:rsidRDefault="000C51C5">
      <w:pPr>
        <w:pStyle w:val="a7"/>
        <w:shd w:val="clear" w:color="050000" w:fill="auto"/>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4.结转结余情况。</w:t>
      </w:r>
      <w:r>
        <w:rPr>
          <w:rFonts w:ascii="方正仿宋_GBK" w:eastAsia="方正仿宋_GBK" w:hAnsi="方正仿宋_GBK" w:cs="方正仿宋_GBK"/>
          <w:sz w:val="32"/>
          <w:szCs w:val="32"/>
          <w:shd w:val="clear" w:color="auto" w:fill="FFFFFF"/>
        </w:rPr>
        <w:t>2024年度年末结转和结余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万元，与2023年度相比，无增减，主要原因是本年度无结转结余。</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（二）财政拨款收入支出决算总体情况说明</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2024年度财政拨款收、支总计11149.40万元。与2023年相比，财政拨款收、支总计各减少372.81万元，下降3.2%。主要原因是优抚抚恤补助经费减少、退役军人安置经费减少、优抚对象医疗补助经费减少。</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（三）一般公共预算财政拨款收入支出决算情况说明</w:t>
      </w:r>
    </w:p>
    <w:p w:rsidR="00455050" w:rsidRDefault="000C51C5">
      <w:pPr>
        <w:pStyle w:val="a7"/>
        <w:shd w:val="clear" w:color="050000" w:fill="auto"/>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1.收入情况。</w:t>
      </w:r>
      <w:r>
        <w:rPr>
          <w:rFonts w:ascii="方正仿宋_GBK" w:eastAsia="方正仿宋_GBK" w:hAnsi="方正仿宋_GBK" w:cs="方正仿宋_GBK"/>
          <w:sz w:val="32"/>
          <w:szCs w:val="32"/>
          <w:shd w:val="clear" w:color="auto" w:fill="FFFFFF"/>
        </w:rPr>
        <w:t>2024年度一般公共预算财政拨款收入</w:t>
      </w:r>
      <w:r>
        <w:rPr>
          <w:rFonts w:ascii="方正仿宋_GBK" w:eastAsia="方正仿宋_GBK" w:hAnsi="方正仿宋_GBK" w:cs="方正仿宋_GBK"/>
          <w:sz w:val="32"/>
          <w:szCs w:val="32"/>
        </w:rPr>
        <w:t>11149.40</w:t>
      </w:r>
      <w:r>
        <w:rPr>
          <w:rFonts w:ascii="方正仿宋_GBK" w:eastAsia="方正仿宋_GBK" w:hAnsi="方正仿宋_GBK" w:cs="方正仿宋_GBK"/>
          <w:sz w:val="32"/>
          <w:szCs w:val="32"/>
          <w:shd w:val="clear" w:color="auto" w:fill="FFFFFF"/>
        </w:rPr>
        <w:t>万元，与2023年度相比，减少367.61万元，下降3.2%。主要原因是优抚抚恤补助经费减少、退役军人安置经费减少、优抚对象医疗补助经费减少。较年初预算数减少1849.20万元，下降14.2%。主要原因是优抚医疗资金、优抚三难资金、双拥资金、再就业帮扶资金、村（社区）退役军人服务站工作经费及站长补贴年初预算至我单位，年中调剂指标至其他部门及乡镇。 此外，年初财政拨款结转和结余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p>
    <w:p w:rsidR="00455050" w:rsidRDefault="000C51C5">
      <w:pPr>
        <w:pStyle w:val="a7"/>
        <w:shd w:val="clear" w:color="050000" w:fill="auto"/>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2.支出情况。</w:t>
      </w:r>
      <w:r>
        <w:rPr>
          <w:rFonts w:ascii="方正仿宋_GBK" w:eastAsia="方正仿宋_GBK" w:hAnsi="方正仿宋_GBK" w:cs="方正仿宋_GBK"/>
          <w:sz w:val="32"/>
          <w:szCs w:val="32"/>
          <w:shd w:val="clear" w:color="auto" w:fill="FFFFFF"/>
        </w:rPr>
        <w:t>2024年度一般公共预算财政拨款支出</w:t>
      </w:r>
      <w:r>
        <w:rPr>
          <w:rFonts w:ascii="方正仿宋_GBK" w:eastAsia="方正仿宋_GBK" w:hAnsi="方正仿宋_GBK" w:cs="方正仿宋_GBK"/>
          <w:sz w:val="32"/>
          <w:szCs w:val="32"/>
        </w:rPr>
        <w:t>11149.40</w:t>
      </w:r>
      <w:r>
        <w:rPr>
          <w:rFonts w:ascii="方正仿宋_GBK" w:eastAsia="方正仿宋_GBK" w:hAnsi="方正仿宋_GBK" w:cs="方正仿宋_GBK"/>
          <w:sz w:val="32"/>
          <w:szCs w:val="32"/>
          <w:shd w:val="clear" w:color="auto" w:fill="FFFFFF"/>
        </w:rPr>
        <w:t>万元，与2023年度相比，减少367.81万元，下降3.2%。主要原</w:t>
      </w:r>
      <w:r>
        <w:rPr>
          <w:rFonts w:ascii="方正仿宋_GBK" w:eastAsia="方正仿宋_GBK" w:hAnsi="方正仿宋_GBK" w:cs="方正仿宋_GBK"/>
          <w:sz w:val="32"/>
          <w:szCs w:val="32"/>
          <w:shd w:val="clear" w:color="auto" w:fill="FFFFFF"/>
        </w:rPr>
        <w:lastRenderedPageBreak/>
        <w:t xml:space="preserve">因是优抚抚恤补助经费减少、退役军人安置经费减少、优抚对象医疗补助经费减少。较年初预算数减少1849.20万元，下降14.2%。主要原因是优抚医疗资金、优抚三难资金、双拥资金、再就业帮扶资金、村（社区）退役军人服务站工作经费及站长补贴年初预算至我单位，年中调剂指标至其他部门及乡镇。 </w:t>
      </w:r>
    </w:p>
    <w:p w:rsidR="00455050" w:rsidRDefault="000C51C5">
      <w:pPr>
        <w:pStyle w:val="a7"/>
        <w:shd w:val="clear" w:color="050000" w:fill="auto"/>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rPr>
      </w:pPr>
      <w:r>
        <w:rPr>
          <w:rStyle w:val="a8"/>
          <w:rFonts w:ascii="方正仿宋_GBK" w:eastAsia="方正仿宋_GBK" w:hAnsi="方正仿宋_GBK" w:cs="方正仿宋_GBK"/>
          <w:sz w:val="32"/>
          <w:szCs w:val="32"/>
          <w:shd w:val="clear" w:color="auto" w:fill="FFFFFF"/>
        </w:rPr>
        <w:t>3.结转结余情况。</w:t>
      </w:r>
      <w:r>
        <w:rPr>
          <w:rFonts w:ascii="方正仿宋_GBK" w:eastAsia="方正仿宋_GBK" w:hAnsi="方正仿宋_GBK" w:cs="方正仿宋_GBK"/>
          <w:sz w:val="32"/>
          <w:szCs w:val="32"/>
          <w:shd w:val="clear" w:color="auto" w:fill="FFFFFF"/>
        </w:rPr>
        <w:t>2024年度年末一般公共预算财政拨款结转和结余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w:t>
      </w:r>
      <w:r w:rsidR="00F67858">
        <w:rPr>
          <w:rFonts w:ascii="方正仿宋_GBK" w:eastAsia="方正仿宋_GBK" w:hAnsi="方正仿宋_GBK" w:cs="方正仿宋_GBK"/>
          <w:sz w:val="32"/>
          <w:szCs w:val="32"/>
          <w:shd w:val="clear" w:color="auto" w:fill="FFFFFF"/>
        </w:rPr>
        <w:t>主要原因是本年度无结转结余。</w:t>
      </w:r>
    </w:p>
    <w:p w:rsidR="00455050" w:rsidRDefault="000C51C5">
      <w:pPr>
        <w:pStyle w:val="a7"/>
        <w:shd w:val="clear" w:color="050000" w:fill="auto"/>
        <w:snapToGrid w:val="0"/>
        <w:spacing w:before="0" w:beforeAutospacing="0" w:after="0" w:afterAutospacing="0" w:line="594" w:lineRule="exact"/>
        <w:ind w:firstLineChars="200" w:firstLine="643"/>
        <w:jc w:val="both"/>
        <w:rPr>
          <w:rFonts w:ascii="方正仿宋_GBK" w:eastAsia="方正仿宋_GBK" w:hAnsi="方正仿宋_GBK" w:cs="方正仿宋_GBK" w:hint="default"/>
          <w:sz w:val="32"/>
          <w:szCs w:val="32"/>
          <w:shd w:val="clear" w:color="auto" w:fill="FFFFFF"/>
        </w:rPr>
      </w:pPr>
      <w:r>
        <w:rPr>
          <w:rStyle w:val="a8"/>
          <w:rFonts w:ascii="方正仿宋_GBK" w:eastAsia="方正仿宋_GBK" w:hAnsi="方正仿宋_GBK" w:cs="方正仿宋_GBK"/>
          <w:sz w:val="32"/>
          <w:szCs w:val="32"/>
          <w:shd w:val="clear" w:color="auto" w:fill="FFFFFF"/>
        </w:rPr>
        <w:t xml:space="preserve"> 4.比较情况。</w:t>
      </w:r>
      <w:r>
        <w:rPr>
          <w:rFonts w:ascii="方正仿宋_GBK" w:eastAsia="方正仿宋_GBK" w:hAnsi="方正仿宋_GBK" w:cs="方正仿宋_GBK"/>
          <w:sz w:val="32"/>
          <w:szCs w:val="32"/>
          <w:shd w:val="clear" w:color="auto" w:fill="FFFFFF"/>
        </w:rPr>
        <w:t>本部门2024年度一般公共预算财政拨款支出主要用于以下几个方面：</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（1）</w:t>
      </w:r>
      <w:r w:rsidR="00F67858">
        <w:rPr>
          <w:rFonts w:ascii="方正仿宋_GBK" w:eastAsia="方正仿宋_GBK" w:hAnsi="方正仿宋_GBK" w:cs="方正仿宋_GBK"/>
          <w:sz w:val="32"/>
          <w:szCs w:val="32"/>
          <w:shd w:val="clear" w:color="auto" w:fill="FFFFFF"/>
        </w:rPr>
        <w:t>教育支出</w:t>
      </w:r>
      <w:r w:rsidR="00F67858">
        <w:rPr>
          <w:rFonts w:ascii="方正仿宋_GBK" w:eastAsia="方正仿宋_GBK" w:hAnsi="方正仿宋_GBK" w:cs="方正仿宋_GBK"/>
          <w:sz w:val="32"/>
          <w:szCs w:val="32"/>
        </w:rPr>
        <w:t>1.27</w:t>
      </w:r>
      <w:r w:rsidR="00F67858">
        <w:rPr>
          <w:rFonts w:ascii="方正仿宋_GBK" w:eastAsia="方正仿宋_GBK" w:hAnsi="方正仿宋_GBK" w:cs="方正仿宋_GBK"/>
          <w:sz w:val="32"/>
          <w:szCs w:val="32"/>
          <w:shd w:val="clear" w:color="auto" w:fill="FFFFFF"/>
        </w:rPr>
        <w:t>万元，占</w:t>
      </w:r>
      <w:r w:rsidR="00F67858">
        <w:rPr>
          <w:rFonts w:ascii="方正仿宋_GBK" w:eastAsia="方正仿宋_GBK" w:hAnsi="方正仿宋_GBK" w:cs="方正仿宋_GBK"/>
          <w:sz w:val="32"/>
          <w:szCs w:val="32"/>
        </w:rPr>
        <w:t>0.0%</w:t>
      </w:r>
      <w:r w:rsidR="00F67858">
        <w:rPr>
          <w:rFonts w:ascii="方正仿宋_GBK" w:eastAsia="方正仿宋_GBK" w:hAnsi="方正仿宋_GBK" w:cs="方正仿宋_GBK"/>
          <w:sz w:val="32"/>
          <w:szCs w:val="32"/>
          <w:shd w:val="clear" w:color="auto" w:fill="FFFFFF"/>
        </w:rPr>
        <w:t>，</w:t>
      </w:r>
      <w:r>
        <w:rPr>
          <w:rFonts w:ascii="方正仿宋_GBK" w:eastAsia="方正仿宋_GBK" w:hAnsi="方正仿宋_GBK" w:cs="方正仿宋_GBK"/>
          <w:sz w:val="32"/>
          <w:szCs w:val="32"/>
          <w:shd w:val="clear" w:color="auto" w:fill="FFFFFF"/>
        </w:rPr>
        <w:t>较年初预算数无增减，主要原因是严格执行预算。</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w:t>
      </w:r>
      <w:r w:rsidR="00F67858">
        <w:rPr>
          <w:rFonts w:ascii="方正仿宋_GBK" w:eastAsia="方正仿宋_GBK" w:hAnsi="方正仿宋_GBK" w:cs="方正仿宋_GBK"/>
          <w:sz w:val="32"/>
          <w:szCs w:val="32"/>
          <w:shd w:val="clear" w:color="auto" w:fill="FFFFFF"/>
        </w:rPr>
        <w:t>社会保障与就业支出</w:t>
      </w:r>
      <w:r w:rsidR="00F67858">
        <w:rPr>
          <w:rFonts w:ascii="方正仿宋_GBK" w:eastAsia="方正仿宋_GBK" w:hAnsi="方正仿宋_GBK" w:cs="方正仿宋_GBK"/>
          <w:sz w:val="32"/>
          <w:szCs w:val="32"/>
        </w:rPr>
        <w:t>10598.48</w:t>
      </w:r>
      <w:r w:rsidR="00F67858">
        <w:rPr>
          <w:rFonts w:ascii="方正仿宋_GBK" w:eastAsia="方正仿宋_GBK" w:hAnsi="方正仿宋_GBK" w:cs="方正仿宋_GBK"/>
          <w:sz w:val="32"/>
          <w:szCs w:val="32"/>
          <w:shd w:val="clear" w:color="auto" w:fill="FFFFFF"/>
        </w:rPr>
        <w:t>万元，占</w:t>
      </w:r>
      <w:r w:rsidR="00F67858">
        <w:rPr>
          <w:rFonts w:ascii="方正仿宋_GBK" w:eastAsia="方正仿宋_GBK" w:hAnsi="方正仿宋_GBK" w:cs="方正仿宋_GBK"/>
          <w:sz w:val="32"/>
          <w:szCs w:val="32"/>
        </w:rPr>
        <w:t>95.1%</w:t>
      </w:r>
      <w:r w:rsidR="00F67858">
        <w:rPr>
          <w:rFonts w:ascii="方正仿宋_GBK" w:eastAsia="方正仿宋_GBK" w:hAnsi="方正仿宋_GBK" w:cs="方正仿宋_GBK"/>
          <w:sz w:val="32"/>
          <w:szCs w:val="32"/>
          <w:shd w:val="clear" w:color="auto" w:fill="FFFFFF"/>
        </w:rPr>
        <w:t>，较年初预算数减少1712.89万元，下降13.9%，</w:t>
      </w:r>
      <w:r>
        <w:rPr>
          <w:rFonts w:ascii="方正仿宋_GBK" w:eastAsia="方正仿宋_GBK" w:hAnsi="方正仿宋_GBK" w:cs="方正仿宋_GBK"/>
          <w:sz w:val="32"/>
          <w:szCs w:val="32"/>
          <w:shd w:val="clear" w:color="auto" w:fill="FFFFFF"/>
        </w:rPr>
        <w:t>主要原因是优抚三难资金、双拥资金、再就业帮扶资金、村（社区）退役军人服务站工作经费及站长补贴年初预算至我单位，年中调剂指标至其他部门及乡镇。</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（3）</w:t>
      </w:r>
      <w:r w:rsidR="00C33BE8">
        <w:rPr>
          <w:rFonts w:ascii="方正仿宋_GBK" w:eastAsia="方正仿宋_GBK" w:hAnsi="方正仿宋_GBK" w:cs="方正仿宋_GBK"/>
          <w:sz w:val="32"/>
          <w:szCs w:val="32"/>
          <w:shd w:val="clear" w:color="auto" w:fill="FFFFFF"/>
        </w:rPr>
        <w:t>卫生健康支出</w:t>
      </w:r>
      <w:r w:rsidR="00C33BE8">
        <w:rPr>
          <w:rFonts w:ascii="方正仿宋_GBK" w:eastAsia="方正仿宋_GBK" w:hAnsi="方正仿宋_GBK" w:cs="方正仿宋_GBK"/>
          <w:sz w:val="32"/>
          <w:szCs w:val="32"/>
        </w:rPr>
        <w:t>520.72</w:t>
      </w:r>
      <w:r w:rsidR="00C33BE8">
        <w:rPr>
          <w:rFonts w:ascii="方正仿宋_GBK" w:eastAsia="方正仿宋_GBK" w:hAnsi="方正仿宋_GBK" w:cs="方正仿宋_GBK"/>
          <w:sz w:val="32"/>
          <w:szCs w:val="32"/>
          <w:shd w:val="clear" w:color="auto" w:fill="FFFFFF"/>
        </w:rPr>
        <w:t>万元，占</w:t>
      </w:r>
      <w:r w:rsidR="00C33BE8">
        <w:rPr>
          <w:rFonts w:ascii="方正仿宋_GBK" w:eastAsia="方正仿宋_GBK" w:hAnsi="方正仿宋_GBK" w:cs="方正仿宋_GBK"/>
          <w:sz w:val="32"/>
          <w:szCs w:val="32"/>
        </w:rPr>
        <w:t>4.7%</w:t>
      </w:r>
      <w:r w:rsidR="00C33BE8">
        <w:rPr>
          <w:rFonts w:ascii="方正仿宋_GBK" w:eastAsia="方正仿宋_GBK" w:hAnsi="方正仿宋_GBK" w:cs="方正仿宋_GBK"/>
          <w:sz w:val="32"/>
          <w:szCs w:val="32"/>
          <w:shd w:val="clear" w:color="auto" w:fill="FFFFFF"/>
        </w:rPr>
        <w:t>，较年初预算数减少138.16万元，下降21.0%，</w:t>
      </w:r>
      <w:r>
        <w:rPr>
          <w:rFonts w:ascii="方正仿宋_GBK" w:eastAsia="方正仿宋_GBK" w:hAnsi="方正仿宋_GBK" w:cs="方正仿宋_GBK"/>
          <w:sz w:val="32"/>
          <w:szCs w:val="32"/>
          <w:shd w:val="clear" w:color="auto" w:fill="FFFFFF"/>
        </w:rPr>
        <w:t>主要原因是优抚医疗资金年初预算至我单位，年中调剂指标至乡镇。</w:t>
      </w:r>
    </w:p>
    <w:p w:rsidR="00455050" w:rsidRDefault="000C51C5">
      <w:pPr>
        <w:shd w:val="clear" w:color="040000" w:fill="auto"/>
        <w:spacing w:line="594" w:lineRule="exact"/>
        <w:ind w:firstLineChars="200" w:firstLine="640"/>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lastRenderedPageBreak/>
        <w:t>（4）</w:t>
      </w:r>
      <w:r w:rsidR="00C33BE8">
        <w:rPr>
          <w:rFonts w:ascii="方正仿宋_GBK" w:eastAsia="方正仿宋_GBK" w:hAnsi="方正仿宋_GBK" w:cs="方正仿宋_GBK"/>
          <w:sz w:val="32"/>
          <w:szCs w:val="32"/>
        </w:rPr>
        <w:t>住房保障支出28.93</w:t>
      </w:r>
      <w:r w:rsidR="00C33BE8">
        <w:rPr>
          <w:rFonts w:ascii="方正仿宋_GBK" w:eastAsia="方正仿宋_GBK" w:hAnsi="方正仿宋_GBK" w:cs="方正仿宋_GBK"/>
          <w:sz w:val="32"/>
          <w:szCs w:val="32"/>
          <w:shd w:val="clear" w:color="auto" w:fill="FFFFFF"/>
        </w:rPr>
        <w:t>万元，占</w:t>
      </w:r>
      <w:r w:rsidR="00C33BE8">
        <w:rPr>
          <w:rFonts w:ascii="方正仿宋_GBK" w:eastAsia="方正仿宋_GBK" w:hAnsi="方正仿宋_GBK" w:cs="方正仿宋_GBK"/>
          <w:sz w:val="32"/>
          <w:szCs w:val="32"/>
        </w:rPr>
        <w:t>0.3%</w:t>
      </w:r>
      <w:r w:rsidR="00C33BE8">
        <w:rPr>
          <w:rFonts w:ascii="方正仿宋_GBK" w:eastAsia="方正仿宋_GBK" w:hAnsi="方正仿宋_GBK" w:cs="方正仿宋_GBK"/>
          <w:sz w:val="32"/>
          <w:szCs w:val="32"/>
          <w:shd w:val="clear" w:color="auto" w:fill="FFFFFF"/>
        </w:rPr>
        <w:t>，较年初预算数增加1.85万元，增长6.8%，</w:t>
      </w:r>
      <w:r>
        <w:rPr>
          <w:rFonts w:ascii="方正仿宋_GBK" w:eastAsia="方正仿宋_GBK" w:hAnsi="方正仿宋_GBK" w:cs="方正仿宋_GBK"/>
          <w:sz w:val="32"/>
          <w:szCs w:val="32"/>
          <w:shd w:val="clear" w:color="auto" w:fill="FFFFFF"/>
        </w:rPr>
        <w:t>主要原因是人员增资，住房公积金支出增加。</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（四）一般公共预算财政拨款基本支出决算情况说明</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2024年度一般公共财政拨款基本支出</w:t>
      </w:r>
      <w:r>
        <w:rPr>
          <w:rFonts w:ascii="方正仿宋_GBK" w:eastAsia="方正仿宋_GBK" w:hAnsi="方正仿宋_GBK" w:cs="方正仿宋_GBK"/>
          <w:sz w:val="32"/>
          <w:szCs w:val="32"/>
        </w:rPr>
        <w:t>470.40</w:t>
      </w:r>
      <w:r>
        <w:rPr>
          <w:rFonts w:ascii="方正仿宋_GBK" w:eastAsia="方正仿宋_GBK" w:hAnsi="方正仿宋_GBK" w:cs="方正仿宋_GBK"/>
          <w:sz w:val="32"/>
          <w:szCs w:val="32"/>
          <w:shd w:val="clear" w:color="auto" w:fill="FFFFFF"/>
        </w:rPr>
        <w:t>万元。其中：人员经费</w:t>
      </w:r>
      <w:r>
        <w:rPr>
          <w:rFonts w:ascii="方正仿宋_GBK" w:eastAsia="方正仿宋_GBK" w:hAnsi="方正仿宋_GBK" w:cs="方正仿宋_GBK"/>
          <w:sz w:val="32"/>
          <w:szCs w:val="32"/>
        </w:rPr>
        <w:t>398.27</w:t>
      </w:r>
      <w:r>
        <w:rPr>
          <w:rFonts w:ascii="方正仿宋_GBK" w:eastAsia="方正仿宋_GBK" w:hAnsi="方正仿宋_GBK" w:cs="方正仿宋_GBK"/>
          <w:sz w:val="32"/>
          <w:szCs w:val="32"/>
          <w:shd w:val="clear" w:color="auto" w:fill="FFFFFF"/>
        </w:rPr>
        <w:t>万元，与2023年度相比，增加17.12万元，增长4.5%，主要原因是人员增资，社保费用增加。人员经费用途主要包括</w:t>
      </w:r>
      <w:r>
        <w:rPr>
          <w:rFonts w:ascii="Times New Roman" w:eastAsia="方正仿宋_GBK" w:hAnsi="方正仿宋_GBK"/>
          <w:kern w:val="2"/>
          <w:sz w:val="32"/>
          <w:szCs w:val="32"/>
        </w:rPr>
        <w:t>基本工资、津贴补贴、奖金、机关事业单位基本养老保险缴费、职业年金缴费、职工基本医疗保险缴费、其他社会保障缴费、住房公积金和其他工资福利支出。</w:t>
      </w:r>
      <w:r>
        <w:rPr>
          <w:rFonts w:ascii="方正仿宋_GBK" w:eastAsia="方正仿宋_GBK" w:hAnsi="方正仿宋_GBK" w:cs="方正仿宋_GBK"/>
          <w:sz w:val="32"/>
          <w:szCs w:val="32"/>
          <w:shd w:val="clear" w:color="auto" w:fill="FFFFFF"/>
        </w:rPr>
        <w:t>公用经费</w:t>
      </w:r>
      <w:r>
        <w:rPr>
          <w:rFonts w:ascii="方正仿宋_GBK" w:eastAsia="方正仿宋_GBK" w:hAnsi="方正仿宋_GBK" w:cs="方正仿宋_GBK"/>
          <w:sz w:val="32"/>
          <w:szCs w:val="32"/>
        </w:rPr>
        <w:t>72.12</w:t>
      </w:r>
      <w:r>
        <w:rPr>
          <w:rFonts w:ascii="方正仿宋_GBK" w:eastAsia="方正仿宋_GBK" w:hAnsi="方正仿宋_GBK" w:cs="方正仿宋_GBK"/>
          <w:sz w:val="32"/>
          <w:szCs w:val="32"/>
          <w:shd w:val="clear" w:color="auto" w:fill="FFFFFF"/>
        </w:rPr>
        <w:t>万元，与2023年度相比，增加0.12万元，增长0.2%，主要原因是办公用品价格上涨，公益性岗位人员增加，工会经费增加。公用经费用途主要包括</w:t>
      </w:r>
      <w:r>
        <w:rPr>
          <w:rFonts w:ascii="Times New Roman" w:eastAsia="方正仿宋_GBK" w:hAnsi="方正仿宋_GBK"/>
          <w:kern w:val="2"/>
          <w:sz w:val="32"/>
          <w:szCs w:val="32"/>
        </w:rPr>
        <w:t>办公费、邮电费、差旅费、会议费、培训费、公务接待费、劳务费、工会经费、福利费、公务用车运行维护费、其他交通费用、其他商品和服务支出。</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（五）政府性基金预算收支决算情况说明</w:t>
      </w:r>
    </w:p>
    <w:p w:rsidR="00455050" w:rsidRDefault="00C33BE8">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2024年度政府性基金预算财政拨款年初结转结余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万元，年末结转结余</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万元。本年收入</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本年度无政府性基金预算财政拨款收入。</w:t>
      </w:r>
      <w:r>
        <w:rPr>
          <w:rFonts w:ascii="方正仿宋_GBK" w:eastAsia="方正仿宋_GBK" w:hAnsi="方正仿宋_GBK" w:cs="方正仿宋_GBK"/>
          <w:sz w:val="32"/>
          <w:szCs w:val="32"/>
          <w:shd w:val="clear" w:color="auto" w:fill="FFFFFF"/>
        </w:rPr>
        <w:t>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万元，与2023年度相比，无增减，主要原因是</w:t>
      </w:r>
      <w:r w:rsidRPr="00077999">
        <w:rPr>
          <w:rFonts w:ascii="Times New Roman" w:eastAsia="方正仿宋_GBK" w:hAnsi="Times New Roman"/>
          <w:color w:val="000000" w:themeColor="text1"/>
          <w:sz w:val="32"/>
          <w:szCs w:val="32"/>
          <w:shd w:val="clear" w:color="auto" w:fill="FFFFFF"/>
        </w:rPr>
        <w:t>本年度无政府性基金预算财政拨款支出。本</w:t>
      </w:r>
      <w:r>
        <w:rPr>
          <w:rFonts w:ascii="Times New Roman" w:eastAsia="方正仿宋_GBK" w:hAnsi="Times New Roman"/>
          <w:color w:val="000000" w:themeColor="text1"/>
          <w:sz w:val="32"/>
          <w:szCs w:val="32"/>
          <w:shd w:val="clear" w:color="auto" w:fill="FFFFFF"/>
        </w:rPr>
        <w:t>部门</w:t>
      </w:r>
      <w:r w:rsidRPr="00077999">
        <w:rPr>
          <w:rFonts w:ascii="Times New Roman" w:eastAsia="方正仿宋_GBK" w:hAnsi="Times New Roman"/>
          <w:color w:val="000000" w:themeColor="text1"/>
          <w:sz w:val="32"/>
          <w:szCs w:val="32"/>
          <w:shd w:val="clear" w:color="auto" w:fill="FFFFFF"/>
        </w:rPr>
        <w:t>202</w:t>
      </w:r>
      <w:r>
        <w:rPr>
          <w:rFonts w:ascii="Times New Roman" w:eastAsia="方正仿宋_GBK" w:hAnsi="Times New Roman"/>
          <w:color w:val="000000" w:themeColor="text1"/>
          <w:sz w:val="32"/>
          <w:szCs w:val="32"/>
          <w:shd w:val="clear" w:color="auto" w:fill="FFFFFF"/>
        </w:rPr>
        <w:t>4</w:t>
      </w:r>
      <w:r w:rsidRPr="00077999">
        <w:rPr>
          <w:rFonts w:ascii="Times New Roman" w:eastAsia="方正仿宋_GBK" w:hAnsi="Times New Roman"/>
          <w:color w:val="000000" w:themeColor="text1"/>
          <w:sz w:val="32"/>
          <w:szCs w:val="32"/>
          <w:shd w:val="clear" w:color="auto" w:fill="FFFFFF"/>
        </w:rPr>
        <w:t>年度无政府性基金预算财政拨款收支。</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lastRenderedPageBreak/>
        <w:t>（六）国有资本经营预算财政拨款支出决算情况说明</w:t>
      </w:r>
    </w:p>
    <w:p w:rsidR="00455050" w:rsidRDefault="00C33BE8">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2024年度国有资本经营预算财政拨本年支出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万元，基本支出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万元，项目支出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w:t>
      </w:r>
      <w:r w:rsidRPr="00D519A1">
        <w:rPr>
          <w:rFonts w:ascii="方正仿宋_GBK" w:eastAsia="方正仿宋_GBK" w:hAnsi="方正仿宋_GBK" w:cs="方正仿宋_GBK"/>
          <w:sz w:val="32"/>
          <w:szCs w:val="32"/>
          <w:shd w:val="clear" w:color="auto" w:fill="FFFFFF"/>
        </w:rPr>
        <w:t>本</w:t>
      </w:r>
      <w:r>
        <w:rPr>
          <w:rFonts w:ascii="方正仿宋_GBK" w:eastAsia="方正仿宋_GBK" w:hAnsi="方正仿宋_GBK" w:cs="方正仿宋_GBK"/>
          <w:sz w:val="32"/>
          <w:szCs w:val="32"/>
          <w:shd w:val="clear" w:color="auto" w:fill="FFFFFF"/>
        </w:rPr>
        <w:t>部门</w:t>
      </w:r>
      <w:r w:rsidRPr="00D519A1">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hint="default"/>
          <w:sz w:val="32"/>
          <w:szCs w:val="32"/>
          <w:shd w:val="clear" w:color="auto" w:fill="FFFFFF"/>
        </w:rPr>
        <w:t>4</w:t>
      </w:r>
      <w:r w:rsidRPr="00D519A1">
        <w:rPr>
          <w:rFonts w:ascii="方正仿宋_GBK" w:eastAsia="方正仿宋_GBK" w:hAnsi="方正仿宋_GBK" w:cs="方正仿宋_GBK"/>
          <w:sz w:val="32"/>
          <w:szCs w:val="32"/>
          <w:shd w:val="clear" w:color="auto" w:fill="FFFFFF"/>
        </w:rPr>
        <w:t>年度无国有资本经营预算财政拨款支出。</w:t>
      </w:r>
    </w:p>
    <w:p w:rsidR="00455050" w:rsidRDefault="000C51C5">
      <w:pPr>
        <w:pStyle w:val="a7"/>
        <w:spacing w:beforeAutospacing="0" w:after="0" w:afterAutospacing="0" w:line="594" w:lineRule="exact"/>
        <w:ind w:firstLineChars="200" w:firstLine="640"/>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三、财政拨款“三公”经费情况说明</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（一）“三公”经费支出总体情况说明</w:t>
      </w:r>
    </w:p>
    <w:p w:rsidR="00455050" w:rsidRDefault="000C51C5">
      <w:pPr>
        <w:pStyle w:val="1"/>
        <w:shd w:val="clear" w:color="050000" w:fill="auto"/>
        <w:autoSpaceDE w:val="0"/>
        <w:spacing w:line="594"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hint="eastAsia"/>
          <w:sz w:val="32"/>
          <w:szCs w:val="32"/>
          <w:shd w:val="clear" w:color="auto" w:fill="FFFFFF"/>
        </w:rPr>
        <w:t>2024年</w:t>
      </w:r>
      <w:r>
        <w:rPr>
          <w:rFonts w:ascii="方正仿宋_GBK" w:eastAsia="方正仿宋_GBK" w:hAnsi="方正仿宋_GBK" w:cs="方正仿宋_GBK"/>
          <w:sz w:val="32"/>
          <w:szCs w:val="32"/>
          <w:shd w:val="clear" w:color="auto" w:fill="FFFFFF"/>
        </w:rPr>
        <w:t>度“三公”经费支出共计</w:t>
      </w:r>
      <w:r>
        <w:rPr>
          <w:rFonts w:ascii="方正仿宋_GBK" w:eastAsia="方正仿宋_GBK" w:hAnsi="方正仿宋_GBK" w:cs="方正仿宋_GBK"/>
          <w:sz w:val="32"/>
          <w:szCs w:val="32"/>
        </w:rPr>
        <w:t>9.83</w:t>
      </w:r>
      <w:r>
        <w:rPr>
          <w:rFonts w:ascii="方正仿宋_GBK" w:eastAsia="方正仿宋_GBK" w:hAnsi="方正仿宋_GBK" w:cs="方正仿宋_GBK"/>
          <w:sz w:val="32"/>
          <w:szCs w:val="32"/>
          <w:shd w:val="clear" w:color="auto" w:fill="FFFFFF"/>
        </w:rPr>
        <w:t>万元，较年初预算数减少0.17万元，下降1.7%，主要原因是</w:t>
      </w:r>
      <w:r>
        <w:rPr>
          <w:rFonts w:ascii="方正仿宋_GBK" w:eastAsia="方正仿宋_GBK" w:hAnsi="方正仿宋_GBK" w:cs="方正仿宋_GBK" w:hint="eastAsia"/>
          <w:sz w:val="32"/>
          <w:szCs w:val="32"/>
          <w:shd w:val="clear" w:color="auto" w:fill="FFFFFF"/>
        </w:rPr>
        <w:t>严格落实中央及地方过</w:t>
      </w:r>
      <w:r w:rsidR="00BC0413">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紧日子</w:t>
      </w:r>
      <w:r w:rsidR="00BC0413">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的要求，压减</w:t>
      </w:r>
      <w:r w:rsidR="00BC0413">
        <w:rPr>
          <w:rFonts w:ascii="方正仿宋_GBK" w:eastAsia="方正仿宋_GBK" w:hAnsi="方正仿宋_GBK" w:cs="方正仿宋_GBK"/>
          <w:sz w:val="32"/>
          <w:szCs w:val="32"/>
          <w:shd w:val="clear" w:color="auto" w:fill="FFFFFF"/>
        </w:rPr>
        <w:t>“三公”</w:t>
      </w:r>
      <w:r>
        <w:rPr>
          <w:rFonts w:ascii="方正仿宋_GBK" w:eastAsia="方正仿宋_GBK" w:hAnsi="方正仿宋_GBK" w:cs="方正仿宋_GBK" w:hint="eastAsia"/>
          <w:sz w:val="32"/>
          <w:szCs w:val="32"/>
          <w:shd w:val="clear" w:color="auto" w:fill="FFFFFF"/>
        </w:rPr>
        <w:t>经费。</w:t>
      </w:r>
      <w:r>
        <w:rPr>
          <w:rFonts w:ascii="方正仿宋_GBK" w:eastAsia="方正仿宋_GBK" w:hAnsi="方正仿宋_GBK" w:cs="方正仿宋_GBK"/>
          <w:sz w:val="32"/>
          <w:szCs w:val="32"/>
          <w:shd w:val="clear" w:color="auto" w:fill="FFFFFF"/>
        </w:rPr>
        <w:t>较上年支出数减少1.17万元，下降10.6%，主要原因是</w:t>
      </w:r>
      <w:r>
        <w:rPr>
          <w:rFonts w:ascii="方正仿宋_GBK" w:eastAsia="方正仿宋_GBK" w:hAnsi="方正仿宋_GBK" w:cs="方正仿宋_GBK" w:hint="eastAsia"/>
          <w:sz w:val="32"/>
          <w:szCs w:val="32"/>
          <w:shd w:val="clear" w:color="auto" w:fill="FFFFFF"/>
        </w:rPr>
        <w:t>严格落实中央及地方过</w:t>
      </w:r>
      <w:r w:rsidR="00BC0413">
        <w:rPr>
          <w:rFonts w:ascii="方正仿宋_GBK" w:eastAsia="方正仿宋_GBK" w:hAnsi="方正仿宋_GBK" w:cs="方正仿宋_GBK" w:hint="eastAsia"/>
          <w:sz w:val="32"/>
          <w:szCs w:val="32"/>
          <w:shd w:val="clear" w:color="auto" w:fill="FFFFFF"/>
        </w:rPr>
        <w:t>“紧日子”</w:t>
      </w:r>
      <w:r>
        <w:rPr>
          <w:rFonts w:ascii="方正仿宋_GBK" w:eastAsia="方正仿宋_GBK" w:hAnsi="方正仿宋_GBK" w:cs="方正仿宋_GBK" w:hint="eastAsia"/>
          <w:sz w:val="32"/>
          <w:szCs w:val="32"/>
          <w:shd w:val="clear" w:color="auto" w:fill="FFFFFF"/>
        </w:rPr>
        <w:t>的要求，压减</w:t>
      </w:r>
      <w:r w:rsidR="00BC0413">
        <w:rPr>
          <w:rFonts w:ascii="方正仿宋_GBK" w:eastAsia="方正仿宋_GBK" w:hAnsi="方正仿宋_GBK" w:cs="方正仿宋_GBK"/>
          <w:sz w:val="32"/>
          <w:szCs w:val="32"/>
          <w:shd w:val="clear" w:color="auto" w:fill="FFFFFF"/>
        </w:rPr>
        <w:t>“三公”</w:t>
      </w:r>
      <w:r>
        <w:rPr>
          <w:rFonts w:ascii="方正仿宋_GBK" w:eastAsia="方正仿宋_GBK" w:hAnsi="方正仿宋_GBK" w:cs="方正仿宋_GBK" w:hint="eastAsia"/>
          <w:sz w:val="32"/>
          <w:szCs w:val="32"/>
          <w:shd w:val="clear" w:color="auto" w:fill="FFFFFF"/>
        </w:rPr>
        <w:t>经费。</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（二）“三公”经费分项支出情况</w:t>
      </w:r>
    </w:p>
    <w:p w:rsidR="00455050" w:rsidRDefault="00BC0413">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sidRPr="002528F8">
        <w:rPr>
          <w:rFonts w:ascii="方正仿宋_GBK" w:eastAsia="方正仿宋_GBK" w:hAnsi="方正仿宋_GBK" w:cs="方正仿宋_GBK"/>
          <w:sz w:val="32"/>
          <w:szCs w:val="32"/>
          <w:shd w:val="clear" w:color="auto" w:fill="FFFFFF"/>
        </w:rPr>
        <w:t>202</w:t>
      </w:r>
      <w:r>
        <w:rPr>
          <w:rFonts w:ascii="方正仿宋_GBK" w:eastAsia="方正仿宋_GBK" w:hAnsi="方正仿宋_GBK" w:cs="方正仿宋_GBK"/>
          <w:sz w:val="32"/>
          <w:szCs w:val="32"/>
          <w:shd w:val="clear" w:color="auto" w:fill="FFFFFF"/>
        </w:rPr>
        <w:t>4</w:t>
      </w:r>
      <w:r w:rsidRPr="002528F8">
        <w:rPr>
          <w:rFonts w:ascii="方正仿宋_GBK" w:eastAsia="方正仿宋_GBK" w:hAnsi="方正仿宋_GBK" w:cs="方正仿宋_GBK"/>
          <w:sz w:val="32"/>
          <w:szCs w:val="32"/>
          <w:shd w:val="clear" w:color="auto" w:fill="FFFFFF"/>
        </w:rPr>
        <w:t>年度本</w:t>
      </w:r>
      <w:r>
        <w:rPr>
          <w:rFonts w:ascii="方正仿宋_GBK" w:eastAsia="方正仿宋_GBK" w:hAnsi="方正仿宋_GBK" w:cs="方正仿宋_GBK"/>
          <w:sz w:val="32"/>
          <w:szCs w:val="32"/>
          <w:shd w:val="clear" w:color="auto" w:fill="FFFFFF"/>
        </w:rPr>
        <w:t>部门</w:t>
      </w:r>
      <w:r w:rsidRPr="002528F8">
        <w:rPr>
          <w:rFonts w:ascii="方正仿宋_GBK" w:eastAsia="方正仿宋_GBK" w:hAnsi="方正仿宋_GBK" w:cs="方正仿宋_GBK"/>
          <w:sz w:val="32"/>
          <w:szCs w:val="32"/>
          <w:shd w:val="clear" w:color="auto" w:fill="FFFFFF"/>
        </w:rPr>
        <w:t>因公出国（境）费用0.00</w:t>
      </w:r>
      <w:r>
        <w:rPr>
          <w:rFonts w:ascii="方正仿宋_GBK" w:eastAsia="方正仿宋_GBK" w:hAnsi="方正仿宋_GBK" w:cs="方正仿宋_GBK"/>
          <w:sz w:val="32"/>
          <w:szCs w:val="32"/>
          <w:shd w:val="clear" w:color="auto" w:fill="FFFFFF"/>
        </w:rPr>
        <w:t>万元。费用支出较年初预算数无增减，主要原因是年初预算</w:t>
      </w:r>
      <w:r w:rsidRPr="002528F8">
        <w:rPr>
          <w:rFonts w:ascii="方正仿宋_GBK" w:eastAsia="方正仿宋_GBK" w:hAnsi="方正仿宋_GBK" w:cs="方正仿宋_GBK"/>
          <w:sz w:val="32"/>
          <w:szCs w:val="32"/>
          <w:shd w:val="clear" w:color="auto" w:fill="FFFFFF"/>
        </w:rPr>
        <w:t>未安排因公出国（境）费用，也未发生因公出国（境）费用。较上年支出数无增减，主要原因是上年和本年均未发生因公出国（境）费用。</w:t>
      </w:r>
    </w:p>
    <w:p w:rsidR="00455050" w:rsidRDefault="00BC0413">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sidRPr="002528F8">
        <w:rPr>
          <w:rFonts w:ascii="方正仿宋_GBK" w:eastAsia="方正仿宋_GBK" w:hAnsi="方正仿宋_GBK" w:cs="方正仿宋_GBK"/>
          <w:sz w:val="32"/>
          <w:szCs w:val="32"/>
          <w:shd w:val="clear" w:color="auto" w:fill="FFFFFF"/>
        </w:rPr>
        <w:t>公务车购置费0.00</w:t>
      </w:r>
      <w:r>
        <w:rPr>
          <w:rFonts w:ascii="方正仿宋_GBK" w:eastAsia="方正仿宋_GBK" w:hAnsi="方正仿宋_GBK" w:cs="方正仿宋_GBK"/>
          <w:sz w:val="32"/>
          <w:szCs w:val="32"/>
          <w:shd w:val="clear" w:color="auto" w:fill="FFFFFF"/>
        </w:rPr>
        <w:t>万元。费用支出较年初预算数无增减，主要原因是年初预算</w:t>
      </w:r>
      <w:r w:rsidRPr="002528F8">
        <w:rPr>
          <w:rFonts w:ascii="方正仿宋_GBK" w:eastAsia="方正仿宋_GBK" w:hAnsi="方正仿宋_GBK" w:cs="方正仿宋_GBK"/>
          <w:sz w:val="32"/>
          <w:szCs w:val="32"/>
          <w:shd w:val="clear" w:color="auto" w:fill="FFFFFF"/>
        </w:rPr>
        <w:t>未安排且本年未发生公务车购置费用。较上年支出数无增减，主要原因是上年和本年均未发生公务车购置费用。</w:t>
      </w:r>
      <w:r w:rsidR="000C51C5">
        <w:rPr>
          <w:rFonts w:ascii="方正仿宋_GBK" w:eastAsia="方正仿宋_GBK" w:hAnsi="方正仿宋_GBK" w:cs="方正仿宋_GBK"/>
          <w:sz w:val="32"/>
          <w:szCs w:val="32"/>
          <w:shd w:val="clear" w:color="auto" w:fill="FFFFFF"/>
        </w:rPr>
        <w:t> </w:t>
      </w:r>
    </w:p>
    <w:p w:rsidR="00455050" w:rsidRDefault="000C51C5">
      <w:pPr>
        <w:pStyle w:val="1"/>
        <w:shd w:val="clear" w:color="050000" w:fill="auto"/>
        <w:autoSpaceDE w:val="0"/>
        <w:spacing w:line="594" w:lineRule="exact"/>
        <w:ind w:firstLine="640"/>
        <w:rPr>
          <w:rFonts w:ascii="方正仿宋_GBK" w:eastAsia="方正仿宋_GBK" w:hAnsi="方正仿宋_GBK" w:cs="方正仿宋_GBK"/>
          <w:sz w:val="32"/>
          <w:szCs w:val="32"/>
        </w:rPr>
      </w:pPr>
      <w:r>
        <w:rPr>
          <w:rFonts w:ascii="方正仿宋_GBK" w:eastAsia="方正仿宋_GBK" w:hAnsi="方正仿宋_GBK" w:cs="方正仿宋_GBK"/>
          <w:sz w:val="32"/>
          <w:szCs w:val="32"/>
          <w:shd w:val="clear" w:color="auto" w:fill="FFFFFF"/>
        </w:rPr>
        <w:t>公务车运行维护费</w:t>
      </w:r>
      <w:r>
        <w:rPr>
          <w:rFonts w:ascii="方正仿宋_GBK" w:eastAsia="方正仿宋_GBK" w:hAnsi="方正仿宋_GBK" w:cs="方正仿宋_GBK"/>
          <w:sz w:val="32"/>
          <w:szCs w:val="32"/>
        </w:rPr>
        <w:t>8.00</w:t>
      </w:r>
      <w:r>
        <w:rPr>
          <w:rFonts w:ascii="方正仿宋_GBK" w:eastAsia="方正仿宋_GBK" w:hAnsi="方正仿宋_GBK" w:cs="方正仿宋_GBK"/>
          <w:sz w:val="32"/>
          <w:szCs w:val="32"/>
          <w:shd w:val="clear" w:color="auto" w:fill="FFFFFF"/>
        </w:rPr>
        <w:t>万元，主要用于</w:t>
      </w:r>
      <w:r>
        <w:rPr>
          <w:rFonts w:ascii="Times New Roman" w:eastAsia="方正仿宋_GBK" w:hAnsi="方正仿宋_GBK" w:hint="eastAsia"/>
          <w:kern w:val="2"/>
          <w:sz w:val="32"/>
          <w:szCs w:val="32"/>
        </w:rPr>
        <w:t>机要文件交换、市内因公出行、退役军人事务业务检查等工作所需车辆的燃料费、维</w:t>
      </w:r>
      <w:r>
        <w:rPr>
          <w:rFonts w:ascii="Times New Roman" w:eastAsia="方正仿宋_GBK" w:hAnsi="方正仿宋_GBK" w:hint="eastAsia"/>
          <w:kern w:val="2"/>
          <w:sz w:val="32"/>
          <w:szCs w:val="32"/>
        </w:rPr>
        <w:lastRenderedPageBreak/>
        <w:t>修费、过桥过路费、保险费等。</w:t>
      </w:r>
      <w:r>
        <w:rPr>
          <w:rFonts w:ascii="方正仿宋_GBK" w:eastAsia="方正仿宋_GBK" w:hAnsi="方正仿宋_GBK" w:cs="方正仿宋_GBK"/>
          <w:sz w:val="32"/>
          <w:szCs w:val="32"/>
          <w:shd w:val="clear" w:color="auto" w:fill="FFFFFF"/>
        </w:rPr>
        <w:t>费用支出较年初预算数无增减，主要原因是</w:t>
      </w:r>
      <w:r>
        <w:rPr>
          <w:rFonts w:ascii="方正仿宋_GBK" w:eastAsia="方正仿宋_GBK" w:hAnsi="方正仿宋_GBK" w:cs="方正仿宋_GBK" w:hint="eastAsia"/>
          <w:sz w:val="32"/>
          <w:szCs w:val="32"/>
          <w:shd w:val="clear" w:color="auto" w:fill="FFFFFF"/>
        </w:rPr>
        <w:t>严控支出合理安排。</w:t>
      </w:r>
      <w:r>
        <w:rPr>
          <w:rFonts w:ascii="方正仿宋_GBK" w:eastAsia="方正仿宋_GBK" w:hAnsi="方正仿宋_GBK" w:cs="方正仿宋_GBK"/>
          <w:sz w:val="32"/>
          <w:szCs w:val="32"/>
          <w:shd w:val="clear" w:color="auto" w:fill="FFFFFF"/>
        </w:rPr>
        <w:t>较上年支出数减少1.00万元，下降11.1%，主要原因是</w:t>
      </w:r>
      <w:r>
        <w:rPr>
          <w:rFonts w:ascii="方正仿宋_GBK" w:eastAsia="方正仿宋_GBK" w:hAnsi="方正仿宋_GBK" w:cs="方正仿宋_GBK" w:hint="eastAsia"/>
          <w:sz w:val="32"/>
          <w:szCs w:val="32"/>
          <w:shd w:val="clear" w:color="auto" w:fill="FFFFFF"/>
        </w:rPr>
        <w:t>严格落实中央及地方过</w:t>
      </w:r>
      <w:r w:rsidR="00BC0413">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紧日子</w:t>
      </w:r>
      <w:r w:rsidR="00BC0413">
        <w:rPr>
          <w:rFonts w:ascii="方正仿宋_GBK" w:eastAsia="方正仿宋_GBK" w:hAnsi="方正仿宋_GBK" w:cs="方正仿宋_GBK" w:hint="eastAsia"/>
          <w:sz w:val="32"/>
          <w:szCs w:val="32"/>
          <w:shd w:val="clear" w:color="auto" w:fill="FFFFFF"/>
        </w:rPr>
        <w:t>”</w:t>
      </w:r>
      <w:r>
        <w:rPr>
          <w:rFonts w:ascii="方正仿宋_GBK" w:eastAsia="方正仿宋_GBK" w:hAnsi="方正仿宋_GBK" w:cs="方正仿宋_GBK" w:hint="eastAsia"/>
          <w:sz w:val="32"/>
          <w:szCs w:val="32"/>
          <w:shd w:val="clear" w:color="auto" w:fill="FFFFFF"/>
        </w:rPr>
        <w:t>的要求，压减公务车运行维护费。</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公务接待费</w:t>
      </w:r>
      <w:r>
        <w:rPr>
          <w:rFonts w:ascii="方正仿宋_GBK" w:eastAsia="方正仿宋_GBK" w:hAnsi="方正仿宋_GBK" w:cs="方正仿宋_GBK"/>
          <w:sz w:val="32"/>
          <w:szCs w:val="32"/>
        </w:rPr>
        <w:t>1.83</w:t>
      </w:r>
      <w:r>
        <w:rPr>
          <w:rFonts w:ascii="方正仿宋_GBK" w:eastAsia="方正仿宋_GBK" w:hAnsi="方正仿宋_GBK" w:cs="方正仿宋_GBK"/>
          <w:sz w:val="32"/>
          <w:szCs w:val="32"/>
          <w:shd w:val="clear" w:color="auto" w:fill="FFFFFF"/>
        </w:rPr>
        <w:t>万元，主要用于接待</w:t>
      </w:r>
      <w:r>
        <w:rPr>
          <w:rFonts w:ascii="Times New Roman" w:eastAsia="方正仿宋_GBK" w:hAnsi="方正仿宋_GBK"/>
          <w:kern w:val="2"/>
          <w:sz w:val="32"/>
          <w:szCs w:val="32"/>
        </w:rPr>
        <w:t>市退役军人事务局到我局指导工作，其他区县到我单位学习调研退役军人事务政策执行工作，接受相关部门检查指导工作发生的接待支出。</w:t>
      </w:r>
      <w:r>
        <w:rPr>
          <w:rFonts w:ascii="方正仿宋_GBK" w:eastAsia="方正仿宋_GBK" w:hAnsi="方正仿宋_GBK" w:cs="方正仿宋_GBK"/>
          <w:sz w:val="32"/>
          <w:szCs w:val="32"/>
          <w:shd w:val="clear" w:color="auto" w:fill="FFFFFF"/>
        </w:rPr>
        <w:t>费用支出较年初预算数减少0.17万元，下降8.5%，主要原因是严格落实中央及地方过</w:t>
      </w:r>
      <w:r w:rsidR="005007E0">
        <w:rPr>
          <w:rFonts w:ascii="方正仿宋_GBK" w:eastAsia="方正仿宋_GBK" w:hAnsi="方正仿宋_GBK" w:cs="方正仿宋_GBK"/>
          <w:sz w:val="32"/>
          <w:szCs w:val="32"/>
          <w:shd w:val="clear" w:color="auto" w:fill="FFFFFF"/>
        </w:rPr>
        <w:t>“紧日子”</w:t>
      </w:r>
      <w:r>
        <w:rPr>
          <w:rFonts w:ascii="方正仿宋_GBK" w:eastAsia="方正仿宋_GBK" w:hAnsi="方正仿宋_GBK" w:cs="方正仿宋_GBK"/>
          <w:sz w:val="32"/>
          <w:szCs w:val="32"/>
          <w:shd w:val="clear" w:color="auto" w:fill="FFFFFF"/>
        </w:rPr>
        <w:t>的要求，压缩非必要接待，严格审核开支，降低接待标准。较上年支出数减少0.17万元，下降8.5%，主要原因是严格落实中央及地方过</w:t>
      </w:r>
      <w:r w:rsidR="005007E0">
        <w:rPr>
          <w:rFonts w:ascii="方正仿宋_GBK" w:eastAsia="方正仿宋_GBK" w:hAnsi="方正仿宋_GBK" w:cs="方正仿宋_GBK"/>
          <w:sz w:val="32"/>
          <w:szCs w:val="32"/>
          <w:shd w:val="clear" w:color="auto" w:fill="FFFFFF"/>
        </w:rPr>
        <w:t>“紧日子”</w:t>
      </w:r>
      <w:r>
        <w:rPr>
          <w:rFonts w:ascii="方正仿宋_GBK" w:eastAsia="方正仿宋_GBK" w:hAnsi="方正仿宋_GBK" w:cs="方正仿宋_GBK"/>
          <w:sz w:val="32"/>
          <w:szCs w:val="32"/>
          <w:shd w:val="clear" w:color="auto" w:fill="FFFFFF"/>
        </w:rPr>
        <w:t>的要求，压缩非必要接待，严格审核开支，降低接待标准。</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（三）“三公”经费实物量情况</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2024年度本部门因公出国（境）共计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个团组，</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人；公务用车购置</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辆，公务车保有量为</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辆；国内公务接待</w:t>
      </w:r>
      <w:r>
        <w:rPr>
          <w:rFonts w:ascii="方正仿宋_GBK" w:eastAsia="方正仿宋_GBK" w:hAnsi="方正仿宋_GBK" w:cs="方正仿宋_GBK"/>
          <w:sz w:val="32"/>
          <w:szCs w:val="32"/>
        </w:rPr>
        <w:t>22</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211</w:t>
      </w:r>
      <w:r>
        <w:rPr>
          <w:rFonts w:ascii="方正仿宋_GBK" w:eastAsia="方正仿宋_GBK" w:hAnsi="方正仿宋_GBK" w:cs="方正仿宋_GBK"/>
          <w:sz w:val="32"/>
          <w:szCs w:val="32"/>
          <w:shd w:val="clear" w:color="auto" w:fill="FFFFFF"/>
        </w:rPr>
        <w:t>人，其中：国内外事接待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人；国（境）外公务接待</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批次，</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人。2024年本部门人均接待费</w:t>
      </w:r>
      <w:r>
        <w:rPr>
          <w:rFonts w:ascii="方正仿宋_GBK" w:eastAsia="方正仿宋_GBK" w:hAnsi="方正仿宋_GBK" w:cs="方正仿宋_GBK"/>
          <w:sz w:val="32"/>
          <w:szCs w:val="32"/>
        </w:rPr>
        <w:t>86.94</w:t>
      </w:r>
      <w:r>
        <w:rPr>
          <w:rFonts w:ascii="方正仿宋_GBK" w:eastAsia="方正仿宋_GBK" w:hAnsi="方正仿宋_GBK" w:cs="方正仿宋_GBK"/>
          <w:sz w:val="32"/>
          <w:szCs w:val="32"/>
          <w:shd w:val="clear" w:color="auto" w:fill="FFFFFF"/>
        </w:rPr>
        <w:t>元，车均购置费</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万元，车均维护费</w:t>
      </w:r>
      <w:r>
        <w:rPr>
          <w:rFonts w:ascii="方正仿宋_GBK" w:eastAsia="方正仿宋_GBK" w:hAnsi="方正仿宋_GBK" w:cs="方正仿宋_GBK"/>
          <w:sz w:val="32"/>
          <w:szCs w:val="32"/>
        </w:rPr>
        <w:t>4.00</w:t>
      </w:r>
      <w:r>
        <w:rPr>
          <w:rFonts w:ascii="方正仿宋_GBK" w:eastAsia="方正仿宋_GBK" w:hAnsi="方正仿宋_GBK" w:cs="方正仿宋_GBK"/>
          <w:sz w:val="32"/>
          <w:szCs w:val="32"/>
          <w:shd w:val="clear" w:color="auto" w:fill="FFFFFF"/>
        </w:rPr>
        <w:t>万元。</w:t>
      </w:r>
    </w:p>
    <w:p w:rsidR="00455050" w:rsidRDefault="000C51C5">
      <w:pPr>
        <w:pStyle w:val="a7"/>
        <w:spacing w:beforeAutospacing="0" w:after="0" w:afterAutospacing="0" w:line="594" w:lineRule="exact"/>
        <w:ind w:firstLineChars="200" w:firstLine="640"/>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四、其他需要说明的事项</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（一）财政拨款会议费和培训费情况说明</w:t>
      </w:r>
    </w:p>
    <w:p w:rsidR="00455050" w:rsidRDefault="000C51C5">
      <w:pPr>
        <w:pStyle w:val="a7"/>
        <w:shd w:val="clear" w:color="050000" w:fill="auto"/>
        <w:snapToGrid w:val="0"/>
        <w:spacing w:before="0" w:beforeAutospacing="0" w:after="0" w:afterAutospacing="0" w:line="594" w:lineRule="exact"/>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 xml:space="preserve">    本年度会议费支出</w:t>
      </w:r>
      <w:r>
        <w:rPr>
          <w:rFonts w:ascii="方正仿宋_GBK" w:eastAsia="方正仿宋_GBK" w:hAnsi="方正仿宋_GBK" w:cs="方正仿宋_GBK"/>
          <w:sz w:val="32"/>
          <w:szCs w:val="32"/>
        </w:rPr>
        <w:t>1.46</w:t>
      </w:r>
      <w:r>
        <w:rPr>
          <w:rFonts w:ascii="方正仿宋_GBK" w:eastAsia="方正仿宋_GBK" w:hAnsi="方正仿宋_GBK" w:cs="方正仿宋_GBK"/>
          <w:sz w:val="32"/>
          <w:szCs w:val="32"/>
          <w:shd w:val="clear" w:color="auto" w:fill="FFFFFF"/>
        </w:rPr>
        <w:t>万元，与2023年度相比，增加0.03万元，增长2.1%，主要原因是业务需求增加，会议次数增加。本年</w:t>
      </w:r>
      <w:r>
        <w:rPr>
          <w:rFonts w:ascii="方正仿宋_GBK" w:eastAsia="方正仿宋_GBK" w:hAnsi="方正仿宋_GBK" w:cs="方正仿宋_GBK"/>
          <w:sz w:val="32"/>
          <w:szCs w:val="32"/>
          <w:shd w:val="clear" w:color="auto" w:fill="FFFFFF"/>
        </w:rPr>
        <w:lastRenderedPageBreak/>
        <w:t>度培训费支出</w:t>
      </w:r>
      <w:r>
        <w:rPr>
          <w:rFonts w:ascii="方正仿宋_GBK" w:eastAsia="方正仿宋_GBK" w:hAnsi="方正仿宋_GBK" w:cs="方正仿宋_GBK"/>
          <w:sz w:val="32"/>
          <w:szCs w:val="32"/>
        </w:rPr>
        <w:t>1.27</w:t>
      </w:r>
      <w:r>
        <w:rPr>
          <w:rFonts w:ascii="方正仿宋_GBK" w:eastAsia="方正仿宋_GBK" w:hAnsi="方正仿宋_GBK" w:cs="方正仿宋_GBK"/>
          <w:sz w:val="32"/>
          <w:szCs w:val="32"/>
          <w:shd w:val="clear" w:color="auto" w:fill="FFFFFF"/>
        </w:rPr>
        <w:t>万元，与2023年度相比，增加0.10万元，增长8.6%，主要原因是业务需求增加，培训人数增加。</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（二）机关运行经费情况说明</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2024年度本部门机关运行经费支出</w:t>
      </w:r>
      <w:r>
        <w:rPr>
          <w:rFonts w:ascii="方正仿宋_GBK" w:eastAsia="方正仿宋_GBK" w:hAnsi="方正仿宋_GBK" w:cs="方正仿宋_GBK"/>
          <w:sz w:val="32"/>
          <w:szCs w:val="32"/>
        </w:rPr>
        <w:t>57.65</w:t>
      </w:r>
      <w:r>
        <w:rPr>
          <w:rFonts w:ascii="方正仿宋_GBK" w:eastAsia="方正仿宋_GBK" w:hAnsi="方正仿宋_GBK" w:cs="方正仿宋_GBK"/>
          <w:sz w:val="32"/>
          <w:szCs w:val="32"/>
          <w:shd w:val="clear" w:color="auto" w:fill="FFFFFF"/>
        </w:rPr>
        <w:t>万元，机关运行经费主要用于开支</w:t>
      </w:r>
      <w:r>
        <w:rPr>
          <w:rFonts w:ascii="Times New Roman" w:eastAsia="方正仿宋_GBK" w:hAnsi="方正仿宋_GBK"/>
          <w:kern w:val="2"/>
          <w:sz w:val="32"/>
          <w:szCs w:val="32"/>
        </w:rPr>
        <w:t>办公费、邮电费、差旅费、维修费、会议费、培训费、公务接待费、劳务费、工会经费、福利费、公务车运行维护费、其他交通费用、其他商品和服务支出、办公设备购置。</w:t>
      </w:r>
      <w:r>
        <w:rPr>
          <w:rFonts w:ascii="方正仿宋_GBK" w:eastAsia="方正仿宋_GBK" w:hAnsi="方正仿宋_GBK" w:cs="方正仿宋_GBK"/>
          <w:sz w:val="32"/>
          <w:szCs w:val="32"/>
          <w:shd w:val="clear" w:color="auto" w:fill="FFFFFF"/>
        </w:rPr>
        <w:t>机关运行经费较上年支出数增加5.16万元，增长9.8%，</w:t>
      </w:r>
      <w:r w:rsidR="005007E0">
        <w:rPr>
          <w:rFonts w:ascii="方正仿宋_GBK" w:eastAsia="方正仿宋_GBK" w:hAnsi="方正仿宋_GBK" w:cs="方正仿宋_GBK"/>
          <w:sz w:val="32"/>
          <w:szCs w:val="32"/>
          <w:shd w:val="clear" w:color="auto" w:fill="FFFFFF"/>
        </w:rPr>
        <w:t>主</w:t>
      </w:r>
      <w:r>
        <w:rPr>
          <w:rFonts w:ascii="方正仿宋_GBK" w:eastAsia="方正仿宋_GBK" w:hAnsi="方正仿宋_GBK" w:cs="方正仿宋_GBK"/>
          <w:sz w:val="32"/>
          <w:szCs w:val="32"/>
          <w:shd w:val="clear" w:color="auto" w:fill="FFFFFF"/>
        </w:rPr>
        <w:t>要原因是工会经费增加，临聘人员及公益性岗位人员薪酬标准提高、社保缴费基数提高。</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（三）国有资产占用情况说明</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截至2024年12月31日，本部门共有车辆</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辆，其中，副部（省）级及以上领导用车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辆、主要负责人用车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辆、机要通信用车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辆、应急保障用车</w:t>
      </w:r>
      <w:r>
        <w:rPr>
          <w:rFonts w:ascii="方正仿宋_GBK" w:eastAsia="方正仿宋_GBK" w:hAnsi="方正仿宋_GBK" w:cs="方正仿宋_GBK"/>
          <w:sz w:val="32"/>
          <w:szCs w:val="32"/>
        </w:rPr>
        <w:t>2</w:t>
      </w:r>
      <w:r>
        <w:rPr>
          <w:rFonts w:ascii="方正仿宋_GBK" w:eastAsia="方正仿宋_GBK" w:hAnsi="方正仿宋_GBK" w:cs="方正仿宋_GBK"/>
          <w:sz w:val="32"/>
          <w:szCs w:val="32"/>
          <w:shd w:val="clear" w:color="auto" w:fill="FFFFFF"/>
        </w:rPr>
        <w:t>辆、执法执勤用车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辆，特种专业技术用车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辆，离退休干部用车</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辆。单价100万元（含）以上专用设备</w:t>
      </w:r>
      <w:r>
        <w:rPr>
          <w:rFonts w:ascii="方正仿宋_GBK" w:eastAsia="方正仿宋_GBK" w:hAnsi="方正仿宋_GBK" w:cs="方正仿宋_GBK"/>
          <w:sz w:val="32"/>
          <w:szCs w:val="32"/>
        </w:rPr>
        <w:t>0</w:t>
      </w:r>
      <w:r>
        <w:rPr>
          <w:rFonts w:ascii="方正仿宋_GBK" w:eastAsia="方正仿宋_GBK" w:hAnsi="方正仿宋_GBK" w:cs="方正仿宋_GBK"/>
          <w:sz w:val="32"/>
          <w:szCs w:val="32"/>
          <w:shd w:val="clear" w:color="auto" w:fill="FFFFFF"/>
        </w:rPr>
        <w:t>台（套）。</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（四）政府采购支出情况说明</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Fonts w:ascii="方正仿宋_GBK" w:eastAsia="方正仿宋_GBK" w:hAnsi="方正仿宋_GBK" w:cs="方正仿宋_GBK"/>
          <w:sz w:val="32"/>
          <w:szCs w:val="32"/>
          <w:shd w:val="clear" w:color="auto" w:fill="FFFFFF"/>
        </w:rPr>
        <w:t>2024年度本部门政府采购支出总额</w:t>
      </w:r>
      <w:r>
        <w:rPr>
          <w:rFonts w:ascii="方正仿宋_GBK" w:eastAsia="方正仿宋_GBK" w:hAnsi="方正仿宋_GBK" w:cs="方正仿宋_GBK"/>
          <w:sz w:val="32"/>
          <w:szCs w:val="32"/>
        </w:rPr>
        <w:t>99.61</w:t>
      </w:r>
      <w:r>
        <w:rPr>
          <w:rFonts w:ascii="方正仿宋_GBK" w:eastAsia="方正仿宋_GBK" w:hAnsi="方正仿宋_GBK" w:cs="方正仿宋_GBK"/>
          <w:sz w:val="32"/>
          <w:szCs w:val="32"/>
          <w:shd w:val="clear" w:color="auto" w:fill="FFFFFF"/>
        </w:rPr>
        <w:t>万元，其中：政府采购货物支出</w:t>
      </w:r>
      <w:r>
        <w:rPr>
          <w:rFonts w:ascii="方正仿宋_GBK" w:eastAsia="方正仿宋_GBK" w:hAnsi="方正仿宋_GBK" w:cs="方正仿宋_GBK"/>
          <w:sz w:val="32"/>
          <w:szCs w:val="32"/>
        </w:rPr>
        <w:t>99.61</w:t>
      </w:r>
      <w:r>
        <w:rPr>
          <w:rFonts w:ascii="方正仿宋_GBK" w:eastAsia="方正仿宋_GBK" w:hAnsi="方正仿宋_GBK" w:cs="方正仿宋_GBK"/>
          <w:sz w:val="32"/>
          <w:szCs w:val="32"/>
          <w:shd w:val="clear" w:color="auto" w:fill="FFFFFF"/>
        </w:rPr>
        <w:t>万元、政府采购工程支出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万元、政府采购服务支出</w:t>
      </w:r>
      <w:r>
        <w:rPr>
          <w:rFonts w:ascii="方正仿宋_GBK" w:eastAsia="方正仿宋_GBK" w:hAnsi="方正仿宋_GBK" w:cs="方正仿宋_GBK"/>
          <w:sz w:val="32"/>
          <w:szCs w:val="32"/>
        </w:rPr>
        <w:t>0.00</w:t>
      </w:r>
      <w:r>
        <w:rPr>
          <w:rFonts w:ascii="方正仿宋_GBK" w:eastAsia="方正仿宋_GBK" w:hAnsi="方正仿宋_GBK" w:cs="方正仿宋_GBK"/>
          <w:sz w:val="32"/>
          <w:szCs w:val="32"/>
          <w:shd w:val="clear" w:color="auto" w:fill="FFFFFF"/>
        </w:rPr>
        <w:t>万元。授予中小企业合同金额</w:t>
      </w:r>
      <w:r>
        <w:rPr>
          <w:rFonts w:ascii="方正仿宋_GBK" w:eastAsia="方正仿宋_GBK" w:hAnsi="方正仿宋_GBK" w:cs="方正仿宋_GBK"/>
          <w:sz w:val="32"/>
          <w:szCs w:val="32"/>
        </w:rPr>
        <w:t>99.61万</w:t>
      </w:r>
      <w:r>
        <w:rPr>
          <w:rFonts w:ascii="方正仿宋_GBK" w:eastAsia="方正仿宋_GBK" w:hAnsi="方正仿宋_GBK" w:cs="方正仿宋_GBK"/>
          <w:sz w:val="32"/>
          <w:szCs w:val="32"/>
          <w:shd w:val="clear" w:color="auto" w:fill="FFFFFF"/>
        </w:rPr>
        <w:t>元，占政府采购支出总额的</w:t>
      </w:r>
      <w:r w:rsidR="005007E0">
        <w:rPr>
          <w:rFonts w:ascii="方正仿宋_GBK" w:eastAsia="方正仿宋_GBK" w:hAnsi="方正仿宋_GBK" w:cs="方正仿宋_GBK"/>
          <w:sz w:val="32"/>
          <w:szCs w:val="32"/>
        </w:rPr>
        <w:t>100.0</w:t>
      </w:r>
      <w:r>
        <w:rPr>
          <w:rFonts w:ascii="方正仿宋_GBK" w:eastAsia="方正仿宋_GBK" w:hAnsi="方正仿宋_GBK" w:cs="方正仿宋_GBK"/>
          <w:sz w:val="32"/>
          <w:szCs w:val="32"/>
          <w:shd w:val="clear" w:color="auto" w:fill="FFFFFF"/>
        </w:rPr>
        <w:t>%，其中：授予小微企业合同金额</w:t>
      </w:r>
      <w:r>
        <w:rPr>
          <w:rFonts w:ascii="方正仿宋_GBK" w:eastAsia="方正仿宋_GBK" w:hAnsi="方正仿宋_GBK" w:cs="方正仿宋_GBK"/>
          <w:sz w:val="32"/>
          <w:szCs w:val="32"/>
        </w:rPr>
        <w:t>99.61</w:t>
      </w:r>
      <w:r>
        <w:rPr>
          <w:rFonts w:ascii="方正仿宋_GBK" w:eastAsia="方正仿宋_GBK" w:hAnsi="方正仿宋_GBK" w:cs="方正仿宋_GBK"/>
          <w:sz w:val="32"/>
          <w:szCs w:val="32"/>
          <w:shd w:val="clear" w:color="auto" w:fill="FFFFFF"/>
        </w:rPr>
        <w:lastRenderedPageBreak/>
        <w:t>万元，占政府采购支出总额的</w:t>
      </w:r>
      <w:r w:rsidR="005007E0">
        <w:rPr>
          <w:rFonts w:ascii="方正仿宋_GBK" w:eastAsia="方正仿宋_GBK" w:hAnsi="方正仿宋_GBK" w:cs="方正仿宋_GBK"/>
          <w:sz w:val="32"/>
          <w:szCs w:val="32"/>
        </w:rPr>
        <w:t>100.0</w:t>
      </w:r>
      <w:r>
        <w:rPr>
          <w:rFonts w:ascii="方正仿宋_GBK" w:eastAsia="方正仿宋_GBK" w:hAnsi="方正仿宋_GBK" w:cs="方正仿宋_GBK"/>
          <w:sz w:val="32"/>
          <w:szCs w:val="32"/>
          <w:shd w:val="clear" w:color="auto" w:fill="FFFFFF"/>
        </w:rPr>
        <w:t>%。主要用于采购春节慰问礼包、双拥慰问品。</w:t>
      </w:r>
    </w:p>
    <w:p w:rsidR="00455050" w:rsidRPr="005007E0" w:rsidRDefault="005007E0" w:rsidP="005007E0">
      <w:pPr>
        <w:pStyle w:val="Char"/>
        <w:spacing w:before="0" w:beforeAutospacing="0" w:after="0" w:afterAutospacing="0" w:line="596" w:lineRule="exact"/>
        <w:ind w:firstLineChars="200" w:firstLine="643"/>
        <w:rPr>
          <w:rStyle w:val="a8"/>
          <w:rFonts w:ascii="黑体" w:eastAsia="黑体" w:hAnsi="黑体" w:cs="黑体"/>
          <w:sz w:val="32"/>
          <w:szCs w:val="32"/>
          <w:shd w:val="clear" w:color="auto" w:fill="FFFFFF"/>
        </w:rPr>
      </w:pPr>
      <w:r>
        <w:rPr>
          <w:rStyle w:val="a8"/>
          <w:rFonts w:ascii="黑体" w:eastAsia="黑体" w:hAnsi="黑体" w:cs="黑体" w:hint="eastAsia"/>
          <w:sz w:val="32"/>
          <w:szCs w:val="32"/>
          <w:shd w:val="clear" w:color="auto" w:fill="FFFFFF"/>
        </w:rPr>
        <w:t>五、2024年度预算绩效管理情况说明</w:t>
      </w:r>
    </w:p>
    <w:p w:rsidR="00455050" w:rsidRDefault="000C51C5">
      <w:pPr>
        <w:pStyle w:val="1"/>
        <w:shd w:val="clear" w:color="050000" w:fill="auto"/>
        <w:autoSpaceDE w:val="0"/>
        <w:spacing w:line="594" w:lineRule="exact"/>
        <w:ind w:firstLine="640"/>
        <w:rPr>
          <w:rFonts w:ascii="方正楷体_GBK" w:eastAsia="方正楷体_GBK" w:hAnsi="方正楷体_GBK" w:cs="方正楷体_GBK"/>
          <w:sz w:val="32"/>
          <w:szCs w:val="32"/>
          <w:shd w:val="clear" w:color="auto" w:fill="FFFFFF"/>
        </w:rPr>
      </w:pPr>
      <w:r>
        <w:rPr>
          <w:rFonts w:ascii="方正楷体_GBK" w:eastAsia="方正楷体_GBK" w:hAnsi="方正楷体_GBK" w:cs="方正楷体_GBK" w:hint="eastAsia"/>
          <w:sz w:val="32"/>
          <w:szCs w:val="32"/>
          <w:shd w:val="clear" w:color="auto" w:fill="FFFFFF"/>
        </w:rPr>
        <w:t>（一）部门自评情况</w:t>
      </w:r>
    </w:p>
    <w:p w:rsidR="00455050" w:rsidRDefault="000C51C5">
      <w:pPr>
        <w:pStyle w:val="1"/>
        <w:shd w:val="clear" w:color="050000" w:fill="auto"/>
        <w:autoSpaceDE w:val="0"/>
        <w:spacing w:line="594"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根据预算绩效管理要求，我部门对部门整体和22个二级项目开展了绩效自评，涉及财政拨款项目支出资金10678.99万元。</w:t>
      </w:r>
    </w:p>
    <w:p w:rsidR="00455050" w:rsidRDefault="000C51C5">
      <w:pPr>
        <w:pStyle w:val="Char"/>
        <w:shd w:val="clear" w:color="010000" w:fill="auto"/>
        <w:autoSpaceDE w:val="0"/>
        <w:spacing w:before="0" w:beforeAutospacing="0" w:line="600" w:lineRule="exact"/>
        <w:rPr>
          <w:rFonts w:ascii="方正仿宋_GBK" w:eastAsia="方正仿宋_GBK" w:hAnsi="方正仿宋_GBK" w:cs="方正仿宋_GBK"/>
          <w:sz w:val="28"/>
          <w:szCs w:val="28"/>
          <w:shd w:val="clear" w:color="auto" w:fill="FFFFFF"/>
        </w:rPr>
      </w:pPr>
      <w:r>
        <w:rPr>
          <w:rFonts w:ascii="方正仿宋_GBK" w:eastAsia="方正仿宋_GBK" w:hAnsi="方正仿宋_GBK" w:cs="方正仿宋_GBK" w:hint="eastAsia"/>
          <w:sz w:val="28"/>
          <w:szCs w:val="28"/>
          <w:shd w:val="clear" w:color="auto" w:fill="FFFFFF"/>
        </w:rPr>
        <w:t>部门整体绩效自评表</w:t>
      </w:r>
    </w:p>
    <w:p w:rsidR="00455050" w:rsidRDefault="000C51C5">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3" o:spid="_x0000_s1029" type="#_x0000_t75" style="position:absolute;margin-left:-.7pt;margin-top:12.15pt;width:450.05pt;height:249.75pt;z-index:251658240;mso-width-relative:page;mso-height-relative:page">
            <v:imagedata r:id="rId8" o:title=""/>
          </v:shape>
        </w:pict>
      </w: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0C51C5">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28"/>
          <w:szCs w:val="28"/>
          <w:shd w:val="clear" w:color="auto" w:fill="FFFFFF"/>
        </w:rPr>
        <w:t>项目支出绩效自评表（二级项目）</w:t>
      </w: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5007E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bookmarkStart w:id="0" w:name="_GoBack"/>
      <w:r>
        <w:lastRenderedPageBreak/>
        <w:pict>
          <v:shape id="图片 2" o:spid="_x0000_s1030" type="#_x0000_t75" style="position:absolute;margin-left:.7pt;margin-top:25.2pt;width:450.85pt;height:246.5pt;z-index:251659264;mso-width-relative:page;mso-height-relative:page">
            <v:imagedata r:id="rId9" o:title=""/>
          </v:shape>
        </w:pict>
      </w:r>
      <w:bookmarkEnd w:id="0"/>
    </w:p>
    <w:p w:rsidR="005007E0" w:rsidRDefault="005007E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5007E0" w:rsidRDefault="005007E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5007E0" w:rsidRDefault="005007E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5007E0" w:rsidRDefault="005007E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5007E0" w:rsidRDefault="005007E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5007E0" w:rsidRDefault="005007E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5007E0" w:rsidRDefault="005007E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5007E0" w:rsidRDefault="005007E0">
      <w:pPr>
        <w:pStyle w:val="Char"/>
        <w:shd w:val="clear" w:color="050000" w:fill="auto"/>
        <w:autoSpaceDE w:val="0"/>
        <w:spacing w:before="0" w:beforeAutospacing="0" w:after="0" w:afterAutospacing="0" w:line="594" w:lineRule="exact"/>
        <w:rPr>
          <w:rFonts w:ascii="方正仿宋_GBK" w:eastAsia="方正仿宋_GBK" w:hAnsi="方正仿宋_GBK" w:cs="方正仿宋_GBK" w:hint="eastAsia"/>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0C51C5">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r>
        <w:pict>
          <v:shape id="_x0000_s1031" type="#_x0000_t75" style="position:absolute;margin-left:2.8pt;margin-top:7.8pt;width:450.7pt;height:247.05pt;z-index:251660288;mso-width-relative:page;mso-height-relative:page">
            <v:imagedata r:id="rId10" o:title=""/>
          </v:shape>
        </w:pict>
      </w: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0C51C5">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r>
        <w:pict>
          <v:shape id="图片 4" o:spid="_x0000_s1032" type="#_x0000_t75" style="position:absolute;margin-left:2.05pt;margin-top:12.05pt;width:450.05pt;height:241.2pt;z-index:251661312;mso-width-relative:page;mso-height-relative:page">
            <v:imagedata r:id="rId11" o:title=""/>
          </v:shape>
        </w:pict>
      </w: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0C51C5">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r>
        <w:rPr>
          <w:rFonts w:ascii="Times New Roman" w:hAnsi="Times New Roman"/>
        </w:rPr>
        <w:pict>
          <v:shape id="_x0000_s1033" type="#_x0000_t75" style="position:absolute;margin-left:-1.5pt;margin-top:8.75pt;width:451.1pt;height:251.7pt;z-index:251662336;mso-width-relative:page;mso-height-relative:page">
            <v:imagedata r:id="rId12" o:title=""/>
          </v:shape>
        </w:pict>
      </w: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0C51C5">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r>
        <w:rPr>
          <w:rFonts w:ascii="Times New Roman" w:hAnsi="Times New Roman"/>
        </w:rPr>
        <w:lastRenderedPageBreak/>
        <w:pict>
          <v:shape id="_x0000_s1034" type="#_x0000_t75" style="position:absolute;margin-left:-1.65pt;margin-top:5.45pt;width:451.1pt;height:266.6pt;z-index:251663360;mso-width-relative:page;mso-height-relative:page">
            <v:imagedata r:id="rId13" o:title=""/>
          </v:shape>
        </w:pict>
      </w: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Char"/>
        <w:shd w:val="clear" w:color="050000" w:fill="auto"/>
        <w:autoSpaceDE w:val="0"/>
        <w:spacing w:before="0" w:beforeAutospacing="0" w:after="0" w:afterAutospacing="0" w:line="594" w:lineRule="exact"/>
        <w:rPr>
          <w:rFonts w:ascii="方正仿宋_GBK" w:eastAsia="方正仿宋_GBK" w:hAnsi="方正仿宋_GBK" w:cs="方正仿宋_GBK"/>
          <w:sz w:val="32"/>
          <w:szCs w:val="32"/>
          <w:shd w:val="clear" w:color="auto" w:fill="FFFFFF"/>
        </w:rPr>
      </w:pPr>
    </w:p>
    <w:p w:rsidR="00455050" w:rsidRDefault="00455050">
      <w:pPr>
        <w:pStyle w:val="1"/>
        <w:shd w:val="clear" w:color="050000" w:fill="auto"/>
        <w:autoSpaceDE w:val="0"/>
        <w:spacing w:line="594" w:lineRule="exact"/>
        <w:ind w:firstLineChars="0" w:firstLine="0"/>
        <w:rPr>
          <w:rFonts w:ascii="楷体" w:eastAsia="楷体" w:hAnsi="楷体" w:cs="楷体"/>
          <w:b/>
          <w:bCs/>
          <w:sz w:val="32"/>
          <w:szCs w:val="32"/>
          <w:shd w:val="clear" w:color="auto" w:fill="FFFFFF"/>
        </w:rPr>
      </w:pPr>
    </w:p>
    <w:p w:rsidR="00455050" w:rsidRDefault="000C51C5">
      <w:pPr>
        <w:pStyle w:val="1"/>
        <w:numPr>
          <w:ilvl w:val="0"/>
          <w:numId w:val="1"/>
        </w:numPr>
        <w:shd w:val="clear" w:color="060000" w:fill="auto"/>
        <w:autoSpaceDE w:val="0"/>
        <w:spacing w:line="594" w:lineRule="exact"/>
        <w:ind w:firstLine="640"/>
        <w:rPr>
          <w:rFonts w:ascii="方正楷体_GBK" w:eastAsia="方正楷体_GBK" w:hAnsi="方正楷体_GBK" w:cs="方正楷体_GBK"/>
          <w:bCs/>
          <w:sz w:val="32"/>
          <w:szCs w:val="32"/>
          <w:shd w:val="clear" w:color="auto" w:fill="FFFFFF"/>
        </w:rPr>
      </w:pPr>
      <w:r>
        <w:rPr>
          <w:rFonts w:ascii="方正楷体_GBK" w:eastAsia="方正楷体_GBK" w:hAnsi="方正楷体_GBK" w:cs="方正楷体_GBK" w:hint="eastAsia"/>
          <w:bCs/>
          <w:sz w:val="32"/>
          <w:szCs w:val="32"/>
          <w:shd w:val="clear" w:color="auto" w:fill="FFFFFF"/>
        </w:rPr>
        <w:t>部门绩效评价情况</w:t>
      </w:r>
    </w:p>
    <w:p w:rsidR="00455050" w:rsidRDefault="000C51C5">
      <w:pPr>
        <w:pStyle w:val="1"/>
        <w:shd w:val="clear" w:color="060000" w:fill="auto"/>
        <w:autoSpaceDE w:val="0"/>
        <w:spacing w:line="594" w:lineRule="exact"/>
        <w:ind w:firstLine="64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我部门未组织开展绩效评价。</w:t>
      </w:r>
    </w:p>
    <w:p w:rsidR="00455050" w:rsidRDefault="000C51C5">
      <w:pPr>
        <w:pStyle w:val="1"/>
        <w:numPr>
          <w:ilvl w:val="0"/>
          <w:numId w:val="1"/>
        </w:numPr>
        <w:shd w:val="clear" w:color="060000" w:fill="auto"/>
        <w:autoSpaceDE w:val="0"/>
        <w:spacing w:line="594" w:lineRule="exact"/>
        <w:ind w:firstLine="640"/>
        <w:rPr>
          <w:rFonts w:ascii="方正楷体_GBK" w:eastAsia="方正楷体_GBK" w:hAnsi="方正楷体_GBK" w:cs="方正楷体_GBK"/>
          <w:bCs/>
          <w:sz w:val="32"/>
          <w:szCs w:val="32"/>
          <w:shd w:val="clear" w:color="auto" w:fill="FFFFFF"/>
        </w:rPr>
      </w:pPr>
      <w:r>
        <w:rPr>
          <w:rFonts w:ascii="方正楷体_GBK" w:eastAsia="方正楷体_GBK" w:hAnsi="方正楷体_GBK" w:cs="方正楷体_GBK" w:hint="eastAsia"/>
          <w:bCs/>
          <w:sz w:val="32"/>
          <w:szCs w:val="32"/>
          <w:shd w:val="clear" w:color="auto" w:fill="FFFFFF"/>
        </w:rPr>
        <w:t>财政绩效评价情况</w:t>
      </w:r>
    </w:p>
    <w:p w:rsidR="00455050" w:rsidRDefault="000C51C5">
      <w:pPr>
        <w:pStyle w:val="1"/>
        <w:shd w:val="clear" w:color="060000" w:fill="auto"/>
        <w:autoSpaceDE w:val="0"/>
        <w:spacing w:line="594" w:lineRule="exact"/>
        <w:ind w:leftChars="200" w:left="480" w:firstLineChars="0" w:firstLine="0"/>
        <w:rPr>
          <w:rFonts w:ascii="方正仿宋_GBK" w:eastAsia="方正仿宋_GBK" w:hAnsi="方正仿宋_GBK" w:cs="方正仿宋_GBK"/>
          <w:sz w:val="32"/>
          <w:szCs w:val="32"/>
          <w:shd w:val="clear" w:color="auto" w:fill="FFFFFF"/>
        </w:rPr>
      </w:pPr>
      <w:r>
        <w:rPr>
          <w:rFonts w:ascii="方正仿宋_GBK" w:eastAsia="方正仿宋_GBK" w:hAnsi="方正仿宋_GBK" w:cs="方正仿宋_GBK" w:hint="eastAsia"/>
          <w:sz w:val="32"/>
          <w:szCs w:val="32"/>
          <w:shd w:val="clear" w:color="auto" w:fill="FFFFFF"/>
        </w:rPr>
        <w:t>县财政局未委托第三方对我部门开展绩效评价。</w:t>
      </w:r>
    </w:p>
    <w:p w:rsidR="00455050" w:rsidRDefault="000C51C5">
      <w:pPr>
        <w:pStyle w:val="a7"/>
        <w:spacing w:beforeAutospacing="0" w:after="0" w:afterAutospacing="0" w:line="594" w:lineRule="exact"/>
        <w:ind w:firstLineChars="200" w:firstLine="640"/>
        <w:rPr>
          <w:rStyle w:val="a8"/>
          <w:rFonts w:ascii="方正仿宋_GBK" w:eastAsia="方正仿宋_GBK" w:hAnsi="方正仿宋_GBK" w:cs="方正仿宋_GBK" w:hint="default"/>
          <w:b w:val="0"/>
          <w:sz w:val="32"/>
          <w:szCs w:val="32"/>
          <w:shd w:val="clear" w:color="auto" w:fill="FFFFFF"/>
        </w:rPr>
      </w:pPr>
      <w:r>
        <w:rPr>
          <w:rStyle w:val="a8"/>
          <w:rFonts w:ascii="方正仿宋_GBK" w:eastAsia="方正仿宋_GBK" w:hAnsi="方正仿宋_GBK" w:cs="方正仿宋_GBK"/>
          <w:b w:val="0"/>
          <w:sz w:val="32"/>
          <w:szCs w:val="32"/>
          <w:shd w:val="clear" w:color="auto" w:fill="FFFFFF"/>
        </w:rPr>
        <w:t xml:space="preserve">  </w:t>
      </w:r>
      <w:r>
        <w:rPr>
          <w:rStyle w:val="a8"/>
          <w:rFonts w:ascii="方正黑体_GBK" w:eastAsia="方正黑体_GBK" w:hAnsi="方正黑体_GBK" w:cs="方正黑体_GBK"/>
          <w:b w:val="0"/>
          <w:sz w:val="32"/>
          <w:szCs w:val="32"/>
          <w:shd w:val="clear" w:color="auto" w:fill="FFFFFF"/>
        </w:rPr>
        <w:t>六、专业名词解释</w:t>
      </w:r>
    </w:p>
    <w:p w:rsidR="00455050" w:rsidRDefault="000C51C5">
      <w:pPr>
        <w:pStyle w:val="a7"/>
        <w:shd w:val="clear" w:color="050000" w:fill="auto"/>
        <w:snapToGrid w:val="0"/>
        <w:spacing w:before="0" w:beforeAutospacing="0" w:after="0" w:afterAutospacing="0" w:line="594" w:lineRule="exact"/>
        <w:jc w:val="both"/>
        <w:rPr>
          <w:rFonts w:ascii="方正仿宋_GBK" w:eastAsia="方正仿宋_GBK" w:hAnsi="方正仿宋_GBK" w:cs="方正仿宋_GBK" w:hint="default"/>
          <w:sz w:val="32"/>
          <w:szCs w:val="32"/>
        </w:rPr>
      </w:pPr>
      <w:r>
        <w:rPr>
          <w:rFonts w:ascii="方正仿宋_GBK" w:eastAsia="方正仿宋_GBK" w:hAnsi="方正仿宋_GBK" w:cs="方正仿宋_GBK"/>
          <w:b/>
          <w:bCs/>
          <w:sz w:val="32"/>
          <w:szCs w:val="32"/>
          <w:shd w:val="clear" w:color="auto" w:fill="FFFFFF"/>
        </w:rPr>
        <w:t xml:space="preserve">     </w:t>
      </w:r>
      <w:r>
        <w:rPr>
          <w:rFonts w:ascii="方正楷体_GBK" w:eastAsia="方正楷体_GBK" w:hAnsi="方正楷体_GBK" w:cs="方正楷体_GBK"/>
          <w:bCs/>
          <w:sz w:val="32"/>
          <w:szCs w:val="32"/>
          <w:shd w:val="clear" w:color="auto" w:fill="FFFFFF"/>
        </w:rPr>
        <w:t>（一）财政拨款收入：</w:t>
      </w:r>
      <w:r>
        <w:rPr>
          <w:rFonts w:ascii="方正仿宋_GBK" w:eastAsia="方正仿宋_GBK" w:hAnsi="方正仿宋_GBK" w:cs="方正仿宋_GBK"/>
          <w:sz w:val="32"/>
          <w:szCs w:val="32"/>
          <w:shd w:val="clear" w:color="auto" w:fill="FFFFFF"/>
        </w:rPr>
        <w:t>指本年度从本级财政部门取得的财政拨款，包括一般公共预算财政拨款和政府性基金预算财政拨款。</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 （二）事业收入</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指事业单位开展专业业务活动及其辅助活动取得的现金流入；事业单位收到的财政专户实际核拨的教育收费等资金在此反映。</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（三）经营收入</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指事业单位在专业业务活动及其辅助活动之外开展非独立核算经营活动取得的现金流入。</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shd w:val="clear" w:color="auto" w:fill="FFFFFF"/>
        </w:rPr>
      </w:pPr>
      <w:r>
        <w:rPr>
          <w:rStyle w:val="a8"/>
          <w:rFonts w:ascii="方正楷体_GBK" w:eastAsia="方正楷体_GBK" w:hAnsi="方正楷体_GBK" w:cs="方正楷体_GBK"/>
          <w:b w:val="0"/>
          <w:bCs/>
          <w:sz w:val="32"/>
          <w:szCs w:val="32"/>
          <w:shd w:val="clear" w:color="auto" w:fill="FFFFFF"/>
        </w:rPr>
        <w:lastRenderedPageBreak/>
        <w:t>（四）其他收入</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（五）使用非财政拨款结余</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（六）年初结转和结余</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指单位上年结转本年使用的基本支出结转、项目支出结转和结余、经营结余。</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（七）结余分配</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指单位按照国家有关规定，缴纳所得税、提取专用基金、转入非财政拨款结余等当年结余的分配情况。</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（八）年末结转和结余</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指单位结转下年的基本支出结转、项目支出结转和结余、经营结余。</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（九）基本支出</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lastRenderedPageBreak/>
        <w:t>（十）项目支出</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指在基本支出之外为完成特定行政任务和事业发展目标所发生的支出。</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（十一）经营支出</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指事业单位在专业业务活动及其辅助活动之外开展非独立核算经营活动发生的支出。</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（十二）“三公”经费</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（十三）机关运行经费</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（十四）工资福利支出（支出经济分类科目类级）</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反映单位开支的在职职工和编制外长期聘用人员的各类劳动报酬，以及为上述人员缴纳的各项社会保险费等。</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lastRenderedPageBreak/>
        <w:t>（十五）商品和服务支出（支出经济分类科目类级）</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反映单位购买商品和服务的支出（不包括用于购置固定资产的支出、战略性和应急储备支出）。</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（十六）对个人和家庭的补助（支出经济分类科目类级）</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反映用于对个人和家庭的补助支出。</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Style w:val="a8"/>
          <w:rFonts w:ascii="方正楷体_GBK" w:eastAsia="方正楷体_GBK" w:hAnsi="方正楷体_GBK" w:cs="方正楷体_GBK"/>
          <w:b w:val="0"/>
          <w:bCs/>
          <w:sz w:val="32"/>
          <w:szCs w:val="32"/>
          <w:shd w:val="clear" w:color="auto" w:fill="FFFFFF"/>
        </w:rPr>
        <w:t>（十七）其他资本性支出（支出经济分类科目类级）</w:t>
      </w:r>
      <w:r>
        <w:rPr>
          <w:rFonts w:ascii="方正楷体_GBK" w:eastAsia="方正楷体_GBK" w:hAnsi="方正楷体_GBK" w:cs="方正楷体_GBK"/>
          <w:bCs/>
          <w:sz w:val="32"/>
          <w:szCs w:val="32"/>
          <w:shd w:val="clear" w:color="auto" w:fill="FFFFFF"/>
        </w:rPr>
        <w:t>：</w:t>
      </w:r>
      <w:r>
        <w:rPr>
          <w:rFonts w:ascii="方正仿宋_GBK" w:eastAsia="方正仿宋_GBK" w:hAnsi="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rsidR="00455050" w:rsidRDefault="000C51C5">
      <w:pPr>
        <w:pStyle w:val="a7"/>
        <w:spacing w:beforeAutospacing="0" w:after="0" w:afterAutospacing="0" w:line="594" w:lineRule="exact"/>
        <w:ind w:firstLineChars="200" w:firstLine="640"/>
        <w:rPr>
          <w:rStyle w:val="a8"/>
          <w:rFonts w:ascii="方正黑体_GBK" w:eastAsia="方正黑体_GBK" w:hAnsi="方正黑体_GBK" w:cs="方正黑体_GBK" w:hint="default"/>
          <w:b w:val="0"/>
          <w:bCs/>
          <w:sz w:val="32"/>
          <w:szCs w:val="32"/>
          <w:shd w:val="clear" w:color="auto" w:fill="FFFFFF"/>
        </w:rPr>
      </w:pPr>
      <w:r>
        <w:rPr>
          <w:rStyle w:val="a8"/>
          <w:rFonts w:ascii="方正黑体_GBK" w:eastAsia="方正黑体_GBK" w:hAnsi="方正黑体_GBK" w:cs="方正黑体_GBK"/>
          <w:b w:val="0"/>
          <w:bCs/>
          <w:sz w:val="32"/>
          <w:szCs w:val="32"/>
          <w:shd w:val="clear" w:color="auto" w:fill="FFFFFF"/>
        </w:rPr>
        <w:t>七、决算公开联系方式及信息反馈渠道</w:t>
      </w:r>
    </w:p>
    <w:p w:rsidR="00455050" w:rsidRDefault="000C51C5">
      <w:pPr>
        <w:pStyle w:val="a7"/>
        <w:shd w:val="clear" w:color="050000" w:fill="auto"/>
        <w:snapToGrid w:val="0"/>
        <w:spacing w:before="0" w:beforeAutospacing="0" w:after="0" w:afterAutospacing="0" w:line="594" w:lineRule="exact"/>
        <w:ind w:firstLineChars="200" w:firstLine="640"/>
        <w:jc w:val="both"/>
        <w:rPr>
          <w:rFonts w:ascii="方正仿宋_GBK" w:eastAsia="方正仿宋_GBK" w:hAnsi="方正仿宋_GBK" w:cs="方正仿宋_GBK" w:hint="default"/>
          <w:sz w:val="32"/>
          <w:szCs w:val="32"/>
        </w:rPr>
      </w:pPr>
      <w:r>
        <w:rPr>
          <w:rFonts w:ascii="方正仿宋_GBK" w:eastAsia="方正仿宋_GBK" w:hAnsi="方正仿宋_GBK" w:cs="方正仿宋_GBK"/>
          <w:sz w:val="32"/>
          <w:szCs w:val="32"/>
          <w:shd w:val="clear" w:color="auto" w:fill="FFFFFF"/>
        </w:rPr>
        <w:t>本单位决算公开信息反馈和联系方式：夏老师023-81869599</w:t>
      </w:r>
    </w:p>
    <w:p w:rsidR="00455050" w:rsidRDefault="00455050">
      <w:pPr>
        <w:pStyle w:val="1"/>
        <w:shd w:val="clear" w:color="050000" w:fill="auto"/>
        <w:autoSpaceDE w:val="0"/>
        <w:spacing w:line="594" w:lineRule="exact"/>
        <w:ind w:firstLineChars="0" w:firstLine="0"/>
        <w:rPr>
          <w:rStyle w:val="a8"/>
          <w:rFonts w:ascii="方正仿宋_GBK" w:eastAsia="方正仿宋_GBK" w:hAnsi="方正仿宋_GBK" w:cs="方正仿宋_GBK"/>
          <w:sz w:val="32"/>
          <w:szCs w:val="32"/>
          <w:shd w:val="clear" w:color="auto" w:fill="FFFF00"/>
        </w:rPr>
        <w:sectPr w:rsidR="00455050">
          <w:footerReference w:type="default" r:id="rId14"/>
          <w:pgSz w:w="11915" w:h="16840"/>
          <w:pgMar w:top="1984" w:right="1446" w:bottom="1644" w:left="1446" w:header="851" w:footer="992" w:gutter="0"/>
          <w:pgNumType w:fmt="numberInDash"/>
          <w:cols w:space="720"/>
          <w:docGrid w:type="lines" w:linePitch="312"/>
        </w:sectPr>
      </w:pPr>
    </w:p>
    <w:tbl>
      <w:tblPr>
        <w:tblpPr w:leftFromText="180" w:rightFromText="180" w:vertAnchor="text" w:horzAnchor="page" w:tblpX="1058" w:tblpY="22"/>
        <w:tblOverlap w:val="never"/>
        <w:tblW w:w="14737" w:type="dxa"/>
        <w:tblLayout w:type="fixed"/>
        <w:tblCellMar>
          <w:left w:w="0" w:type="dxa"/>
          <w:right w:w="0" w:type="dxa"/>
        </w:tblCellMar>
        <w:tblLook w:val="04A0" w:firstRow="1" w:lastRow="0" w:firstColumn="1" w:lastColumn="0" w:noHBand="0" w:noVBand="1"/>
      </w:tblPr>
      <w:tblGrid>
        <w:gridCol w:w="4294"/>
        <w:gridCol w:w="3558"/>
        <w:gridCol w:w="4044"/>
        <w:gridCol w:w="2841"/>
      </w:tblGrid>
      <w:tr w:rsidR="00455050">
        <w:trPr>
          <w:trHeight w:val="232"/>
        </w:trPr>
        <w:tc>
          <w:tcPr>
            <w:tcW w:w="14737" w:type="dxa"/>
            <w:gridSpan w:val="4"/>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sz w:val="32"/>
                <w:szCs w:val="32"/>
              </w:rPr>
            </w:pPr>
            <w:r>
              <w:rPr>
                <w:rFonts w:cs="宋体"/>
                <w:b/>
                <w:sz w:val="32"/>
                <w:szCs w:val="32"/>
              </w:rPr>
              <w:lastRenderedPageBreak/>
              <w:t>收入支出决算总表</w:t>
            </w:r>
          </w:p>
        </w:tc>
      </w:tr>
      <w:tr w:rsidR="00455050">
        <w:trPr>
          <w:trHeight w:val="232"/>
        </w:trPr>
        <w:tc>
          <w:tcPr>
            <w:tcW w:w="4294"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ascii="Arial" w:hAnsi="Arial" w:cs="Arial" w:hint="default"/>
                <w:sz w:val="20"/>
                <w:szCs w:val="20"/>
              </w:rPr>
            </w:pPr>
          </w:p>
        </w:tc>
        <w:tc>
          <w:tcPr>
            <w:tcW w:w="3558"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jc w:val="right"/>
              <w:rPr>
                <w:rFonts w:ascii="Arial" w:hAnsi="Arial" w:cs="Arial" w:hint="default"/>
                <w:sz w:val="20"/>
                <w:szCs w:val="20"/>
              </w:rPr>
            </w:pPr>
          </w:p>
        </w:tc>
        <w:tc>
          <w:tcPr>
            <w:tcW w:w="4044"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ascii="Arial" w:hAnsi="Arial" w:cs="Arial" w:hint="default"/>
                <w:sz w:val="20"/>
                <w:szCs w:val="20"/>
              </w:rPr>
            </w:pPr>
          </w:p>
        </w:tc>
        <w:tc>
          <w:tcPr>
            <w:tcW w:w="2841"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01</w:t>
            </w:r>
            <w:r>
              <w:rPr>
                <w:rFonts w:cs="宋体"/>
                <w:sz w:val="20"/>
                <w:szCs w:val="20"/>
              </w:rPr>
              <w:t>表</w:t>
            </w:r>
          </w:p>
        </w:tc>
      </w:tr>
      <w:tr w:rsidR="00455050">
        <w:trPr>
          <w:trHeight w:val="232"/>
        </w:trPr>
        <w:tc>
          <w:tcPr>
            <w:tcW w:w="7852" w:type="dxa"/>
            <w:gridSpan w:val="2"/>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rPr>
                <w:rFonts w:ascii="Arial" w:hAnsi="Arial" w:cs="Arial" w:hint="default"/>
                <w:sz w:val="22"/>
                <w:szCs w:val="22"/>
              </w:rPr>
            </w:pPr>
            <w:r>
              <w:rPr>
                <w:rFonts w:cs="宋体"/>
                <w:sz w:val="20"/>
                <w:szCs w:val="20"/>
              </w:rPr>
              <w:t>部门：</w:t>
            </w:r>
            <w:r>
              <w:rPr>
                <w:sz w:val="20"/>
              </w:rPr>
              <w:t>垫江县退役军人事务局</w:t>
            </w:r>
          </w:p>
        </w:tc>
        <w:tc>
          <w:tcPr>
            <w:tcW w:w="4044"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ascii="Arial" w:hAnsi="Arial" w:cs="Arial" w:hint="default"/>
                <w:sz w:val="22"/>
                <w:szCs w:val="22"/>
              </w:rPr>
            </w:pPr>
          </w:p>
        </w:tc>
        <w:tc>
          <w:tcPr>
            <w:tcW w:w="2841"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单位：万元</w:t>
            </w:r>
          </w:p>
        </w:tc>
      </w:tr>
      <w:tr w:rsidR="00455050">
        <w:trPr>
          <w:trHeight w:val="243"/>
        </w:trPr>
        <w:tc>
          <w:tcPr>
            <w:tcW w:w="78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收入</w:t>
            </w:r>
          </w:p>
        </w:tc>
        <w:tc>
          <w:tcPr>
            <w:tcW w:w="6885" w:type="dxa"/>
            <w:gridSpan w:val="2"/>
            <w:tcBorders>
              <w:top w:val="single" w:sz="4" w:space="0" w:color="000000"/>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支出</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项目</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决算数</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功能分类科目</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决算数</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一、一般公共预算财政拨款收入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11,149.40</w:t>
            </w:r>
            <w:r>
              <w:rPr>
                <w:rFonts w:ascii="Times New Roman" w:hAnsi="Times New Roman"/>
                <w:sz w:val="20"/>
              </w:rPr>
              <w:t xml:space="preserve"> </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一、一般公共服务支出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二、政府性基金预算财政拨款收入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二、外交支出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三、国有资本经营预算财政拨款收入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三、国防支出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四、上级补助收入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四、公共安全支出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五、事业收入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五、教育支出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1.27</w:t>
            </w: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六、经营收入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六、科学技术支出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七、附属单位上缴收入</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七、文化旅游体育与传媒支出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八、其他收入</w:t>
            </w:r>
          </w:p>
        </w:tc>
        <w:tc>
          <w:tcPr>
            <w:tcW w:w="3558" w:type="dxa"/>
            <w:tcBorders>
              <w:top w:val="nil"/>
              <w:left w:val="nil"/>
              <w:bottom w:val="nil"/>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八、社会保障和就业支出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10,598.48</w:t>
            </w: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九、卫生健康支出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520.72</w:t>
            </w: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十、节能环保支出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十一、城乡社区支出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auto"/>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bottom"/>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十二、农林水支出</w:t>
            </w:r>
          </w:p>
        </w:tc>
        <w:tc>
          <w:tcPr>
            <w:tcW w:w="2841"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十三、交通运输支出</w:t>
            </w:r>
          </w:p>
        </w:tc>
        <w:tc>
          <w:tcPr>
            <w:tcW w:w="28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十四、资源勘探工业信息等支出</w:t>
            </w:r>
          </w:p>
        </w:tc>
        <w:tc>
          <w:tcPr>
            <w:tcW w:w="28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十五、商业服务业等支出</w:t>
            </w:r>
          </w:p>
        </w:tc>
        <w:tc>
          <w:tcPr>
            <w:tcW w:w="28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十六、金融支出</w:t>
            </w:r>
          </w:p>
        </w:tc>
        <w:tc>
          <w:tcPr>
            <w:tcW w:w="2841"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十七、援助其他地区支出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90"/>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十八、自然资源海洋气象等支出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十九、住房保障支出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28.93</w:t>
            </w: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二十、粮油物资储备支出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二十一、国有资本经营预算支出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二十二、灾害防治及应急管理支出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二十三、其他支出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bCs/>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二十四、债务还本支出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二十五、债务付息支出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20"/>
                <w:szCs w:val="20"/>
              </w:rPr>
            </w:pP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wordWrap w:val="0"/>
              <w:spacing w:line="594" w:lineRule="exact"/>
              <w:jc w:val="right"/>
              <w:textAlignment w:val="center"/>
              <w:rPr>
                <w:rFonts w:ascii="Times New Roman" w:hAnsi="Times New Roman" w:hint="default"/>
                <w:sz w:val="20"/>
                <w:szCs w:val="20"/>
              </w:rPr>
            </w:pP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二十六、抗疫特别国债安排的支出</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bCs/>
                <w:sz w:val="20"/>
                <w:szCs w:val="20"/>
              </w:rPr>
            </w:pPr>
            <w:r>
              <w:rPr>
                <w:rFonts w:cs="宋体"/>
                <w:b/>
                <w:bCs/>
                <w:sz w:val="20"/>
                <w:szCs w:val="20"/>
              </w:rPr>
              <w:t>本年收入合计</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11,149.40</w:t>
            </w:r>
            <w:r>
              <w:rPr>
                <w:rFonts w:ascii="Times New Roman" w:hAnsi="Times New Roman"/>
                <w:sz w:val="20"/>
              </w:rPr>
              <w:t xml:space="preserve"> </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bCs/>
                <w:sz w:val="20"/>
                <w:szCs w:val="20"/>
              </w:rPr>
            </w:pPr>
            <w:r>
              <w:rPr>
                <w:rFonts w:cs="宋体"/>
                <w:b/>
                <w:bCs/>
                <w:sz w:val="20"/>
                <w:szCs w:val="20"/>
              </w:rPr>
              <w:t>本年支出合计</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11,149.40</w:t>
            </w: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使用非财政拨款结余和专用结余</w:t>
            </w:r>
          </w:p>
        </w:tc>
        <w:tc>
          <w:tcPr>
            <w:tcW w:w="35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44"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结余分配</w:t>
            </w:r>
          </w:p>
        </w:tc>
        <w:tc>
          <w:tcPr>
            <w:tcW w:w="284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43"/>
        </w:trPr>
        <w:tc>
          <w:tcPr>
            <w:tcW w:w="4294" w:type="dxa"/>
            <w:tcBorders>
              <w:top w:val="nil"/>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年初结转和结余</w:t>
            </w:r>
          </w:p>
        </w:tc>
        <w:tc>
          <w:tcPr>
            <w:tcW w:w="3558"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c>
          <w:tcPr>
            <w:tcW w:w="4044"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20"/>
                <w:szCs w:val="20"/>
              </w:rPr>
            </w:pPr>
            <w:r>
              <w:rPr>
                <w:rFonts w:cs="宋体"/>
                <w:b/>
                <w:bCs/>
                <w:sz w:val="20"/>
                <w:szCs w:val="20"/>
              </w:rPr>
              <w:t>年末结转和结余</w:t>
            </w:r>
          </w:p>
        </w:tc>
        <w:tc>
          <w:tcPr>
            <w:tcW w:w="2841"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sz w:val="20"/>
              </w:rPr>
              <w:t xml:space="preserve"> </w:t>
            </w:r>
          </w:p>
        </w:tc>
      </w:tr>
      <w:tr w:rsidR="00455050">
        <w:trPr>
          <w:trHeight w:val="253"/>
        </w:trPr>
        <w:tc>
          <w:tcPr>
            <w:tcW w:w="429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lastRenderedPageBreak/>
              <w:t>总计</w:t>
            </w:r>
          </w:p>
        </w:tc>
        <w:tc>
          <w:tcPr>
            <w:tcW w:w="355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11,149.40</w:t>
            </w:r>
            <w:r>
              <w:rPr>
                <w:rFonts w:ascii="Times New Roman" w:hAnsi="Times New Roman"/>
                <w:sz w:val="20"/>
              </w:rPr>
              <w:t xml:space="preserve"> </w:t>
            </w:r>
          </w:p>
        </w:tc>
        <w:tc>
          <w:tcPr>
            <w:tcW w:w="404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总计</w:t>
            </w:r>
          </w:p>
        </w:tc>
        <w:tc>
          <w:tcPr>
            <w:tcW w:w="284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11,149.40</w:t>
            </w:r>
            <w:r>
              <w:rPr>
                <w:rFonts w:ascii="Times New Roman" w:hAnsi="Times New Roman"/>
                <w:sz w:val="20"/>
              </w:rPr>
              <w:t xml:space="preserve"> </w:t>
            </w:r>
          </w:p>
        </w:tc>
      </w:tr>
    </w:tbl>
    <w:p w:rsidR="00455050" w:rsidRDefault="00455050">
      <w:pPr>
        <w:shd w:val="clear" w:color="040000" w:fill="auto"/>
        <w:spacing w:line="594" w:lineRule="exact"/>
        <w:rPr>
          <w:rFonts w:cs="宋体" w:hint="default"/>
          <w:sz w:val="21"/>
          <w:szCs w:val="21"/>
        </w:rPr>
      </w:pPr>
    </w:p>
    <w:p w:rsidR="00455050" w:rsidRDefault="000C51C5">
      <w:pPr>
        <w:shd w:val="clear" w:color="040000" w:fill="auto"/>
        <w:spacing w:line="594" w:lineRule="exact"/>
        <w:rPr>
          <w:rFonts w:cs="宋体" w:hint="default"/>
          <w:sz w:val="20"/>
          <w:szCs w:val="20"/>
        </w:rPr>
      </w:pPr>
      <w:r>
        <w:rPr>
          <w:rFonts w:cs="宋体"/>
          <w:sz w:val="20"/>
          <w:szCs w:val="20"/>
        </w:rPr>
        <w:t>备注：1.本表反映部门本年度的总收支和年末结转结余情况。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p>
    <w:tbl>
      <w:tblPr>
        <w:tblW w:w="15503" w:type="dxa"/>
        <w:tblLayout w:type="fixed"/>
        <w:tblCellMar>
          <w:left w:w="0" w:type="dxa"/>
          <w:right w:w="0" w:type="dxa"/>
        </w:tblCellMar>
        <w:tblLook w:val="04A0" w:firstRow="1" w:lastRow="0" w:firstColumn="1" w:lastColumn="0" w:noHBand="0" w:noVBand="1"/>
      </w:tblPr>
      <w:tblGrid>
        <w:gridCol w:w="1436"/>
        <w:gridCol w:w="3116"/>
        <w:gridCol w:w="1349"/>
        <w:gridCol w:w="1408"/>
        <w:gridCol w:w="1228"/>
        <w:gridCol w:w="1228"/>
        <w:gridCol w:w="1361"/>
        <w:gridCol w:w="1299"/>
        <w:gridCol w:w="1432"/>
        <w:gridCol w:w="1646"/>
      </w:tblGrid>
      <w:tr w:rsidR="00455050">
        <w:trPr>
          <w:trHeight w:val="641"/>
        </w:trPr>
        <w:tc>
          <w:tcPr>
            <w:tcW w:w="15503" w:type="dxa"/>
            <w:gridSpan w:val="10"/>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sz w:val="32"/>
                <w:szCs w:val="32"/>
              </w:rPr>
            </w:pPr>
            <w:r>
              <w:rPr>
                <w:rFonts w:cs="宋体"/>
                <w:b/>
                <w:sz w:val="32"/>
                <w:szCs w:val="32"/>
              </w:rPr>
              <w:t>收入决算表</w:t>
            </w:r>
          </w:p>
        </w:tc>
      </w:tr>
      <w:tr w:rsidR="00455050">
        <w:trPr>
          <w:trHeight w:val="328"/>
        </w:trPr>
        <w:tc>
          <w:tcPr>
            <w:tcW w:w="5901" w:type="dxa"/>
            <w:gridSpan w:val="3"/>
            <w:vMerge w:val="restart"/>
            <w:tcBorders>
              <w:top w:val="nil"/>
              <w:left w:val="nil"/>
              <w:right w:val="nil"/>
            </w:tcBorders>
            <w:tcMar>
              <w:top w:w="15" w:type="dxa"/>
              <w:left w:w="15" w:type="dxa"/>
              <w:right w:w="15" w:type="dxa"/>
            </w:tcMar>
            <w:vAlign w:val="bottom"/>
          </w:tcPr>
          <w:p w:rsidR="00455050" w:rsidRDefault="000C51C5">
            <w:pPr>
              <w:shd w:val="clear" w:color="040000" w:fill="auto"/>
              <w:spacing w:line="594" w:lineRule="exact"/>
              <w:rPr>
                <w:rFonts w:cs="宋体" w:hint="default"/>
                <w:sz w:val="20"/>
                <w:szCs w:val="20"/>
              </w:rPr>
            </w:pPr>
            <w:r>
              <w:rPr>
                <w:rFonts w:cs="宋体"/>
                <w:sz w:val="20"/>
                <w:szCs w:val="20"/>
              </w:rPr>
              <w:t>部门：</w:t>
            </w:r>
            <w:r>
              <w:rPr>
                <w:sz w:val="20"/>
              </w:rPr>
              <w:t>垫江县退役军人事务局</w:t>
            </w:r>
          </w:p>
        </w:tc>
        <w:tc>
          <w:tcPr>
            <w:tcW w:w="1408"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228"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228"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361"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299"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432"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646"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02</w:t>
            </w:r>
            <w:r>
              <w:rPr>
                <w:rFonts w:cs="宋体"/>
                <w:sz w:val="20"/>
                <w:szCs w:val="20"/>
              </w:rPr>
              <w:t>表</w:t>
            </w:r>
          </w:p>
        </w:tc>
      </w:tr>
      <w:tr w:rsidR="00455050">
        <w:trPr>
          <w:trHeight w:val="328"/>
        </w:trPr>
        <w:tc>
          <w:tcPr>
            <w:tcW w:w="5901" w:type="dxa"/>
            <w:gridSpan w:val="3"/>
            <w:vMerge/>
            <w:tcBorders>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408"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228"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228"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361"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299"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432"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646"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单位：万元</w:t>
            </w:r>
          </w:p>
        </w:tc>
      </w:tr>
      <w:tr w:rsidR="00455050">
        <w:trPr>
          <w:trHeight w:val="431"/>
        </w:trPr>
        <w:tc>
          <w:tcPr>
            <w:tcW w:w="4552" w:type="dxa"/>
            <w:gridSpan w:val="2"/>
            <w:tcBorders>
              <w:top w:val="single" w:sz="4" w:space="0" w:color="000000"/>
              <w:left w:val="single" w:sz="4" w:space="0" w:color="000000"/>
              <w:bottom w:val="single" w:sz="4" w:space="0" w:color="000000"/>
              <w:right w:val="nil"/>
            </w:tcBorders>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sz w:val="20"/>
                <w:szCs w:val="20"/>
              </w:rPr>
            </w:pPr>
            <w:r>
              <w:rPr>
                <w:rFonts w:cs="宋体"/>
                <w:b/>
                <w:sz w:val="20"/>
                <w:szCs w:val="20"/>
              </w:rPr>
              <w:t>项目</w:t>
            </w:r>
          </w:p>
        </w:tc>
        <w:tc>
          <w:tcPr>
            <w:tcW w:w="13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本年收入合计</w:t>
            </w:r>
          </w:p>
        </w:tc>
        <w:tc>
          <w:tcPr>
            <w:tcW w:w="140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财政拨款收入</w:t>
            </w:r>
          </w:p>
        </w:tc>
        <w:tc>
          <w:tcPr>
            <w:tcW w:w="12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上级补助收入</w:t>
            </w:r>
          </w:p>
        </w:tc>
        <w:tc>
          <w:tcPr>
            <w:tcW w:w="2589"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sz w:val="20"/>
                <w:szCs w:val="20"/>
              </w:rPr>
            </w:pPr>
            <w:r>
              <w:rPr>
                <w:rFonts w:cs="宋体"/>
                <w:b/>
                <w:sz w:val="20"/>
                <w:szCs w:val="20"/>
              </w:rPr>
              <w:t>事业收入</w:t>
            </w:r>
          </w:p>
        </w:tc>
        <w:tc>
          <w:tcPr>
            <w:tcW w:w="129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经营收入</w:t>
            </w:r>
          </w:p>
        </w:tc>
        <w:tc>
          <w:tcPr>
            <w:tcW w:w="1432"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附属单位上缴收入</w:t>
            </w:r>
          </w:p>
        </w:tc>
        <w:tc>
          <w:tcPr>
            <w:tcW w:w="164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其他收入</w:t>
            </w:r>
          </w:p>
        </w:tc>
      </w:tr>
      <w:tr w:rsidR="00455050">
        <w:trPr>
          <w:trHeight w:val="594"/>
        </w:trPr>
        <w:tc>
          <w:tcPr>
            <w:tcW w:w="143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功能分类科目编码</w:t>
            </w:r>
          </w:p>
        </w:tc>
        <w:tc>
          <w:tcPr>
            <w:tcW w:w="3116" w:type="dxa"/>
            <w:vMerge w:val="restart"/>
            <w:tcBorders>
              <w:top w:val="nil"/>
              <w:left w:val="nil"/>
              <w:bottom w:val="single" w:sz="4" w:space="0" w:color="000000"/>
              <w:right w:val="nil"/>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项目（按“项”级功能分类科目）</w:t>
            </w: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4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2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22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小计</w:t>
            </w:r>
          </w:p>
        </w:tc>
        <w:tc>
          <w:tcPr>
            <w:tcW w:w="136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其中：教育收费</w:t>
            </w:r>
          </w:p>
        </w:tc>
        <w:tc>
          <w:tcPr>
            <w:tcW w:w="12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4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6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594"/>
        </w:trPr>
        <w:tc>
          <w:tcPr>
            <w:tcW w:w="143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116" w:type="dxa"/>
            <w:vMerge/>
            <w:tcBorders>
              <w:top w:val="nil"/>
              <w:left w:val="nil"/>
              <w:bottom w:val="single" w:sz="4" w:space="0" w:color="000000"/>
              <w:right w:val="nil"/>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4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2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2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36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2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4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6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594"/>
        </w:trPr>
        <w:tc>
          <w:tcPr>
            <w:tcW w:w="143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116" w:type="dxa"/>
            <w:vMerge/>
            <w:tcBorders>
              <w:top w:val="nil"/>
              <w:left w:val="nil"/>
              <w:bottom w:val="single" w:sz="4" w:space="0" w:color="000000"/>
              <w:right w:val="nil"/>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4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2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2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36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2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4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6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594"/>
        </w:trPr>
        <w:tc>
          <w:tcPr>
            <w:tcW w:w="143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116" w:type="dxa"/>
            <w:vMerge/>
            <w:tcBorders>
              <w:top w:val="nil"/>
              <w:left w:val="nil"/>
              <w:bottom w:val="single" w:sz="4" w:space="0" w:color="000000"/>
              <w:right w:val="nil"/>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3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40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2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22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36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29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432"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64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338"/>
        </w:trPr>
        <w:tc>
          <w:tcPr>
            <w:tcW w:w="4552"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合计</w:t>
            </w:r>
          </w:p>
        </w:tc>
        <w:tc>
          <w:tcPr>
            <w:tcW w:w="1349"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11,149.40</w:t>
            </w:r>
            <w:r>
              <w:rPr>
                <w:rFonts w:ascii="Times New Roman" w:hAnsi="Times New Roman"/>
                <w:b/>
                <w:sz w:val="20"/>
              </w:rPr>
              <w:t xml:space="preserve"> </w:t>
            </w:r>
          </w:p>
        </w:tc>
        <w:tc>
          <w:tcPr>
            <w:tcW w:w="140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11,149.40</w:t>
            </w:r>
            <w:r>
              <w:rPr>
                <w:rFonts w:ascii="Times New Roman" w:hAnsi="Times New Roman"/>
                <w:b/>
                <w:sz w:val="20"/>
              </w:rPr>
              <w:t xml:space="preserve"> </w:t>
            </w:r>
          </w:p>
        </w:tc>
        <w:tc>
          <w:tcPr>
            <w:tcW w:w="122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22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36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299"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43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64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205</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教育支出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1.27</w:t>
            </w:r>
            <w:r>
              <w:rPr>
                <w:rFonts w:ascii="Times New Roman" w:hAnsi="Times New Roman"/>
                <w:b/>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1.27</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20508</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进修及培训</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1.27</w:t>
            </w:r>
            <w:r>
              <w:rPr>
                <w:rFonts w:ascii="Times New Roman" w:hAnsi="Times New Roman"/>
                <w:b/>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1.27</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lastRenderedPageBreak/>
              <w:t>2050803</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培训支出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1.27</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1.27</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社会保障和就业支出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10,598.48</w:t>
            </w:r>
            <w:r>
              <w:rPr>
                <w:rFonts w:ascii="Times New Roman" w:hAnsi="Times New Roman"/>
                <w:b/>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10,598.48</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48"/>
        </w:trPr>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20801</w:t>
            </w:r>
          </w:p>
        </w:tc>
        <w:tc>
          <w:tcPr>
            <w:tcW w:w="31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人力资源和社会保障管理事务</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0.02</w:t>
            </w:r>
            <w:r>
              <w:rPr>
                <w:rFonts w:ascii="Times New Roman" w:hAnsi="Times New Roman"/>
                <w:b/>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0.02</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48"/>
        </w:trPr>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2080102</w:t>
            </w:r>
          </w:p>
        </w:tc>
        <w:tc>
          <w:tcPr>
            <w:tcW w:w="31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一般行政管理事务</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0.02</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0.02</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20805</w:t>
            </w:r>
          </w:p>
        </w:tc>
        <w:tc>
          <w:tcPr>
            <w:tcW w:w="3116" w:type="dxa"/>
            <w:tcBorders>
              <w:top w:val="single" w:sz="4" w:space="0" w:color="000000"/>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行政事业单位养老支出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78.73</w:t>
            </w:r>
            <w:r>
              <w:rPr>
                <w:rFonts w:ascii="Times New Roman" w:hAnsi="Times New Roman"/>
                <w:b/>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78.73</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2080505</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机关事业单位基本养老保险缴费支出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44.99</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44.99</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2080506</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机关事业单位职业年金缴费支出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22.54</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22.54</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2080599</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其他行政事业单位养老支出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11.20</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11.20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20808</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抚恤</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8,158.54</w:t>
            </w:r>
            <w:r>
              <w:rPr>
                <w:rFonts w:ascii="Times New Roman" w:hAnsi="Times New Roman"/>
                <w:b/>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8,158.54</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2080801</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死亡抚恤</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758.25</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758.25</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2080802</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伤残抚恤</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1,914.11</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1,914.11</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2080803</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在乡复员、退伍军人生活补助</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3,822.40</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3,822.40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2080805</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义务兵优待</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776.09</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776.09</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2080806</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农村籍退役士兵老年生活补助</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550.11</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550.11</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2080808</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褒扬纪念</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20.28</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20.28</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2080899</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其他优抚支出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317.31</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317.31</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lastRenderedPageBreak/>
              <w:t>20809</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退役安置</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1,939.16</w:t>
            </w:r>
            <w:r>
              <w:rPr>
                <w:rFonts w:ascii="Times New Roman" w:hAnsi="Times New Roman"/>
                <w:b/>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1,939.16</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48"/>
        </w:trPr>
        <w:tc>
          <w:tcPr>
            <w:tcW w:w="1436" w:type="dxa"/>
            <w:tcBorders>
              <w:top w:val="nil"/>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2080901</w:t>
            </w:r>
          </w:p>
        </w:tc>
        <w:tc>
          <w:tcPr>
            <w:tcW w:w="3116"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退役士兵安置</w:t>
            </w:r>
          </w:p>
        </w:tc>
        <w:tc>
          <w:tcPr>
            <w:tcW w:w="134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1,396.55</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1,396.55</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2080902</w:t>
            </w:r>
          </w:p>
        </w:tc>
        <w:tc>
          <w:tcPr>
            <w:tcW w:w="31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军队移交政府的离退休人员安置</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240.80</w:t>
            </w:r>
            <w:r>
              <w:rPr>
                <w:rFonts w:ascii="Times New Roman" w:hAnsi="Times New Roman"/>
                <w:sz w:val="20"/>
              </w:rPr>
              <w:t xml:space="preserve"> </w:t>
            </w:r>
          </w:p>
        </w:tc>
        <w:tc>
          <w:tcPr>
            <w:tcW w:w="14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240.80</w:t>
            </w:r>
            <w:r>
              <w:rPr>
                <w:rFonts w:ascii="Times New Roman" w:hAnsi="Times New Roman"/>
                <w:sz w:val="20"/>
              </w:rPr>
              <w:t xml:space="preserve"> </w:t>
            </w:r>
          </w:p>
        </w:tc>
        <w:tc>
          <w:tcPr>
            <w:tcW w:w="12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2080903</w:t>
            </w:r>
          </w:p>
        </w:tc>
        <w:tc>
          <w:tcPr>
            <w:tcW w:w="31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军队移交政府离退休干部管理机构</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20.55</w:t>
            </w:r>
            <w:r>
              <w:rPr>
                <w:rFonts w:ascii="Times New Roman" w:hAnsi="Times New Roman"/>
                <w:sz w:val="20"/>
              </w:rPr>
              <w:t xml:space="preserve"> </w:t>
            </w:r>
          </w:p>
        </w:tc>
        <w:tc>
          <w:tcPr>
            <w:tcW w:w="14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20.55</w:t>
            </w:r>
            <w:r>
              <w:rPr>
                <w:rFonts w:ascii="Times New Roman" w:hAnsi="Times New Roman"/>
                <w:sz w:val="20"/>
              </w:rPr>
              <w:t xml:space="preserve"> </w:t>
            </w:r>
          </w:p>
        </w:tc>
        <w:tc>
          <w:tcPr>
            <w:tcW w:w="12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2080904</w:t>
            </w:r>
          </w:p>
        </w:tc>
        <w:tc>
          <w:tcPr>
            <w:tcW w:w="31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退役士兵管理教育</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2.40</w:t>
            </w:r>
            <w:r>
              <w:rPr>
                <w:rFonts w:ascii="Times New Roman" w:hAnsi="Times New Roman"/>
                <w:sz w:val="20"/>
              </w:rPr>
              <w:t xml:space="preserve"> </w:t>
            </w:r>
          </w:p>
        </w:tc>
        <w:tc>
          <w:tcPr>
            <w:tcW w:w="14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2.40</w:t>
            </w:r>
            <w:r>
              <w:rPr>
                <w:rFonts w:ascii="Times New Roman" w:hAnsi="Times New Roman"/>
                <w:sz w:val="20"/>
              </w:rPr>
              <w:t xml:space="preserve"> </w:t>
            </w:r>
          </w:p>
        </w:tc>
        <w:tc>
          <w:tcPr>
            <w:tcW w:w="12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2080905</w:t>
            </w:r>
          </w:p>
        </w:tc>
        <w:tc>
          <w:tcPr>
            <w:tcW w:w="3116"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军队转业干部安置</w:t>
            </w:r>
          </w:p>
        </w:tc>
        <w:tc>
          <w:tcPr>
            <w:tcW w:w="1349"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106.54</w:t>
            </w:r>
            <w:r>
              <w:rPr>
                <w:rFonts w:ascii="Times New Roman" w:hAnsi="Times New Roman"/>
                <w:sz w:val="20"/>
              </w:rPr>
              <w:t xml:space="preserve"> </w:t>
            </w:r>
          </w:p>
        </w:tc>
        <w:tc>
          <w:tcPr>
            <w:tcW w:w="140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106.54</w:t>
            </w:r>
            <w:r>
              <w:rPr>
                <w:rFonts w:ascii="Times New Roman" w:hAnsi="Times New Roman"/>
                <w:sz w:val="20"/>
              </w:rPr>
              <w:t xml:space="preserve"> </w:t>
            </w:r>
          </w:p>
        </w:tc>
        <w:tc>
          <w:tcPr>
            <w:tcW w:w="1228"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2080999</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其他退役安置支出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172.33</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172.33</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20828</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退役军人管理事务</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422.02</w:t>
            </w:r>
            <w:r>
              <w:rPr>
                <w:rFonts w:ascii="Times New Roman" w:hAnsi="Times New Roman"/>
                <w:b/>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422.02</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2082801</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行政运行</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238.75</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238.75</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2082802</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一般行政管理事务</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2.40</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2.40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2082804</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拥军优属</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17.59</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17.59</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2082850</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事业运行</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99.90</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99.90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2082899</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其他退役军人事务管理支出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63.38</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63.38</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210</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卫生健康支出</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520.72</w:t>
            </w:r>
            <w:r>
              <w:rPr>
                <w:rFonts w:ascii="Times New Roman" w:hAnsi="Times New Roman"/>
                <w:b/>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520.72</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21011</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行政事业单位医疗</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22.02</w:t>
            </w:r>
            <w:r>
              <w:rPr>
                <w:rFonts w:ascii="Times New Roman" w:hAnsi="Times New Roman"/>
                <w:b/>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22.02</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2101101</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行政单位医疗</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15.17</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15.17</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2101102</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事业单位医疗</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6.84</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6.84</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lastRenderedPageBreak/>
              <w:t>21014</w:t>
            </w:r>
          </w:p>
        </w:tc>
        <w:tc>
          <w:tcPr>
            <w:tcW w:w="31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优抚对象医疗</w:t>
            </w:r>
          </w:p>
        </w:tc>
        <w:tc>
          <w:tcPr>
            <w:tcW w:w="13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498.71</w:t>
            </w:r>
            <w:r>
              <w:rPr>
                <w:rFonts w:ascii="Times New Roman" w:hAnsi="Times New Roman"/>
                <w:b/>
                <w:sz w:val="20"/>
              </w:rPr>
              <w:t xml:space="preserve"> </w:t>
            </w:r>
          </w:p>
        </w:tc>
        <w:tc>
          <w:tcPr>
            <w:tcW w:w="140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498.71</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2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36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9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48"/>
        </w:trPr>
        <w:tc>
          <w:tcPr>
            <w:tcW w:w="1436" w:type="dxa"/>
            <w:tcBorders>
              <w:top w:val="nil"/>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2101401</w:t>
            </w:r>
          </w:p>
        </w:tc>
        <w:tc>
          <w:tcPr>
            <w:tcW w:w="3116"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优抚对象医疗补助</w:t>
            </w:r>
          </w:p>
        </w:tc>
        <w:tc>
          <w:tcPr>
            <w:tcW w:w="134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498.71</w:t>
            </w:r>
            <w:r>
              <w:rPr>
                <w:rFonts w:ascii="Times New Roman" w:hAnsi="Times New Roman"/>
                <w:sz w:val="20"/>
              </w:rPr>
              <w:t xml:space="preserve"> </w:t>
            </w:r>
          </w:p>
        </w:tc>
        <w:tc>
          <w:tcPr>
            <w:tcW w:w="140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498.71</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48"/>
        </w:trPr>
        <w:tc>
          <w:tcPr>
            <w:tcW w:w="14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221</w:t>
            </w:r>
          </w:p>
        </w:tc>
        <w:tc>
          <w:tcPr>
            <w:tcW w:w="31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住房保障支出</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28.93</w:t>
            </w:r>
            <w:r>
              <w:rPr>
                <w:rFonts w:ascii="Times New Roman" w:hAnsi="Times New Roman"/>
                <w:b/>
                <w:sz w:val="20"/>
              </w:rPr>
              <w:t xml:space="preserve"> </w:t>
            </w:r>
          </w:p>
        </w:tc>
        <w:tc>
          <w:tcPr>
            <w:tcW w:w="14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28.93</w:t>
            </w:r>
            <w:r>
              <w:rPr>
                <w:rFonts w:ascii="Times New Roman" w:hAnsi="Times New Roman"/>
                <w:b/>
                <w:sz w:val="20"/>
              </w:rPr>
              <w:t xml:space="preserve"> </w:t>
            </w:r>
          </w:p>
        </w:tc>
        <w:tc>
          <w:tcPr>
            <w:tcW w:w="12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3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43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48"/>
        </w:trPr>
        <w:tc>
          <w:tcPr>
            <w:tcW w:w="14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22102</w:t>
            </w:r>
          </w:p>
        </w:tc>
        <w:tc>
          <w:tcPr>
            <w:tcW w:w="31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住房改革支出</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28.93</w:t>
            </w:r>
            <w:r>
              <w:rPr>
                <w:rFonts w:ascii="Times New Roman" w:hAnsi="Times New Roman"/>
                <w:b/>
                <w:sz w:val="20"/>
              </w:rPr>
              <w:t xml:space="preserve"> </w:t>
            </w:r>
          </w:p>
        </w:tc>
        <w:tc>
          <w:tcPr>
            <w:tcW w:w="14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28.93</w:t>
            </w:r>
            <w:r>
              <w:rPr>
                <w:rFonts w:ascii="Times New Roman" w:hAnsi="Times New Roman"/>
                <w:b/>
                <w:sz w:val="20"/>
              </w:rPr>
              <w:t xml:space="preserve"> </w:t>
            </w:r>
          </w:p>
        </w:tc>
        <w:tc>
          <w:tcPr>
            <w:tcW w:w="12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3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43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48"/>
        </w:trPr>
        <w:tc>
          <w:tcPr>
            <w:tcW w:w="143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2210201</w:t>
            </w:r>
          </w:p>
        </w:tc>
        <w:tc>
          <w:tcPr>
            <w:tcW w:w="31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住房公积金</w:t>
            </w:r>
          </w:p>
        </w:tc>
        <w:tc>
          <w:tcPr>
            <w:tcW w:w="134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28.93</w:t>
            </w:r>
            <w:r>
              <w:rPr>
                <w:rFonts w:ascii="Times New Roman" w:hAnsi="Times New Roman"/>
                <w:sz w:val="20"/>
              </w:rPr>
              <w:t xml:space="preserve"> </w:t>
            </w:r>
          </w:p>
        </w:tc>
        <w:tc>
          <w:tcPr>
            <w:tcW w:w="140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28.93</w:t>
            </w:r>
            <w:r>
              <w:rPr>
                <w:rFonts w:ascii="Times New Roman" w:hAnsi="Times New Roman"/>
                <w:sz w:val="20"/>
              </w:rPr>
              <w:t xml:space="preserve"> </w:t>
            </w:r>
          </w:p>
        </w:tc>
        <w:tc>
          <w:tcPr>
            <w:tcW w:w="12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28"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361"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29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432"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bl>
    <w:p w:rsidR="00455050" w:rsidRDefault="000C51C5">
      <w:pPr>
        <w:shd w:val="clear" w:color="040000" w:fill="auto"/>
        <w:spacing w:line="594" w:lineRule="exact"/>
        <w:ind w:left="600" w:hangingChars="300" w:hanging="600"/>
        <w:rPr>
          <w:rFonts w:cs="宋体" w:hint="default"/>
          <w:sz w:val="20"/>
          <w:szCs w:val="20"/>
        </w:rPr>
      </w:pPr>
      <w:r>
        <w:rPr>
          <w:rFonts w:cs="宋体"/>
          <w:sz w:val="20"/>
          <w:szCs w:val="20"/>
        </w:rPr>
        <w:t>备注：1.本表反映部门本年度取得的各项收入情况。</w:t>
      </w:r>
      <w:r>
        <w:rPr>
          <w:rFonts w:cs="宋体"/>
          <w:sz w:val="20"/>
          <w:szCs w:val="20"/>
        </w:rPr>
        <w:br/>
        <w:t>2.本套报表金额单位转换时可能存在尾数误差。</w:t>
      </w:r>
      <w:r>
        <w:rPr>
          <w:rFonts w:cs="宋体"/>
          <w:sz w:val="20"/>
          <w:szCs w:val="20"/>
        </w:rPr>
        <w:br/>
      </w:r>
      <w:r>
        <w:rPr>
          <w:rFonts w:cs="宋体"/>
          <w:sz w:val="20"/>
          <w:szCs w:val="20"/>
        </w:rPr>
        <w:br/>
      </w:r>
    </w:p>
    <w:p w:rsidR="00455050" w:rsidRDefault="000C51C5">
      <w:pPr>
        <w:shd w:val="clear" w:color="040000" w:fill="auto"/>
        <w:spacing w:line="594" w:lineRule="exact"/>
        <w:rPr>
          <w:rFonts w:cs="宋体" w:hint="default"/>
          <w:sz w:val="20"/>
          <w:szCs w:val="20"/>
        </w:rPr>
      </w:pPr>
      <w:r>
        <w:rPr>
          <w:rFonts w:cs="宋体"/>
          <w:sz w:val="20"/>
          <w:szCs w:val="20"/>
        </w:rPr>
        <w:br w:type="page"/>
      </w:r>
    </w:p>
    <w:tbl>
      <w:tblPr>
        <w:tblW w:w="15322" w:type="dxa"/>
        <w:tblLayout w:type="fixed"/>
        <w:tblCellMar>
          <w:left w:w="0" w:type="dxa"/>
          <w:right w:w="0" w:type="dxa"/>
        </w:tblCellMar>
        <w:tblLook w:val="04A0" w:firstRow="1" w:lastRow="0" w:firstColumn="1" w:lastColumn="0" w:noHBand="0" w:noVBand="1"/>
      </w:tblPr>
      <w:tblGrid>
        <w:gridCol w:w="1483"/>
        <w:gridCol w:w="3552"/>
        <w:gridCol w:w="1667"/>
        <w:gridCol w:w="1716"/>
        <w:gridCol w:w="1649"/>
        <w:gridCol w:w="1581"/>
        <w:gridCol w:w="1716"/>
        <w:gridCol w:w="1958"/>
      </w:tblGrid>
      <w:tr w:rsidR="00455050">
        <w:trPr>
          <w:trHeight w:val="654"/>
        </w:trPr>
        <w:tc>
          <w:tcPr>
            <w:tcW w:w="15322" w:type="dxa"/>
            <w:gridSpan w:val="8"/>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sz w:val="32"/>
                <w:szCs w:val="32"/>
              </w:rPr>
            </w:pPr>
            <w:r>
              <w:rPr>
                <w:rFonts w:cs="宋体"/>
                <w:b/>
                <w:sz w:val="32"/>
                <w:szCs w:val="32"/>
              </w:rPr>
              <w:lastRenderedPageBreak/>
              <w:t>支出决算表</w:t>
            </w:r>
          </w:p>
        </w:tc>
      </w:tr>
      <w:tr w:rsidR="00455050">
        <w:trPr>
          <w:trHeight w:val="342"/>
        </w:trPr>
        <w:tc>
          <w:tcPr>
            <w:tcW w:w="6702" w:type="dxa"/>
            <w:gridSpan w:val="3"/>
            <w:vMerge w:val="restart"/>
            <w:tcBorders>
              <w:top w:val="nil"/>
              <w:left w:val="nil"/>
              <w:right w:val="nil"/>
            </w:tcBorders>
            <w:tcMar>
              <w:top w:w="15" w:type="dxa"/>
              <w:left w:w="15" w:type="dxa"/>
              <w:right w:w="15" w:type="dxa"/>
            </w:tcMar>
            <w:vAlign w:val="bottom"/>
          </w:tcPr>
          <w:p w:rsidR="00455050" w:rsidRDefault="000C51C5">
            <w:pPr>
              <w:shd w:val="clear" w:color="040000" w:fill="auto"/>
              <w:spacing w:line="594" w:lineRule="exact"/>
              <w:rPr>
                <w:rFonts w:cs="宋体" w:hint="default"/>
                <w:sz w:val="20"/>
                <w:szCs w:val="20"/>
              </w:rPr>
            </w:pPr>
            <w:r>
              <w:rPr>
                <w:rFonts w:cs="宋体"/>
                <w:sz w:val="20"/>
                <w:szCs w:val="20"/>
              </w:rPr>
              <w:t>部门：</w:t>
            </w:r>
            <w:r>
              <w:rPr>
                <w:sz w:val="20"/>
              </w:rPr>
              <w:t xml:space="preserve">垫江县退役军人事务局 </w:t>
            </w:r>
          </w:p>
        </w:tc>
        <w:tc>
          <w:tcPr>
            <w:tcW w:w="1716"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649"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581"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716"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958"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03</w:t>
            </w:r>
            <w:r>
              <w:rPr>
                <w:rFonts w:cs="宋体"/>
                <w:sz w:val="20"/>
                <w:szCs w:val="20"/>
              </w:rPr>
              <w:t>表</w:t>
            </w:r>
          </w:p>
        </w:tc>
      </w:tr>
      <w:tr w:rsidR="00455050">
        <w:trPr>
          <w:trHeight w:val="342"/>
        </w:trPr>
        <w:tc>
          <w:tcPr>
            <w:tcW w:w="6702" w:type="dxa"/>
            <w:gridSpan w:val="3"/>
            <w:vMerge/>
            <w:tcBorders>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716"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649"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581"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716"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958"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单位：万元</w:t>
            </w:r>
          </w:p>
        </w:tc>
      </w:tr>
      <w:tr w:rsidR="00455050">
        <w:trPr>
          <w:trHeight w:val="362"/>
        </w:trPr>
        <w:tc>
          <w:tcPr>
            <w:tcW w:w="50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sz w:val="20"/>
                <w:szCs w:val="20"/>
              </w:rPr>
            </w:pPr>
            <w:r>
              <w:rPr>
                <w:rFonts w:cs="宋体"/>
                <w:b/>
                <w:sz w:val="20"/>
                <w:szCs w:val="20"/>
              </w:rPr>
              <w:t>项目</w:t>
            </w:r>
          </w:p>
        </w:tc>
        <w:tc>
          <w:tcPr>
            <w:tcW w:w="16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本年支出合计</w:t>
            </w:r>
          </w:p>
        </w:tc>
        <w:tc>
          <w:tcPr>
            <w:tcW w:w="171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基本支出</w:t>
            </w:r>
          </w:p>
        </w:tc>
        <w:tc>
          <w:tcPr>
            <w:tcW w:w="1649"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项目支出</w:t>
            </w:r>
          </w:p>
        </w:tc>
        <w:tc>
          <w:tcPr>
            <w:tcW w:w="158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上缴上级支出</w:t>
            </w:r>
          </w:p>
        </w:tc>
        <w:tc>
          <w:tcPr>
            <w:tcW w:w="1716"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经营支出</w:t>
            </w:r>
          </w:p>
        </w:tc>
        <w:tc>
          <w:tcPr>
            <w:tcW w:w="1958"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对附属单位补助支出</w:t>
            </w:r>
          </w:p>
        </w:tc>
      </w:tr>
      <w:tr w:rsidR="00455050">
        <w:trPr>
          <w:trHeight w:val="594"/>
        </w:trPr>
        <w:tc>
          <w:tcPr>
            <w:tcW w:w="148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功能分类科目编码</w:t>
            </w:r>
          </w:p>
        </w:tc>
        <w:tc>
          <w:tcPr>
            <w:tcW w:w="3552" w:type="dxa"/>
            <w:vMerge w:val="restart"/>
            <w:tcBorders>
              <w:top w:val="nil"/>
              <w:left w:val="nil"/>
              <w:bottom w:val="single" w:sz="4" w:space="0" w:color="000000"/>
              <w:right w:val="nil"/>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项目（按“项”级功能分类科目）</w:t>
            </w:r>
          </w:p>
        </w:tc>
        <w:tc>
          <w:tcPr>
            <w:tcW w:w="16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6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594"/>
        </w:trPr>
        <w:tc>
          <w:tcPr>
            <w:tcW w:w="148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552" w:type="dxa"/>
            <w:vMerge/>
            <w:tcBorders>
              <w:top w:val="nil"/>
              <w:left w:val="nil"/>
              <w:bottom w:val="single" w:sz="4" w:space="0" w:color="000000"/>
              <w:right w:val="nil"/>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6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6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594"/>
        </w:trPr>
        <w:tc>
          <w:tcPr>
            <w:tcW w:w="148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552" w:type="dxa"/>
            <w:vMerge/>
            <w:tcBorders>
              <w:top w:val="nil"/>
              <w:left w:val="nil"/>
              <w:bottom w:val="single" w:sz="4" w:space="0" w:color="000000"/>
              <w:right w:val="nil"/>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6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6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594"/>
        </w:trPr>
        <w:tc>
          <w:tcPr>
            <w:tcW w:w="148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552" w:type="dxa"/>
            <w:vMerge/>
            <w:tcBorders>
              <w:top w:val="nil"/>
              <w:left w:val="nil"/>
              <w:bottom w:val="single" w:sz="4" w:space="0" w:color="000000"/>
              <w:right w:val="nil"/>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6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649"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58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16"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958"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362"/>
        </w:trPr>
        <w:tc>
          <w:tcPr>
            <w:tcW w:w="5035"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合计</w:t>
            </w:r>
          </w:p>
        </w:tc>
        <w:tc>
          <w:tcPr>
            <w:tcW w:w="1667"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11,149.40</w:t>
            </w:r>
            <w:r>
              <w:rPr>
                <w:rFonts w:ascii="Times New Roman" w:hAnsi="Times New Roman"/>
                <w:b/>
                <w:sz w:val="20"/>
              </w:rPr>
              <w:t xml:space="preserve"> </w:t>
            </w:r>
          </w:p>
        </w:tc>
        <w:tc>
          <w:tcPr>
            <w:tcW w:w="17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470.40</w:t>
            </w:r>
            <w:r>
              <w:rPr>
                <w:rFonts w:ascii="Times New Roman" w:hAnsi="Times New Roman"/>
                <w:b/>
                <w:sz w:val="20"/>
              </w:rPr>
              <w:t xml:space="preserve"> </w:t>
            </w:r>
          </w:p>
        </w:tc>
        <w:tc>
          <w:tcPr>
            <w:tcW w:w="1649"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10,679.00</w:t>
            </w:r>
            <w:r>
              <w:rPr>
                <w:rFonts w:ascii="Times New Roman" w:hAnsi="Times New Roman"/>
                <w:b/>
                <w:sz w:val="20"/>
              </w:rPr>
              <w:t xml:space="preserve"> </w:t>
            </w:r>
          </w:p>
        </w:tc>
        <w:tc>
          <w:tcPr>
            <w:tcW w:w="158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71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958"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205</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教育支出</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1.27</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1.27</w:t>
            </w:r>
            <w:r>
              <w:rPr>
                <w:rFonts w:ascii="Times New Roman" w:hAnsi="Times New Roman"/>
                <w:b/>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20508</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进修及培训</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1.27</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1.27</w:t>
            </w:r>
            <w:r>
              <w:rPr>
                <w:rFonts w:ascii="Times New Roman" w:hAnsi="Times New Roman"/>
                <w:b/>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2050803</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培训支出</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1.27</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1.27</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社会保障和就业支出</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10,598.48</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418.18</w:t>
            </w:r>
            <w:r>
              <w:rPr>
                <w:rFonts w:ascii="Times New Roman" w:hAnsi="Times New Roman"/>
                <w:b/>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10,180.29</w:t>
            </w:r>
            <w:r>
              <w:rPr>
                <w:rFonts w:ascii="Times New Roman" w:hAnsi="Times New Roman"/>
                <w:b/>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20801</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人力资源和社会保障管理事务</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0.02</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0.02</w:t>
            </w:r>
            <w:r>
              <w:rPr>
                <w:rFonts w:ascii="Times New Roman" w:hAnsi="Times New Roman"/>
                <w:b/>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2080102</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一般行政管理事务</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0.02</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0.02</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20805</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行政事业单位养老支出</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78.73</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78.73</w:t>
            </w:r>
            <w:r>
              <w:rPr>
                <w:rFonts w:ascii="Times New Roman" w:hAnsi="Times New Roman"/>
                <w:b/>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2080505</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机关事业单位基本养老保险缴费支出</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44.99</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44.99</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lastRenderedPageBreak/>
              <w:t>2080506</w:t>
            </w:r>
          </w:p>
        </w:tc>
        <w:tc>
          <w:tcPr>
            <w:tcW w:w="3552"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机关事业单位职业年金缴费支出</w:t>
            </w:r>
          </w:p>
        </w:tc>
        <w:tc>
          <w:tcPr>
            <w:tcW w:w="166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22.54</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22.54</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2080599</w:t>
            </w:r>
          </w:p>
        </w:tc>
        <w:tc>
          <w:tcPr>
            <w:tcW w:w="3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其他行政事业单位养老支出</w:t>
            </w:r>
          </w:p>
        </w:tc>
        <w:tc>
          <w:tcPr>
            <w:tcW w:w="16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11.20</w:t>
            </w:r>
            <w:r>
              <w:rPr>
                <w:rFonts w:ascii="Times New Roman" w:hAnsi="Times New Roman"/>
                <w:sz w:val="20"/>
              </w:rPr>
              <w:t xml:space="preserve"> </w:t>
            </w:r>
          </w:p>
        </w:tc>
        <w:tc>
          <w:tcPr>
            <w:tcW w:w="17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11.20</w:t>
            </w:r>
            <w:r>
              <w:rPr>
                <w:rFonts w:ascii="Times New Roman" w:hAnsi="Times New Roman"/>
                <w:sz w:val="20"/>
              </w:rPr>
              <w:t xml:space="preserve"> </w:t>
            </w:r>
          </w:p>
        </w:tc>
        <w:tc>
          <w:tcPr>
            <w:tcW w:w="16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20808</w:t>
            </w:r>
          </w:p>
        </w:tc>
        <w:tc>
          <w:tcPr>
            <w:tcW w:w="3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抚恤</w:t>
            </w:r>
          </w:p>
        </w:tc>
        <w:tc>
          <w:tcPr>
            <w:tcW w:w="16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8,158.54</w:t>
            </w:r>
            <w:r>
              <w:rPr>
                <w:rFonts w:ascii="Times New Roman" w:hAnsi="Times New Roman"/>
                <w:b/>
                <w:sz w:val="20"/>
              </w:rPr>
              <w:t xml:space="preserve"> </w:t>
            </w:r>
          </w:p>
        </w:tc>
        <w:tc>
          <w:tcPr>
            <w:tcW w:w="17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8,158.54</w:t>
            </w:r>
            <w:r>
              <w:rPr>
                <w:rFonts w:ascii="Times New Roman" w:hAnsi="Times New Roman"/>
                <w:b/>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82"/>
        </w:trPr>
        <w:tc>
          <w:tcPr>
            <w:tcW w:w="148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2080801</w:t>
            </w:r>
          </w:p>
        </w:tc>
        <w:tc>
          <w:tcPr>
            <w:tcW w:w="3552"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死亡抚恤</w:t>
            </w:r>
          </w:p>
        </w:tc>
        <w:tc>
          <w:tcPr>
            <w:tcW w:w="166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758.25</w:t>
            </w:r>
            <w:r>
              <w:rPr>
                <w:rFonts w:ascii="Times New Roman" w:hAnsi="Times New Roman"/>
                <w:sz w:val="20"/>
              </w:rPr>
              <w:t xml:space="preserve"> </w:t>
            </w:r>
          </w:p>
        </w:tc>
        <w:tc>
          <w:tcPr>
            <w:tcW w:w="171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758.25</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2080802</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伤残抚恤</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1,914.11</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1,914.11</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2080803</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在乡复员、退伍军人生活补助</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3,822.40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3,822.40</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2080805</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义务兵优待</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776.09</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776.09</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2080806</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农村籍退役士兵老年生活补助</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550.11</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550.11</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2080808</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褒扬纪念</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20.28</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20.28</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2080899</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其他优抚支出</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317.31</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317.31</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20809</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退役安置</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1,939.16</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1,939.16</w:t>
            </w:r>
            <w:r>
              <w:rPr>
                <w:rFonts w:ascii="Times New Roman" w:hAnsi="Times New Roman"/>
                <w:b/>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2080901</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退役士兵安置</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1,396.55</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1,396.55</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2080902</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军队移交政府的离退休人员安置</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240.80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240.80</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2080903</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军队移交政府离退休干部管理机构</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20.55</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20.55</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2080904</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退役士兵管理教育</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2.40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2.40</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2080905</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军队转业干部安置</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106.54</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106.54</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2080999</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其他退役安置支出</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172.33</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172.33</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lastRenderedPageBreak/>
              <w:t>20828</w:t>
            </w:r>
          </w:p>
        </w:tc>
        <w:tc>
          <w:tcPr>
            <w:tcW w:w="3552"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退役军人管理事务</w:t>
            </w:r>
          </w:p>
        </w:tc>
        <w:tc>
          <w:tcPr>
            <w:tcW w:w="1667"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422.02</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339.45</w:t>
            </w:r>
            <w:r>
              <w:rPr>
                <w:rFonts w:ascii="Times New Roman" w:hAnsi="Times New Roman"/>
                <w:b/>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82.57</w:t>
            </w:r>
            <w:r>
              <w:rPr>
                <w:rFonts w:ascii="Times New Roman" w:hAnsi="Times New Roman"/>
                <w:b/>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82"/>
        </w:trPr>
        <w:tc>
          <w:tcPr>
            <w:tcW w:w="14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2082801</w:t>
            </w:r>
          </w:p>
        </w:tc>
        <w:tc>
          <w:tcPr>
            <w:tcW w:w="3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行政运行</w:t>
            </w:r>
          </w:p>
        </w:tc>
        <w:tc>
          <w:tcPr>
            <w:tcW w:w="16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238.75</w:t>
            </w:r>
            <w:r>
              <w:rPr>
                <w:rFonts w:ascii="Times New Roman" w:hAnsi="Times New Roman"/>
                <w:sz w:val="20"/>
              </w:rPr>
              <w:t xml:space="preserve"> </w:t>
            </w:r>
          </w:p>
        </w:tc>
        <w:tc>
          <w:tcPr>
            <w:tcW w:w="17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238.75</w:t>
            </w:r>
            <w:r>
              <w:rPr>
                <w:rFonts w:ascii="Times New Roman" w:hAnsi="Times New Roman"/>
                <w:sz w:val="20"/>
              </w:rPr>
              <w:t xml:space="preserve"> </w:t>
            </w:r>
          </w:p>
        </w:tc>
        <w:tc>
          <w:tcPr>
            <w:tcW w:w="16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2082802</w:t>
            </w:r>
          </w:p>
        </w:tc>
        <w:tc>
          <w:tcPr>
            <w:tcW w:w="3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一般行政管理事务</w:t>
            </w:r>
          </w:p>
        </w:tc>
        <w:tc>
          <w:tcPr>
            <w:tcW w:w="16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2.40</w:t>
            </w:r>
            <w:r>
              <w:rPr>
                <w:rFonts w:ascii="Times New Roman" w:hAnsi="Times New Roman"/>
                <w:sz w:val="20"/>
              </w:rPr>
              <w:t xml:space="preserve"> </w:t>
            </w:r>
          </w:p>
        </w:tc>
        <w:tc>
          <w:tcPr>
            <w:tcW w:w="17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2.40</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2082804</w:t>
            </w:r>
          </w:p>
        </w:tc>
        <w:tc>
          <w:tcPr>
            <w:tcW w:w="3552"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拥军优属</w:t>
            </w:r>
          </w:p>
        </w:tc>
        <w:tc>
          <w:tcPr>
            <w:tcW w:w="166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17.59</w:t>
            </w:r>
            <w:r>
              <w:rPr>
                <w:rFonts w:ascii="Times New Roman" w:hAnsi="Times New Roman"/>
                <w:sz w:val="20"/>
              </w:rPr>
              <w:t xml:space="preserve"> </w:t>
            </w:r>
          </w:p>
        </w:tc>
        <w:tc>
          <w:tcPr>
            <w:tcW w:w="17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auto"/>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17.59</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2082850</w:t>
            </w:r>
          </w:p>
        </w:tc>
        <w:tc>
          <w:tcPr>
            <w:tcW w:w="3552"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事业运行</w:t>
            </w:r>
          </w:p>
        </w:tc>
        <w:tc>
          <w:tcPr>
            <w:tcW w:w="1667"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99.90</w:t>
            </w:r>
            <w:r>
              <w:rPr>
                <w:rFonts w:ascii="Times New Roman" w:hAnsi="Times New Roman"/>
                <w:sz w:val="20"/>
              </w:rPr>
              <w:t xml:space="preserve"> </w:t>
            </w:r>
          </w:p>
        </w:tc>
        <w:tc>
          <w:tcPr>
            <w:tcW w:w="171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99.90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2082899</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其他退役军人事务管理支出</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63.38</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0.80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62.58</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210</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卫生健康支出</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520.72</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22.02</w:t>
            </w:r>
            <w:r>
              <w:rPr>
                <w:rFonts w:ascii="Times New Roman" w:hAnsi="Times New Roman"/>
                <w:b/>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498.71</w:t>
            </w:r>
            <w:r>
              <w:rPr>
                <w:rFonts w:ascii="Times New Roman" w:hAnsi="Times New Roman"/>
                <w:b/>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21011</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行政事业单位医疗</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22.02</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22.02</w:t>
            </w:r>
            <w:r>
              <w:rPr>
                <w:rFonts w:ascii="Times New Roman" w:hAnsi="Times New Roman"/>
                <w:b/>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2101101</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行政单位医疗</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15.17</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15.17</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2101102</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事业单位医疗</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6.84</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6.84</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21014</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优抚对象医疗</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498.71</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498.71</w:t>
            </w:r>
            <w:r>
              <w:rPr>
                <w:rFonts w:ascii="Times New Roman" w:hAnsi="Times New Roman"/>
                <w:b/>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2101401</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优抚对象医疗补助</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498.71</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498.71</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221</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住房保障支出</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28.93</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28.93</w:t>
            </w:r>
            <w:r>
              <w:rPr>
                <w:rFonts w:ascii="Times New Roman" w:hAnsi="Times New Roman"/>
                <w:b/>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22102</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住房改革支出</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28.93</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28.93</w:t>
            </w:r>
            <w:r>
              <w:rPr>
                <w:rFonts w:ascii="Times New Roman" w:hAnsi="Times New Roman"/>
                <w:b/>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82"/>
        </w:trPr>
        <w:tc>
          <w:tcPr>
            <w:tcW w:w="1483"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2210201</w:t>
            </w:r>
          </w:p>
        </w:tc>
        <w:tc>
          <w:tcPr>
            <w:tcW w:w="355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住房公积金</w:t>
            </w:r>
          </w:p>
        </w:tc>
        <w:tc>
          <w:tcPr>
            <w:tcW w:w="16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28.93</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28.93</w:t>
            </w:r>
            <w:r>
              <w:rPr>
                <w:rFonts w:ascii="Times New Roman" w:hAnsi="Times New Roman"/>
                <w:sz w:val="20"/>
              </w:rPr>
              <w:t xml:space="preserve"> </w:t>
            </w:r>
          </w:p>
        </w:tc>
        <w:tc>
          <w:tcPr>
            <w:tcW w:w="164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58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7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c>
          <w:tcPr>
            <w:tcW w:w="1958"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20"/>
                <w:szCs w:val="20"/>
              </w:rPr>
            </w:pPr>
            <w:r>
              <w:rPr>
                <w:rFonts w:ascii="Times New Roman" w:hAnsi="Times New Roman" w:hint="default"/>
                <w:sz w:val="20"/>
                <w:szCs w:val="20"/>
              </w:rPr>
              <w:t>0.00</w:t>
            </w:r>
            <w:r>
              <w:rPr>
                <w:rFonts w:ascii="Times New Roman" w:hAnsi="Times New Roman"/>
                <w:sz w:val="20"/>
              </w:rPr>
              <w:t xml:space="preserve"> </w:t>
            </w:r>
          </w:p>
        </w:tc>
      </w:tr>
    </w:tbl>
    <w:p w:rsidR="00455050" w:rsidRDefault="000C51C5">
      <w:pPr>
        <w:shd w:val="clear" w:color="040000" w:fill="auto"/>
        <w:spacing w:line="594" w:lineRule="exact"/>
        <w:rPr>
          <w:rFonts w:cs="宋体" w:hint="default"/>
          <w:sz w:val="21"/>
          <w:szCs w:val="21"/>
        </w:rPr>
      </w:pPr>
      <w:r>
        <w:rPr>
          <w:rFonts w:cs="宋体"/>
          <w:sz w:val="20"/>
          <w:szCs w:val="20"/>
        </w:rPr>
        <w:lastRenderedPageBreak/>
        <w:t>备注：1.本表反映部门本年度各项支出情况。</w:t>
      </w:r>
      <w:r>
        <w:rPr>
          <w:rFonts w:cs="宋体"/>
          <w:sz w:val="20"/>
          <w:szCs w:val="20"/>
        </w:rPr>
        <w:br/>
        <w:t xml:space="preserve">      2.本套报表金额单位转换时可能存在尾数误差。</w:t>
      </w:r>
      <w:r>
        <w:rPr>
          <w:rFonts w:cs="宋体"/>
          <w:sz w:val="20"/>
          <w:szCs w:val="20"/>
        </w:rPr>
        <w:br/>
      </w:r>
    </w:p>
    <w:tbl>
      <w:tblPr>
        <w:tblW w:w="14678" w:type="dxa"/>
        <w:tblLayout w:type="fixed"/>
        <w:tblCellMar>
          <w:left w:w="0" w:type="dxa"/>
          <w:right w:w="0" w:type="dxa"/>
        </w:tblCellMar>
        <w:tblLook w:val="04A0" w:firstRow="1" w:lastRow="0" w:firstColumn="1" w:lastColumn="0" w:noHBand="0" w:noVBand="1"/>
      </w:tblPr>
      <w:tblGrid>
        <w:gridCol w:w="2967"/>
        <w:gridCol w:w="1521"/>
        <w:gridCol w:w="3179"/>
        <w:gridCol w:w="1694"/>
        <w:gridCol w:w="1694"/>
        <w:gridCol w:w="1694"/>
        <w:gridCol w:w="1929"/>
      </w:tblGrid>
      <w:tr w:rsidR="00455050">
        <w:trPr>
          <w:trHeight w:val="90"/>
        </w:trPr>
        <w:tc>
          <w:tcPr>
            <w:tcW w:w="14678" w:type="dxa"/>
            <w:gridSpan w:val="7"/>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sz w:val="32"/>
                <w:szCs w:val="32"/>
              </w:rPr>
            </w:pPr>
            <w:r>
              <w:rPr>
                <w:rFonts w:cs="宋体"/>
                <w:b/>
                <w:sz w:val="32"/>
                <w:szCs w:val="32"/>
              </w:rPr>
              <w:t>财政拨款收入支出决算总表</w:t>
            </w:r>
          </w:p>
        </w:tc>
      </w:tr>
      <w:tr w:rsidR="00455050">
        <w:trPr>
          <w:trHeight w:val="90"/>
        </w:trPr>
        <w:tc>
          <w:tcPr>
            <w:tcW w:w="7667" w:type="dxa"/>
            <w:gridSpan w:val="3"/>
            <w:vMerge w:val="restart"/>
            <w:tcBorders>
              <w:top w:val="nil"/>
              <w:left w:val="nil"/>
              <w:right w:val="nil"/>
            </w:tcBorders>
            <w:tcMar>
              <w:top w:w="15" w:type="dxa"/>
              <w:left w:w="15" w:type="dxa"/>
              <w:right w:w="15" w:type="dxa"/>
            </w:tcMar>
            <w:vAlign w:val="bottom"/>
          </w:tcPr>
          <w:p w:rsidR="00455050" w:rsidRDefault="000C51C5">
            <w:pPr>
              <w:shd w:val="clear" w:color="040000" w:fill="auto"/>
              <w:spacing w:line="594" w:lineRule="exact"/>
              <w:rPr>
                <w:rFonts w:cs="宋体" w:hint="default"/>
                <w:sz w:val="18"/>
                <w:szCs w:val="18"/>
              </w:rPr>
            </w:pPr>
            <w:r>
              <w:rPr>
                <w:rFonts w:cs="宋体"/>
                <w:sz w:val="20"/>
                <w:szCs w:val="20"/>
              </w:rPr>
              <w:t>部门：</w:t>
            </w:r>
            <w:r>
              <w:rPr>
                <w:sz w:val="20"/>
              </w:rPr>
              <w:t>垫江县退役军人事务局</w:t>
            </w:r>
          </w:p>
        </w:tc>
        <w:tc>
          <w:tcPr>
            <w:tcW w:w="1694"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1694"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1694"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1929"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04</w:t>
            </w:r>
            <w:r>
              <w:rPr>
                <w:rFonts w:cs="宋体"/>
                <w:sz w:val="20"/>
                <w:szCs w:val="20"/>
              </w:rPr>
              <w:t>表</w:t>
            </w:r>
          </w:p>
        </w:tc>
      </w:tr>
      <w:tr w:rsidR="00455050">
        <w:trPr>
          <w:trHeight w:val="90"/>
        </w:trPr>
        <w:tc>
          <w:tcPr>
            <w:tcW w:w="7667" w:type="dxa"/>
            <w:gridSpan w:val="3"/>
            <w:vMerge/>
            <w:tcBorders>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1694"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1694"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1694"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1929"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单位：万元</w:t>
            </w:r>
          </w:p>
        </w:tc>
      </w:tr>
      <w:tr w:rsidR="00455050">
        <w:trPr>
          <w:trHeight w:val="90"/>
        </w:trPr>
        <w:tc>
          <w:tcPr>
            <w:tcW w:w="448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收     入</w:t>
            </w:r>
          </w:p>
        </w:tc>
        <w:tc>
          <w:tcPr>
            <w:tcW w:w="10190"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支     出</w:t>
            </w:r>
          </w:p>
        </w:tc>
      </w:tr>
      <w:tr w:rsidR="00455050">
        <w:trPr>
          <w:trHeight w:val="90"/>
        </w:trPr>
        <w:tc>
          <w:tcPr>
            <w:tcW w:w="2967"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项目</w:t>
            </w:r>
          </w:p>
        </w:tc>
        <w:tc>
          <w:tcPr>
            <w:tcW w:w="152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决算数</w:t>
            </w:r>
          </w:p>
        </w:tc>
        <w:tc>
          <w:tcPr>
            <w:tcW w:w="3179"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功能分类科目</w:t>
            </w:r>
          </w:p>
        </w:tc>
        <w:tc>
          <w:tcPr>
            <w:tcW w:w="7011" w:type="dxa"/>
            <w:gridSpan w:val="4"/>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决算数</w:t>
            </w:r>
          </w:p>
        </w:tc>
      </w:tr>
      <w:tr w:rsidR="00455050">
        <w:trPr>
          <w:trHeight w:val="90"/>
        </w:trPr>
        <w:tc>
          <w:tcPr>
            <w:tcW w:w="2967"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c>
          <w:tcPr>
            <w:tcW w:w="152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c>
          <w:tcPr>
            <w:tcW w:w="3179"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小计</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一般公共预算财政拨款</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政府性基金预算财政拨款</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国有资本经营预算财政拨款</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一、一般公共预算财政拨款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11,149.40</w:t>
            </w:r>
            <w:r>
              <w:rPr>
                <w:rFonts w:ascii="Times New Roman" w:hAnsi="Times New Roman"/>
                <w:sz w:val="18"/>
              </w:rPr>
              <w:t xml:space="preserve"> </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一、一般公共服务支出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二、政府性基金预算财政拨款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二、外交支出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三、国有资本经营预算财政拨款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三、国防支出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四、公共安全支出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五、教育支出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1.27</w:t>
            </w: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1.27</w:t>
            </w: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六、科学技术支出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七、文化旅游体育与传媒支出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八、社会保障和就业支出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10,598.48</w:t>
            </w: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10,598.48</w:t>
            </w: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九、卫生健康支出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520.72</w:t>
            </w: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520.72</w:t>
            </w: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十、节能环保支出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十一、城乡社区支出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十二、农林水支出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十三、交通运输支出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十四、资源勘探工业信息等支出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十五、商业服务业等支出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十六、金融支出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十七、援助其他地区支出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十八、自然资源海洋气象等支出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十九、住房保障支出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28.93</w:t>
            </w: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28.93</w:t>
            </w: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二十、粮油物资储备支出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二十一、国有资本经营预算支出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二十二、灾害防治及应急管理支出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二十三、其他支出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二十四、债务还本支出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二十五、债务付息支出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cs="宋体" w:hint="default"/>
                <w:b/>
                <w:bCs/>
                <w:sz w:val="18"/>
                <w:szCs w:val="18"/>
              </w:rPr>
            </w:pP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二十六、抗疫特别国债安排的支出</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bCs/>
                <w:sz w:val="18"/>
                <w:szCs w:val="18"/>
              </w:rPr>
            </w:pPr>
            <w:r>
              <w:rPr>
                <w:rFonts w:cs="宋体"/>
                <w:b/>
                <w:bCs/>
                <w:sz w:val="18"/>
                <w:szCs w:val="18"/>
              </w:rPr>
              <w:t>本年收入合计</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11,149.40</w:t>
            </w:r>
            <w:r>
              <w:rPr>
                <w:rFonts w:ascii="Times New Roman" w:hAnsi="Times New Roman"/>
                <w:sz w:val="18"/>
              </w:rPr>
              <w:t xml:space="preserve"> </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bCs/>
                <w:sz w:val="18"/>
                <w:szCs w:val="18"/>
              </w:rPr>
            </w:pPr>
            <w:r>
              <w:rPr>
                <w:rFonts w:cs="宋体"/>
                <w:b/>
                <w:bCs/>
                <w:sz w:val="18"/>
                <w:szCs w:val="18"/>
              </w:rPr>
              <w:t>本年支出合计</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11,149.40</w:t>
            </w: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11,149.40</w:t>
            </w: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年初财政拨款结转和结余</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年末财政拨款结转和结余</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 xml:space="preserve">  一般公共预算财政拨款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ascii="Times New Roman" w:hAnsi="Times New Roman"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ascii="Times New Roman" w:hAnsi="Times New Roman"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ascii="Times New Roman" w:hAnsi="Times New Roman"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ascii="Times New Roman" w:hAnsi="Times New Roman" w:hint="default"/>
                <w:sz w:val="18"/>
                <w:szCs w:val="18"/>
              </w:rPr>
            </w:pP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 xml:space="preserve">  政府性基金预算财政拨款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 xml:space="preserve">  国有资本经营预算财政拨款</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r>
      <w:tr w:rsidR="00455050">
        <w:trPr>
          <w:trHeight w:val="90"/>
        </w:trPr>
        <w:tc>
          <w:tcPr>
            <w:tcW w:w="2967"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总计</w:t>
            </w:r>
          </w:p>
        </w:tc>
        <w:tc>
          <w:tcPr>
            <w:tcW w:w="152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11,149.40</w:t>
            </w:r>
            <w:r>
              <w:rPr>
                <w:rFonts w:ascii="Times New Roman" w:hAnsi="Times New Roman"/>
                <w:sz w:val="18"/>
              </w:rPr>
              <w:t xml:space="preserve"> </w:t>
            </w:r>
          </w:p>
        </w:tc>
        <w:tc>
          <w:tcPr>
            <w:tcW w:w="317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总计</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11,149.40</w:t>
            </w: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11,149.40</w:t>
            </w:r>
            <w:r>
              <w:rPr>
                <w:rFonts w:ascii="Times New Roman" w:hAnsi="Times New Roman"/>
                <w:sz w:val="18"/>
              </w:rPr>
              <w:t xml:space="preserve"> </w:t>
            </w:r>
          </w:p>
        </w:tc>
        <w:tc>
          <w:tcPr>
            <w:tcW w:w="169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1929"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bl>
    <w:p w:rsidR="00455050" w:rsidRDefault="000C51C5">
      <w:pPr>
        <w:shd w:val="clear" w:color="040000" w:fill="auto"/>
        <w:spacing w:line="594" w:lineRule="exact"/>
        <w:rPr>
          <w:rFonts w:cs="宋体" w:hint="default"/>
          <w:sz w:val="20"/>
          <w:szCs w:val="20"/>
        </w:rPr>
      </w:pPr>
      <w:r>
        <w:rPr>
          <w:rFonts w:cs="宋体"/>
          <w:sz w:val="20"/>
          <w:szCs w:val="20"/>
        </w:rPr>
        <w:t>备注：1.本表反映部门本年度一般公共预算财政拨款、政府性基金预算财政拨款及国有资本经营预算财政拨款的总收支和年末结转结余情况。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486"/>
        <w:gridCol w:w="3895"/>
        <w:gridCol w:w="3306"/>
        <w:gridCol w:w="3300"/>
        <w:gridCol w:w="3335"/>
      </w:tblGrid>
      <w:tr w:rsidR="00455050">
        <w:trPr>
          <w:trHeight w:val="510"/>
        </w:trPr>
        <w:tc>
          <w:tcPr>
            <w:tcW w:w="15322" w:type="dxa"/>
            <w:gridSpan w:val="5"/>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sz w:val="32"/>
                <w:szCs w:val="32"/>
              </w:rPr>
            </w:pPr>
            <w:r>
              <w:rPr>
                <w:rFonts w:cs="宋体"/>
                <w:b/>
                <w:sz w:val="32"/>
                <w:szCs w:val="32"/>
              </w:rPr>
              <w:lastRenderedPageBreak/>
              <w:t>一般公共预算财政拨款支出决算表</w:t>
            </w:r>
          </w:p>
        </w:tc>
      </w:tr>
      <w:tr w:rsidR="00455050">
        <w:trPr>
          <w:trHeight w:val="255"/>
        </w:trPr>
        <w:tc>
          <w:tcPr>
            <w:tcW w:w="8687" w:type="dxa"/>
            <w:gridSpan w:val="3"/>
            <w:vMerge w:val="restart"/>
            <w:tcBorders>
              <w:top w:val="nil"/>
              <w:left w:val="nil"/>
              <w:right w:val="nil"/>
            </w:tcBorders>
            <w:tcMar>
              <w:top w:w="15" w:type="dxa"/>
              <w:left w:w="15" w:type="dxa"/>
              <w:right w:w="15" w:type="dxa"/>
            </w:tcMar>
            <w:vAlign w:val="bottom"/>
          </w:tcPr>
          <w:p w:rsidR="00455050" w:rsidRDefault="000C51C5">
            <w:pPr>
              <w:shd w:val="clear" w:color="040000" w:fill="auto"/>
              <w:spacing w:line="594" w:lineRule="exact"/>
              <w:rPr>
                <w:rFonts w:cs="宋体" w:hint="default"/>
                <w:sz w:val="20"/>
                <w:szCs w:val="20"/>
              </w:rPr>
            </w:pPr>
            <w:r>
              <w:rPr>
                <w:rFonts w:cs="宋体"/>
                <w:sz w:val="20"/>
                <w:szCs w:val="20"/>
              </w:rPr>
              <w:t>部门：</w:t>
            </w:r>
            <w:r>
              <w:rPr>
                <w:sz w:val="20"/>
              </w:rPr>
              <w:t>垫江县退役军人事务局</w:t>
            </w:r>
          </w:p>
        </w:tc>
        <w:tc>
          <w:tcPr>
            <w:tcW w:w="3300"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3335"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05</w:t>
            </w:r>
            <w:r>
              <w:rPr>
                <w:rFonts w:cs="宋体"/>
                <w:sz w:val="20"/>
                <w:szCs w:val="20"/>
              </w:rPr>
              <w:t>表</w:t>
            </w:r>
          </w:p>
        </w:tc>
      </w:tr>
      <w:tr w:rsidR="00455050">
        <w:trPr>
          <w:trHeight w:val="285"/>
        </w:trPr>
        <w:tc>
          <w:tcPr>
            <w:tcW w:w="8687" w:type="dxa"/>
            <w:gridSpan w:val="3"/>
            <w:vMerge/>
            <w:tcBorders>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3300"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3335"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单位：万元</w:t>
            </w:r>
          </w:p>
        </w:tc>
      </w:tr>
      <w:tr w:rsidR="00455050">
        <w:trPr>
          <w:trHeight w:val="308"/>
        </w:trPr>
        <w:tc>
          <w:tcPr>
            <w:tcW w:w="5381"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项目</w:t>
            </w:r>
          </w:p>
        </w:tc>
        <w:tc>
          <w:tcPr>
            <w:tcW w:w="9941"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本年支出</w:t>
            </w:r>
          </w:p>
        </w:tc>
      </w:tr>
      <w:tr w:rsidR="00455050">
        <w:trPr>
          <w:trHeight w:val="594"/>
        </w:trPr>
        <w:tc>
          <w:tcPr>
            <w:tcW w:w="1486"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功能分类科目编码</w:t>
            </w:r>
          </w:p>
        </w:tc>
        <w:tc>
          <w:tcPr>
            <w:tcW w:w="389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项目（按“项”级功能分类科目）</w:t>
            </w:r>
          </w:p>
        </w:tc>
        <w:tc>
          <w:tcPr>
            <w:tcW w:w="3306"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合计</w:t>
            </w:r>
          </w:p>
        </w:tc>
        <w:tc>
          <w:tcPr>
            <w:tcW w:w="330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基本支出</w:t>
            </w:r>
          </w:p>
        </w:tc>
        <w:tc>
          <w:tcPr>
            <w:tcW w:w="333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项目支出</w:t>
            </w:r>
          </w:p>
        </w:tc>
      </w:tr>
      <w:tr w:rsidR="00455050">
        <w:trPr>
          <w:trHeight w:val="594"/>
        </w:trPr>
        <w:tc>
          <w:tcPr>
            <w:tcW w:w="148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895"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306"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300"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335"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615"/>
        </w:trPr>
        <w:tc>
          <w:tcPr>
            <w:tcW w:w="1486"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895"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306"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300"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335"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308"/>
        </w:trPr>
        <w:tc>
          <w:tcPr>
            <w:tcW w:w="5381"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合计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11,149.40</w:t>
            </w:r>
            <w:r>
              <w:rPr>
                <w:rFonts w:ascii="Times New Roman" w:hAnsi="Times New Roman"/>
                <w:b/>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470.40</w:t>
            </w:r>
            <w:r>
              <w:rPr>
                <w:rFonts w:ascii="Times New Roman" w:hAnsi="Times New Roman"/>
                <w:b/>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10,679.00</w:t>
            </w:r>
            <w:r>
              <w:rPr>
                <w:rFonts w:ascii="Times New Roman" w:hAnsi="Times New Roman"/>
                <w:b/>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205</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教育支出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1.27</w:t>
            </w:r>
            <w:r>
              <w:rPr>
                <w:rFonts w:ascii="Times New Roman" w:hAnsi="Times New Roman"/>
                <w:b/>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1.27</w:t>
            </w:r>
            <w:r>
              <w:rPr>
                <w:rFonts w:ascii="Times New Roman" w:hAnsi="Times New Roman"/>
                <w:b/>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20508</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进修及培训</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1.27</w:t>
            </w:r>
            <w:r>
              <w:rPr>
                <w:rFonts w:ascii="Times New Roman" w:hAnsi="Times New Roman"/>
                <w:b/>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1.27</w:t>
            </w:r>
            <w:r>
              <w:rPr>
                <w:rFonts w:ascii="Times New Roman" w:hAnsi="Times New Roman"/>
                <w:b/>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2050803</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培训支出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1.27</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1.27</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社会保障和就业支出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10,598.48</w:t>
            </w:r>
            <w:r>
              <w:rPr>
                <w:rFonts w:ascii="Times New Roman" w:hAnsi="Times New Roman"/>
                <w:b/>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418.18</w:t>
            </w:r>
            <w:r>
              <w:rPr>
                <w:rFonts w:ascii="Times New Roman" w:hAnsi="Times New Roman"/>
                <w:b/>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10,180.29</w:t>
            </w:r>
            <w:r>
              <w:rPr>
                <w:rFonts w:ascii="Times New Roman" w:hAnsi="Times New Roman"/>
                <w:b/>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20801</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人力资源和社会保障管理事务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0.02</w:t>
            </w:r>
            <w:r>
              <w:rPr>
                <w:rFonts w:ascii="Times New Roman" w:hAnsi="Times New Roman"/>
                <w:b/>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0.02</w:t>
            </w:r>
            <w:r>
              <w:rPr>
                <w:rFonts w:ascii="Times New Roman" w:hAnsi="Times New Roman"/>
                <w:b/>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2080102</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一般行政管理事务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0.02</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0.02</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20805</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行政事业单位养老支出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78.73</w:t>
            </w:r>
            <w:r>
              <w:rPr>
                <w:rFonts w:ascii="Times New Roman" w:hAnsi="Times New Roman"/>
                <w:b/>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78.73</w:t>
            </w:r>
            <w:r>
              <w:rPr>
                <w:rFonts w:ascii="Times New Roman" w:hAnsi="Times New Roman"/>
                <w:b/>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2080505</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机关事业单位基本养老保险缴费支出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44.99</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44.99</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2080506</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机关事业单位职业年金缴费支出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22.54</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22.54</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lastRenderedPageBreak/>
              <w:t>2080599</w:t>
            </w:r>
          </w:p>
        </w:tc>
        <w:tc>
          <w:tcPr>
            <w:tcW w:w="3895"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其他行政事业单位养老支出</w:t>
            </w:r>
          </w:p>
        </w:tc>
        <w:tc>
          <w:tcPr>
            <w:tcW w:w="3306"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11.20</w:t>
            </w:r>
            <w:r>
              <w:rPr>
                <w:rFonts w:ascii="Times New Roman" w:hAnsi="Times New Roman"/>
                <w:sz w:val="20"/>
              </w:rPr>
              <w:t xml:space="preserve"> </w:t>
            </w:r>
          </w:p>
        </w:tc>
        <w:tc>
          <w:tcPr>
            <w:tcW w:w="3300"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11.20</w:t>
            </w:r>
            <w:r>
              <w:rPr>
                <w:rFonts w:ascii="Times New Roman" w:hAnsi="Times New Roman"/>
                <w:sz w:val="20"/>
              </w:rPr>
              <w:t xml:space="preserve"> </w:t>
            </w:r>
          </w:p>
        </w:tc>
        <w:tc>
          <w:tcPr>
            <w:tcW w:w="3335"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08"/>
        </w:trPr>
        <w:tc>
          <w:tcPr>
            <w:tcW w:w="14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20808</w:t>
            </w:r>
          </w:p>
        </w:tc>
        <w:tc>
          <w:tcPr>
            <w:tcW w:w="38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抚恤</w:t>
            </w:r>
          </w:p>
        </w:tc>
        <w:tc>
          <w:tcPr>
            <w:tcW w:w="33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8,158.54</w:t>
            </w:r>
            <w:r>
              <w:rPr>
                <w:rFonts w:ascii="Times New Roman" w:hAnsi="Times New Roman"/>
                <w:b/>
                <w:sz w:val="20"/>
              </w:rPr>
              <w:t xml:space="preserve"> </w:t>
            </w:r>
          </w:p>
        </w:tc>
        <w:tc>
          <w:tcPr>
            <w:tcW w:w="3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8,158.54</w:t>
            </w:r>
            <w:r>
              <w:rPr>
                <w:rFonts w:ascii="Times New Roman" w:hAnsi="Times New Roman"/>
                <w:b/>
                <w:sz w:val="20"/>
              </w:rPr>
              <w:t xml:space="preserve"> </w:t>
            </w:r>
          </w:p>
        </w:tc>
      </w:tr>
      <w:tr w:rsidR="00455050">
        <w:trPr>
          <w:trHeight w:val="308"/>
        </w:trPr>
        <w:tc>
          <w:tcPr>
            <w:tcW w:w="148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2080801</w:t>
            </w:r>
          </w:p>
        </w:tc>
        <w:tc>
          <w:tcPr>
            <w:tcW w:w="3895"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死亡抚恤</w:t>
            </w:r>
          </w:p>
        </w:tc>
        <w:tc>
          <w:tcPr>
            <w:tcW w:w="3306"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758.25</w:t>
            </w:r>
            <w:r>
              <w:rPr>
                <w:rFonts w:ascii="Times New Roman" w:hAnsi="Times New Roman"/>
                <w:sz w:val="20"/>
              </w:rPr>
              <w:t xml:space="preserve"> </w:t>
            </w:r>
          </w:p>
        </w:tc>
        <w:tc>
          <w:tcPr>
            <w:tcW w:w="3300"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758.25</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2080802</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伤残抚恤</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1,914.11</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1,914.11</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2080803</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在乡复员、退伍军人生活补助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3,822.40</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3,822.40</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2080805</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义务兵优待</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776.09</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776.09</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2080806</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农村籍退役士兵老年生活补助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550.11</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550.11</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2080808</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褒扬纪念</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20.28</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20.28</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2080899</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其他优抚支出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317.31</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317.31</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20809</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退役安置</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1,939.16</w:t>
            </w:r>
            <w:r>
              <w:rPr>
                <w:rFonts w:ascii="Times New Roman" w:hAnsi="Times New Roman"/>
                <w:b/>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1,939.16</w:t>
            </w:r>
            <w:r>
              <w:rPr>
                <w:rFonts w:ascii="Times New Roman" w:hAnsi="Times New Roman"/>
                <w:b/>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2080901</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退役士兵安置</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1,396.55</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1,396.55</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2080902</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军队移交政府的离退休人员安置</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240.80</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240.80</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2080903</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军队移交政府离退休干部管理机构</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20.55</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20.55</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2080904</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退役士兵管理教育</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2.40</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2.40</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2080905</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军队转业干部安置</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106.54</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106.54</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2080999</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其他退役安置支出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172.33</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172.33</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20828</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退役军人管理事务</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422.02</w:t>
            </w:r>
            <w:r>
              <w:rPr>
                <w:rFonts w:ascii="Times New Roman" w:hAnsi="Times New Roman"/>
                <w:b/>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339.45</w:t>
            </w:r>
            <w:r>
              <w:rPr>
                <w:rFonts w:ascii="Times New Roman" w:hAnsi="Times New Roman"/>
                <w:b/>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82.57</w:t>
            </w:r>
            <w:r>
              <w:rPr>
                <w:rFonts w:ascii="Times New Roman" w:hAnsi="Times New Roman"/>
                <w:b/>
                <w:sz w:val="20"/>
              </w:rPr>
              <w:t xml:space="preserve"> </w:t>
            </w:r>
          </w:p>
        </w:tc>
      </w:tr>
      <w:tr w:rsidR="00455050">
        <w:trPr>
          <w:trHeight w:val="308"/>
        </w:trPr>
        <w:tc>
          <w:tcPr>
            <w:tcW w:w="1486" w:type="dxa"/>
            <w:tcBorders>
              <w:top w:val="nil"/>
              <w:left w:val="single" w:sz="4" w:space="0" w:color="000000"/>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lastRenderedPageBreak/>
              <w:t>2082801</w:t>
            </w:r>
          </w:p>
        </w:tc>
        <w:tc>
          <w:tcPr>
            <w:tcW w:w="3895"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行政运行</w:t>
            </w:r>
          </w:p>
        </w:tc>
        <w:tc>
          <w:tcPr>
            <w:tcW w:w="3306"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238.75</w:t>
            </w:r>
            <w:r>
              <w:rPr>
                <w:rFonts w:ascii="Times New Roman" w:hAnsi="Times New Roman"/>
                <w:sz w:val="20"/>
              </w:rPr>
              <w:t xml:space="preserve"> </w:t>
            </w:r>
          </w:p>
        </w:tc>
        <w:tc>
          <w:tcPr>
            <w:tcW w:w="3300"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238.75</w:t>
            </w:r>
            <w:r>
              <w:rPr>
                <w:rFonts w:ascii="Times New Roman" w:hAnsi="Times New Roman"/>
                <w:sz w:val="20"/>
              </w:rPr>
              <w:t xml:space="preserve"> </w:t>
            </w:r>
          </w:p>
        </w:tc>
        <w:tc>
          <w:tcPr>
            <w:tcW w:w="3335" w:type="dxa"/>
            <w:tcBorders>
              <w:top w:val="nil"/>
              <w:left w:val="nil"/>
              <w:bottom w:val="single" w:sz="4" w:space="0" w:color="auto"/>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08"/>
        </w:trPr>
        <w:tc>
          <w:tcPr>
            <w:tcW w:w="14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2082802</w:t>
            </w:r>
          </w:p>
        </w:tc>
        <w:tc>
          <w:tcPr>
            <w:tcW w:w="38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一般行政管理事务</w:t>
            </w:r>
          </w:p>
        </w:tc>
        <w:tc>
          <w:tcPr>
            <w:tcW w:w="33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2.40</w:t>
            </w:r>
            <w:r>
              <w:rPr>
                <w:rFonts w:ascii="Times New Roman" w:hAnsi="Times New Roman"/>
                <w:sz w:val="20"/>
              </w:rPr>
              <w:t xml:space="preserve"> </w:t>
            </w:r>
          </w:p>
        </w:tc>
        <w:tc>
          <w:tcPr>
            <w:tcW w:w="3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2.40</w:t>
            </w:r>
            <w:r>
              <w:rPr>
                <w:rFonts w:ascii="Times New Roman" w:hAnsi="Times New Roman"/>
                <w:sz w:val="20"/>
              </w:rPr>
              <w:t xml:space="preserve"> </w:t>
            </w:r>
          </w:p>
        </w:tc>
      </w:tr>
      <w:tr w:rsidR="00455050">
        <w:trPr>
          <w:trHeight w:val="308"/>
        </w:trPr>
        <w:tc>
          <w:tcPr>
            <w:tcW w:w="148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2082804</w:t>
            </w:r>
          </w:p>
        </w:tc>
        <w:tc>
          <w:tcPr>
            <w:tcW w:w="389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拥军优属</w:t>
            </w:r>
          </w:p>
        </w:tc>
        <w:tc>
          <w:tcPr>
            <w:tcW w:w="330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17.59</w:t>
            </w:r>
            <w:r>
              <w:rPr>
                <w:rFonts w:ascii="Times New Roman" w:hAnsi="Times New Roman"/>
                <w:sz w:val="20"/>
              </w:rPr>
              <w:t xml:space="preserve"> </w:t>
            </w:r>
          </w:p>
        </w:tc>
        <w:tc>
          <w:tcPr>
            <w:tcW w:w="3300"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17.59</w:t>
            </w:r>
            <w:r>
              <w:rPr>
                <w:rFonts w:ascii="Times New Roman" w:hAnsi="Times New Roman"/>
                <w:sz w:val="20"/>
              </w:rPr>
              <w:t xml:space="preserve"> </w:t>
            </w:r>
          </w:p>
        </w:tc>
      </w:tr>
      <w:tr w:rsidR="00455050">
        <w:trPr>
          <w:trHeight w:val="308"/>
        </w:trPr>
        <w:tc>
          <w:tcPr>
            <w:tcW w:w="1486" w:type="dxa"/>
            <w:tcBorders>
              <w:top w:val="single" w:sz="4" w:space="0" w:color="auto"/>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2082850</w:t>
            </w:r>
          </w:p>
        </w:tc>
        <w:tc>
          <w:tcPr>
            <w:tcW w:w="3895"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事业运行</w:t>
            </w:r>
          </w:p>
        </w:tc>
        <w:tc>
          <w:tcPr>
            <w:tcW w:w="3306"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99.90</w:t>
            </w:r>
            <w:r>
              <w:rPr>
                <w:rFonts w:ascii="Times New Roman" w:hAnsi="Times New Roman"/>
                <w:sz w:val="20"/>
              </w:rPr>
              <w:t xml:space="preserve"> </w:t>
            </w:r>
          </w:p>
        </w:tc>
        <w:tc>
          <w:tcPr>
            <w:tcW w:w="3300"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99.90</w:t>
            </w:r>
            <w:r>
              <w:rPr>
                <w:rFonts w:ascii="Times New Roman" w:hAnsi="Times New Roman"/>
                <w:sz w:val="20"/>
              </w:rPr>
              <w:t xml:space="preserve"> </w:t>
            </w:r>
          </w:p>
        </w:tc>
        <w:tc>
          <w:tcPr>
            <w:tcW w:w="3335" w:type="dxa"/>
            <w:tcBorders>
              <w:top w:val="single" w:sz="4" w:space="0" w:color="auto"/>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2082899</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其他退役军人事务管理支出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63.38</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0.80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62.58</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210</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卫生健康支出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520.72</w:t>
            </w:r>
            <w:r>
              <w:rPr>
                <w:rFonts w:ascii="Times New Roman" w:hAnsi="Times New Roman"/>
                <w:b/>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22.02</w:t>
            </w:r>
            <w:r>
              <w:rPr>
                <w:rFonts w:ascii="Times New Roman" w:hAnsi="Times New Roman"/>
                <w:b/>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498.71</w:t>
            </w:r>
            <w:r>
              <w:rPr>
                <w:rFonts w:ascii="Times New Roman" w:hAnsi="Times New Roman"/>
                <w:b/>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21011</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行政事业单位医疗</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22.02</w:t>
            </w:r>
            <w:r>
              <w:rPr>
                <w:rFonts w:ascii="Times New Roman" w:hAnsi="Times New Roman"/>
                <w:b/>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22.02</w:t>
            </w:r>
            <w:r>
              <w:rPr>
                <w:rFonts w:ascii="Times New Roman" w:hAnsi="Times New Roman"/>
                <w:b/>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2101101</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行政单位医疗</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15.17</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15.17</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2101102</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事业单位医疗</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6.84</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6.84</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21014</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优抚对象医疗</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498.71</w:t>
            </w:r>
            <w:r>
              <w:rPr>
                <w:rFonts w:ascii="Times New Roman" w:hAnsi="Times New Roman"/>
                <w:b/>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498.71</w:t>
            </w:r>
            <w:r>
              <w:rPr>
                <w:rFonts w:ascii="Times New Roman" w:hAnsi="Times New Roman"/>
                <w:b/>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2101401</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优抚对象医疗补助</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498.71</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498.71</w:t>
            </w:r>
            <w:r>
              <w:rPr>
                <w:rFonts w:ascii="Times New Roman" w:hAnsi="Times New Roman"/>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221</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住房保障支出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28.93</w:t>
            </w:r>
            <w:r>
              <w:rPr>
                <w:rFonts w:ascii="Times New Roman" w:hAnsi="Times New Roman"/>
                <w:b/>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28.93</w:t>
            </w:r>
            <w:r>
              <w:rPr>
                <w:rFonts w:ascii="Times New Roman" w:hAnsi="Times New Roman"/>
                <w:b/>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22102</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b/>
                <w:sz w:val="20"/>
                <w:szCs w:val="20"/>
              </w:rPr>
              <w:t>住房改革支出</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28.93</w:t>
            </w:r>
            <w:r>
              <w:rPr>
                <w:rFonts w:ascii="Times New Roman" w:hAnsi="Times New Roman"/>
                <w:b/>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28.93</w:t>
            </w:r>
            <w:r>
              <w:rPr>
                <w:rFonts w:ascii="Times New Roman" w:hAnsi="Times New Roman"/>
                <w:b/>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sz w:val="20"/>
                <w:szCs w:val="20"/>
              </w:rPr>
              <w:t>0.00</w:t>
            </w:r>
            <w:r>
              <w:rPr>
                <w:rFonts w:ascii="Times New Roman" w:hAnsi="Times New Roman"/>
                <w:b/>
                <w:sz w:val="20"/>
              </w:rPr>
              <w:t xml:space="preserve"> </w:t>
            </w:r>
          </w:p>
        </w:tc>
      </w:tr>
      <w:tr w:rsidR="00455050">
        <w:trPr>
          <w:trHeight w:val="308"/>
        </w:trPr>
        <w:tc>
          <w:tcPr>
            <w:tcW w:w="1486"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2210201</w:t>
            </w:r>
          </w:p>
        </w:tc>
        <w:tc>
          <w:tcPr>
            <w:tcW w:w="389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20"/>
                <w:szCs w:val="20"/>
              </w:rPr>
            </w:pPr>
            <w:r>
              <w:rPr>
                <w:rFonts w:cs="宋体"/>
                <w:sz w:val="20"/>
                <w:szCs w:val="20"/>
              </w:rPr>
              <w:t>住房公积金</w:t>
            </w:r>
          </w:p>
        </w:tc>
        <w:tc>
          <w:tcPr>
            <w:tcW w:w="3306"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28.93</w:t>
            </w:r>
            <w:r>
              <w:rPr>
                <w:rFonts w:ascii="Times New Roman" w:hAnsi="Times New Roman"/>
                <w:sz w:val="20"/>
              </w:rPr>
              <w:t xml:space="preserve"> </w:t>
            </w:r>
          </w:p>
        </w:tc>
        <w:tc>
          <w:tcPr>
            <w:tcW w:w="3300"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28.93</w:t>
            </w:r>
            <w:r>
              <w:rPr>
                <w:rFonts w:ascii="Times New Roman" w:hAnsi="Times New Roman"/>
                <w:sz w:val="20"/>
              </w:rPr>
              <w:t xml:space="preserve"> </w:t>
            </w:r>
          </w:p>
        </w:tc>
        <w:tc>
          <w:tcPr>
            <w:tcW w:w="333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bl>
    <w:p w:rsidR="00455050" w:rsidRDefault="000C51C5">
      <w:pPr>
        <w:shd w:val="clear" w:color="040000" w:fill="auto"/>
        <w:spacing w:line="594" w:lineRule="exact"/>
        <w:rPr>
          <w:rFonts w:cs="宋体" w:hint="default"/>
          <w:sz w:val="21"/>
          <w:szCs w:val="21"/>
        </w:rPr>
      </w:pPr>
      <w:r>
        <w:rPr>
          <w:rFonts w:cs="宋体"/>
          <w:sz w:val="20"/>
          <w:szCs w:val="20"/>
        </w:rPr>
        <w:t>备注：1.本表反映部门本年度一般公共预算财政拨款支出情况。</w:t>
      </w:r>
      <w:r>
        <w:rPr>
          <w:rFonts w:cs="宋体"/>
          <w:sz w:val="20"/>
          <w:szCs w:val="20"/>
        </w:rPr>
        <w:br/>
        <w:t xml:space="preserve">      2.本套报表金额单位转换时可能存在尾数误差。</w:t>
      </w:r>
      <w:r>
        <w:rPr>
          <w:rFonts w:cs="宋体"/>
          <w:sz w:val="20"/>
          <w:szCs w:val="20"/>
        </w:rPr>
        <w:br/>
      </w:r>
      <w:r>
        <w:rPr>
          <w:rFonts w:cs="宋体"/>
          <w:sz w:val="20"/>
          <w:szCs w:val="20"/>
        </w:rPr>
        <w:lastRenderedPageBreak/>
        <w:br/>
      </w:r>
    </w:p>
    <w:p w:rsidR="00455050" w:rsidRDefault="000C51C5">
      <w:pPr>
        <w:shd w:val="clear" w:color="040000" w:fill="auto"/>
        <w:spacing w:line="594" w:lineRule="exact"/>
        <w:ind w:firstLineChars="300" w:firstLine="630"/>
        <w:rPr>
          <w:rFonts w:cs="宋体" w:hint="default"/>
          <w:sz w:val="21"/>
          <w:szCs w:val="21"/>
        </w:rPr>
      </w:pPr>
      <w:r>
        <w:rPr>
          <w:rFonts w:cs="宋体"/>
          <w:sz w:val="21"/>
          <w:szCs w:val="21"/>
        </w:rPr>
        <w:br w:type="page"/>
      </w:r>
    </w:p>
    <w:tbl>
      <w:tblPr>
        <w:tblW w:w="15304" w:type="dxa"/>
        <w:tblLayout w:type="fixed"/>
        <w:tblCellMar>
          <w:left w:w="0" w:type="dxa"/>
          <w:right w:w="0" w:type="dxa"/>
        </w:tblCellMar>
        <w:tblLook w:val="04A0" w:firstRow="1" w:lastRow="0" w:firstColumn="1" w:lastColumn="0" w:noHBand="0" w:noVBand="1"/>
      </w:tblPr>
      <w:tblGrid>
        <w:gridCol w:w="603"/>
        <w:gridCol w:w="2730"/>
        <w:gridCol w:w="1371"/>
        <w:gridCol w:w="833"/>
        <w:gridCol w:w="1916"/>
        <w:gridCol w:w="1650"/>
        <w:gridCol w:w="805"/>
        <w:gridCol w:w="3514"/>
        <w:gridCol w:w="1882"/>
      </w:tblGrid>
      <w:tr w:rsidR="00455050">
        <w:trPr>
          <w:trHeight w:val="90"/>
        </w:trPr>
        <w:tc>
          <w:tcPr>
            <w:tcW w:w="15304" w:type="dxa"/>
            <w:gridSpan w:val="9"/>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sz w:val="32"/>
                <w:szCs w:val="32"/>
              </w:rPr>
            </w:pPr>
            <w:r>
              <w:rPr>
                <w:rFonts w:cs="宋体"/>
                <w:b/>
                <w:sz w:val="32"/>
                <w:szCs w:val="32"/>
              </w:rPr>
              <w:lastRenderedPageBreak/>
              <w:t>一般公共预算财政拨款基本支出决算表</w:t>
            </w:r>
          </w:p>
        </w:tc>
      </w:tr>
      <w:tr w:rsidR="00455050">
        <w:trPr>
          <w:trHeight w:val="90"/>
        </w:trPr>
        <w:tc>
          <w:tcPr>
            <w:tcW w:w="7453" w:type="dxa"/>
            <w:gridSpan w:val="5"/>
            <w:vMerge w:val="restart"/>
            <w:tcBorders>
              <w:top w:val="nil"/>
              <w:left w:val="nil"/>
              <w:right w:val="nil"/>
            </w:tcBorders>
            <w:tcMar>
              <w:top w:w="15" w:type="dxa"/>
              <w:left w:w="15" w:type="dxa"/>
              <w:right w:w="15" w:type="dxa"/>
            </w:tcMar>
            <w:vAlign w:val="bottom"/>
          </w:tcPr>
          <w:p w:rsidR="00455050" w:rsidRDefault="000C51C5">
            <w:pPr>
              <w:shd w:val="clear" w:color="040000" w:fill="auto"/>
              <w:spacing w:line="594" w:lineRule="exact"/>
              <w:rPr>
                <w:rFonts w:cs="宋体" w:hint="default"/>
                <w:sz w:val="18"/>
                <w:szCs w:val="18"/>
              </w:rPr>
            </w:pPr>
            <w:r>
              <w:rPr>
                <w:rFonts w:cs="宋体"/>
                <w:sz w:val="20"/>
                <w:szCs w:val="20"/>
              </w:rPr>
              <w:t>部门：</w:t>
            </w:r>
            <w:r>
              <w:rPr>
                <w:sz w:val="20"/>
              </w:rPr>
              <w:t>垫江县退役军人事务局</w:t>
            </w:r>
          </w:p>
        </w:tc>
        <w:tc>
          <w:tcPr>
            <w:tcW w:w="1650"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805"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3514"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1882"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06</w:t>
            </w:r>
            <w:r>
              <w:rPr>
                <w:rFonts w:cs="宋体"/>
                <w:sz w:val="20"/>
                <w:szCs w:val="20"/>
              </w:rPr>
              <w:t>表</w:t>
            </w:r>
          </w:p>
        </w:tc>
      </w:tr>
      <w:tr w:rsidR="00455050">
        <w:trPr>
          <w:trHeight w:val="90"/>
        </w:trPr>
        <w:tc>
          <w:tcPr>
            <w:tcW w:w="7453" w:type="dxa"/>
            <w:gridSpan w:val="5"/>
            <w:vMerge/>
            <w:tcBorders>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1650"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805"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3514"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1882"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单位：万元</w:t>
            </w:r>
          </w:p>
        </w:tc>
      </w:tr>
      <w:tr w:rsidR="00455050">
        <w:trPr>
          <w:trHeight w:val="90"/>
        </w:trPr>
        <w:tc>
          <w:tcPr>
            <w:tcW w:w="4704" w:type="dxa"/>
            <w:gridSpan w:val="3"/>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人员经费</w:t>
            </w:r>
          </w:p>
        </w:tc>
        <w:tc>
          <w:tcPr>
            <w:tcW w:w="10600" w:type="dxa"/>
            <w:gridSpan w:val="6"/>
            <w:tcBorders>
              <w:top w:val="single" w:sz="4" w:space="0" w:color="000000"/>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公用经费</w:t>
            </w:r>
          </w:p>
        </w:tc>
      </w:tr>
      <w:tr w:rsidR="00455050">
        <w:trPr>
          <w:trHeight w:val="594"/>
        </w:trPr>
        <w:tc>
          <w:tcPr>
            <w:tcW w:w="60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经济分类科目编码</w:t>
            </w:r>
          </w:p>
        </w:tc>
        <w:tc>
          <w:tcPr>
            <w:tcW w:w="273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经济分类科目（按“款”级功能分类科目）</w:t>
            </w:r>
          </w:p>
        </w:tc>
        <w:tc>
          <w:tcPr>
            <w:tcW w:w="1371"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金额</w:t>
            </w:r>
          </w:p>
        </w:tc>
        <w:tc>
          <w:tcPr>
            <w:tcW w:w="833"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经济分类科目编码</w:t>
            </w:r>
          </w:p>
        </w:tc>
        <w:tc>
          <w:tcPr>
            <w:tcW w:w="1916"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经济分类科目（按“款”级功能分类科目）</w:t>
            </w:r>
          </w:p>
        </w:tc>
        <w:tc>
          <w:tcPr>
            <w:tcW w:w="1650"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金额</w:t>
            </w:r>
          </w:p>
        </w:tc>
        <w:tc>
          <w:tcPr>
            <w:tcW w:w="805"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经济分类科目编码</w:t>
            </w:r>
          </w:p>
        </w:tc>
        <w:tc>
          <w:tcPr>
            <w:tcW w:w="3514"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经济分类科目（按“款”级功能分类科目）</w:t>
            </w:r>
          </w:p>
        </w:tc>
        <w:tc>
          <w:tcPr>
            <w:tcW w:w="1882"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金额</w:t>
            </w:r>
          </w:p>
        </w:tc>
      </w:tr>
      <w:tr w:rsidR="00455050">
        <w:trPr>
          <w:trHeight w:val="594"/>
        </w:trPr>
        <w:tc>
          <w:tcPr>
            <w:tcW w:w="60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c>
          <w:tcPr>
            <w:tcW w:w="2730"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c>
          <w:tcPr>
            <w:tcW w:w="1371"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c>
          <w:tcPr>
            <w:tcW w:w="833"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c>
          <w:tcPr>
            <w:tcW w:w="1916"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c>
          <w:tcPr>
            <w:tcW w:w="1650"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c>
          <w:tcPr>
            <w:tcW w:w="805"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c>
          <w:tcPr>
            <w:tcW w:w="3514"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c>
          <w:tcPr>
            <w:tcW w:w="1882"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18"/>
                <w:szCs w:val="18"/>
              </w:rPr>
            </w:pP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301</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工资福利支出</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387.07</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302</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商品和服务支出</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72.12</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310</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资本性支出</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30101</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基本工资</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81.93</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30201</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办公费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5.93</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31001</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房屋建筑物购建</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30102</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津贴补贴</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41.02</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30202</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印刷费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3.06</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31002</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办公设备购置</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30103</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奖金</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79.58</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30203</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咨询费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31003</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专用设备购置</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30106</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伙食补助费</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30204</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手续费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31005</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基础设施建设</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30107</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绩效工资</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58.05</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30205</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水费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31006</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大型修缮</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30108</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机关事业单位基本养老保险缴费</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44.99</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30206</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电费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31007</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信息网络及软件购置更新</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30109</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职业年金缴费</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22.54</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30207</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邮电费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4.98</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31008</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物资储备</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30110</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职工基本医疗保险缴费</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22.02</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30208</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取暖费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31009</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土地补偿</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30111</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公务员医疗补助缴费</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30209</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物业管理费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31010</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安置补助</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lastRenderedPageBreak/>
              <w:t>30112</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其他社会保障缴费</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0.66</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30211</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差旅费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3.82</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31011</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地上附着物和青苗补偿</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30113</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住房公积金</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28.93</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30212</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因公出国（境）费用</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31012</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拆迁补偿</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30114</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医疗费</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4.20</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30213</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维修（护）费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31013</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公务用车购置</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30199</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其他工资福利支出</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3.16</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30214</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租赁费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31019</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其他交通工具购置</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303</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对个人和家庭的补助</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11.20</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30215</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会议费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1.46</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31021</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文物和陈列品购置</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30301</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离休费</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30216</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培训费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1.27</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31022</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无形资产购置</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30302</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退休费</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30217</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公务接待费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1.83</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31099</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其他资本性支出</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30303</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退职（役）费</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30218</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专用材料费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312</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对企业补助</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30304</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抚恤金</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30224</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被装购置费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31201</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资本金注入</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30305</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生活补助</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10.40</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30225</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专用燃料费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31203</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政府投资基金股权投资</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30306</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救济费</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30226</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劳务费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4.85</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31204</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费用补贴</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30307</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医疗费补助</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0.80</w:t>
            </w: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30227</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委托业务费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31205</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利息补贴</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30308</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助学金</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30228</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工会经费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11.70</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31206</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ind w:firstLineChars="100" w:firstLine="180"/>
              <w:textAlignment w:val="center"/>
              <w:rPr>
                <w:rFonts w:cs="宋体" w:hint="default"/>
                <w:sz w:val="18"/>
                <w:szCs w:val="18"/>
              </w:rPr>
            </w:pPr>
            <w:r>
              <w:rPr>
                <w:rFonts w:cs="宋体"/>
                <w:sz w:val="18"/>
                <w:szCs w:val="18"/>
              </w:rPr>
              <w:t>其他资本性补助</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30309</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奖励金</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30229</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福利费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2.17</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31299</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其他对企业补助</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30310</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个人农业生产补贴</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30231</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公务用车运行维护费</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8.00</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399</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其他支出</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30311</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代缴社会保险费</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30239</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其他交通费用</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10.04</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39907</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国家赔偿费用支出</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30399</w:t>
            </w: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其他对个人和家庭的补助</w:t>
            </w: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30240</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税金及附加费用</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39908</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对民间非营利组织和群众性自治组织补贴</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30299</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其他商品和服务支出</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13.00</w:t>
            </w: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39909</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经常性赠与</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307</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8"/>
                <w:szCs w:val="18"/>
              </w:rPr>
            </w:pPr>
            <w:r>
              <w:rPr>
                <w:rFonts w:cs="宋体"/>
                <w:b/>
                <w:bCs/>
                <w:sz w:val="18"/>
                <w:szCs w:val="18"/>
              </w:rPr>
              <w:t>债务利息及费用支出</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39910</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资本性赠与</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30701</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国内债务付息</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39999</w:t>
            </w: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其他支出</w:t>
            </w: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30702</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国外债务付息</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r>
      <w:tr w:rsidR="00455050">
        <w:trPr>
          <w:trHeight w:val="90"/>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30703</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国内债务发行费用</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r>
      <w:tr w:rsidR="00455050">
        <w:trPr>
          <w:trHeight w:val="155"/>
        </w:trPr>
        <w:tc>
          <w:tcPr>
            <w:tcW w:w="60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273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1371"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455050">
            <w:pPr>
              <w:shd w:val="clear" w:color="040000" w:fill="auto"/>
              <w:spacing w:line="594" w:lineRule="exact"/>
              <w:rPr>
                <w:rFonts w:cs="宋体" w:hint="default"/>
                <w:sz w:val="18"/>
                <w:szCs w:val="18"/>
              </w:rPr>
            </w:pPr>
          </w:p>
        </w:tc>
        <w:tc>
          <w:tcPr>
            <w:tcW w:w="833"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30704</w:t>
            </w:r>
          </w:p>
        </w:tc>
        <w:tc>
          <w:tcPr>
            <w:tcW w:w="1916"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sz w:val="18"/>
                <w:szCs w:val="18"/>
              </w:rPr>
            </w:pPr>
            <w:r>
              <w:rPr>
                <w:rFonts w:cs="宋体"/>
                <w:sz w:val="18"/>
                <w:szCs w:val="18"/>
              </w:rPr>
              <w:t xml:space="preserve">  国外债务发行费用</w:t>
            </w:r>
          </w:p>
        </w:tc>
        <w:tc>
          <w:tcPr>
            <w:tcW w:w="1650"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sz w:val="18"/>
              </w:rPr>
              <w:t xml:space="preserve"> </w:t>
            </w:r>
          </w:p>
        </w:tc>
        <w:tc>
          <w:tcPr>
            <w:tcW w:w="805"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3514"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rPr>
                <w:rFonts w:cs="宋体" w:hint="default"/>
                <w:sz w:val="18"/>
                <w:szCs w:val="18"/>
              </w:rPr>
            </w:pPr>
          </w:p>
        </w:tc>
        <w:tc>
          <w:tcPr>
            <w:tcW w:w="1882" w:type="dxa"/>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sz w:val="18"/>
                <w:szCs w:val="18"/>
              </w:rPr>
            </w:pPr>
          </w:p>
        </w:tc>
      </w:tr>
      <w:tr w:rsidR="00455050">
        <w:trPr>
          <w:trHeight w:val="310"/>
        </w:trPr>
        <w:tc>
          <w:tcPr>
            <w:tcW w:w="3333"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人员经费合计</w:t>
            </w:r>
          </w:p>
        </w:tc>
        <w:tc>
          <w:tcPr>
            <w:tcW w:w="1371" w:type="dxa"/>
            <w:tcBorders>
              <w:top w:val="nil"/>
              <w:left w:val="single" w:sz="4" w:space="0" w:color="000000"/>
              <w:bottom w:val="single" w:sz="4" w:space="0" w:color="000000"/>
              <w:right w:val="single" w:sz="4" w:space="0" w:color="000000"/>
            </w:tcBorders>
            <w:tcMar>
              <w:top w:w="15" w:type="dxa"/>
              <w:left w:w="15" w:type="dxa"/>
              <w:right w:w="15" w:type="dxa"/>
            </w:tcMar>
            <w:vAlign w:val="bottom"/>
          </w:tcPr>
          <w:p w:rsidR="00455050" w:rsidRDefault="000C51C5">
            <w:pPr>
              <w:shd w:val="clear" w:color="040000" w:fill="auto"/>
              <w:wordWrap w:val="0"/>
              <w:spacing w:line="594" w:lineRule="exact"/>
              <w:jc w:val="right"/>
              <w:textAlignment w:val="bottom"/>
              <w:rPr>
                <w:rFonts w:ascii="Times New Roman" w:hAnsi="Times New Roman" w:hint="default"/>
                <w:sz w:val="18"/>
                <w:szCs w:val="18"/>
              </w:rPr>
            </w:pPr>
            <w:r>
              <w:rPr>
                <w:rFonts w:ascii="Times New Roman" w:hAnsi="Times New Roman" w:hint="default"/>
                <w:sz w:val="18"/>
                <w:szCs w:val="18"/>
              </w:rPr>
              <w:t>398.27</w:t>
            </w:r>
            <w:r>
              <w:rPr>
                <w:rFonts w:ascii="Times New Roman" w:hAnsi="Times New Roman"/>
                <w:sz w:val="18"/>
              </w:rPr>
              <w:t xml:space="preserve"> </w:t>
            </w:r>
          </w:p>
        </w:tc>
        <w:tc>
          <w:tcPr>
            <w:tcW w:w="8718" w:type="dxa"/>
            <w:gridSpan w:val="5"/>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18"/>
                <w:szCs w:val="18"/>
              </w:rPr>
            </w:pPr>
            <w:r>
              <w:rPr>
                <w:rFonts w:cs="宋体"/>
                <w:b/>
                <w:sz w:val="18"/>
                <w:szCs w:val="18"/>
              </w:rPr>
              <w:t>公用经费合计</w:t>
            </w:r>
          </w:p>
        </w:tc>
        <w:tc>
          <w:tcPr>
            <w:tcW w:w="1882"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sz w:val="18"/>
                <w:szCs w:val="18"/>
              </w:rPr>
            </w:pPr>
            <w:r>
              <w:rPr>
                <w:rFonts w:ascii="Times New Roman" w:hAnsi="Times New Roman" w:hint="default"/>
                <w:sz w:val="18"/>
                <w:szCs w:val="18"/>
              </w:rPr>
              <w:t>72.12</w:t>
            </w:r>
            <w:r>
              <w:rPr>
                <w:rFonts w:ascii="Times New Roman" w:hAnsi="Times New Roman"/>
                <w:sz w:val="18"/>
              </w:rPr>
              <w:t xml:space="preserve"> </w:t>
            </w:r>
          </w:p>
        </w:tc>
      </w:tr>
    </w:tbl>
    <w:p w:rsidR="00455050" w:rsidRDefault="000C51C5">
      <w:pPr>
        <w:shd w:val="clear" w:color="040000" w:fill="auto"/>
        <w:spacing w:line="594" w:lineRule="exact"/>
        <w:rPr>
          <w:rFonts w:cs="宋体" w:hint="default"/>
          <w:sz w:val="20"/>
          <w:szCs w:val="20"/>
        </w:rPr>
      </w:pPr>
      <w:r>
        <w:rPr>
          <w:rFonts w:cs="宋体"/>
          <w:sz w:val="20"/>
          <w:szCs w:val="20"/>
        </w:rPr>
        <w:t>备注：1.本表反映部门本年度一般公共预算财政拨款基本支出明细情况。</w:t>
      </w:r>
      <w:r>
        <w:rPr>
          <w:rFonts w:cs="宋体"/>
          <w:sz w:val="20"/>
          <w:szCs w:val="20"/>
        </w:rPr>
        <w:br/>
        <w:t xml:space="preserve">      2.本套报表金额单位转换时可能存在尾数误差。</w:t>
      </w:r>
      <w:r>
        <w:rPr>
          <w:rFonts w:cs="宋体"/>
          <w:sz w:val="20"/>
          <w:szCs w:val="20"/>
        </w:rPr>
        <w:br/>
      </w:r>
      <w:r>
        <w:rPr>
          <w:rFonts w:cs="宋体"/>
          <w:sz w:val="20"/>
          <w:szCs w:val="20"/>
        </w:rPr>
        <w:br/>
      </w: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1635"/>
        <w:gridCol w:w="3285"/>
        <w:gridCol w:w="1701"/>
        <w:gridCol w:w="1701"/>
        <w:gridCol w:w="1701"/>
        <w:gridCol w:w="1701"/>
        <w:gridCol w:w="1765"/>
        <w:gridCol w:w="1833"/>
      </w:tblGrid>
      <w:tr w:rsidR="00455050">
        <w:trPr>
          <w:trHeight w:val="644"/>
        </w:trPr>
        <w:tc>
          <w:tcPr>
            <w:tcW w:w="15322" w:type="dxa"/>
            <w:gridSpan w:val="8"/>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sz w:val="32"/>
                <w:szCs w:val="32"/>
              </w:rPr>
            </w:pPr>
            <w:r>
              <w:rPr>
                <w:rFonts w:cs="宋体"/>
                <w:b/>
                <w:sz w:val="32"/>
                <w:szCs w:val="32"/>
              </w:rPr>
              <w:lastRenderedPageBreak/>
              <w:t>政府性基金预算财政拨款收入支出决算表</w:t>
            </w:r>
          </w:p>
        </w:tc>
      </w:tr>
      <w:tr w:rsidR="00455050">
        <w:trPr>
          <w:trHeight w:val="329"/>
        </w:trPr>
        <w:tc>
          <w:tcPr>
            <w:tcW w:w="6621" w:type="dxa"/>
            <w:gridSpan w:val="3"/>
            <w:vMerge w:val="restart"/>
            <w:tcBorders>
              <w:top w:val="nil"/>
              <w:left w:val="nil"/>
              <w:right w:val="nil"/>
            </w:tcBorders>
            <w:tcMar>
              <w:top w:w="15" w:type="dxa"/>
              <w:left w:w="15" w:type="dxa"/>
              <w:right w:w="15" w:type="dxa"/>
            </w:tcMar>
            <w:vAlign w:val="bottom"/>
          </w:tcPr>
          <w:p w:rsidR="00455050" w:rsidRDefault="000C51C5">
            <w:pPr>
              <w:shd w:val="clear" w:color="040000" w:fill="auto"/>
              <w:spacing w:line="594" w:lineRule="exact"/>
              <w:rPr>
                <w:rFonts w:cs="宋体" w:hint="default"/>
                <w:sz w:val="20"/>
                <w:szCs w:val="20"/>
              </w:rPr>
            </w:pPr>
            <w:r>
              <w:rPr>
                <w:rFonts w:cs="宋体"/>
                <w:sz w:val="20"/>
                <w:szCs w:val="20"/>
              </w:rPr>
              <w:t>部门：</w:t>
            </w:r>
            <w:r>
              <w:rPr>
                <w:sz w:val="20"/>
              </w:rPr>
              <w:t>垫江县退役军人事务局</w:t>
            </w:r>
          </w:p>
        </w:tc>
        <w:tc>
          <w:tcPr>
            <w:tcW w:w="1701"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701"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701"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765"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833"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07</w:t>
            </w:r>
            <w:r>
              <w:rPr>
                <w:rFonts w:cs="宋体"/>
                <w:sz w:val="20"/>
                <w:szCs w:val="20"/>
              </w:rPr>
              <w:t>表</w:t>
            </w:r>
          </w:p>
        </w:tc>
      </w:tr>
      <w:tr w:rsidR="00455050">
        <w:trPr>
          <w:trHeight w:val="329"/>
        </w:trPr>
        <w:tc>
          <w:tcPr>
            <w:tcW w:w="6621" w:type="dxa"/>
            <w:gridSpan w:val="3"/>
            <w:vMerge/>
            <w:tcBorders>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701"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701"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701"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765" w:type="dxa"/>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1833"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单位：万元</w:t>
            </w:r>
          </w:p>
        </w:tc>
      </w:tr>
      <w:tr w:rsidR="00455050">
        <w:trPr>
          <w:trHeight w:val="339"/>
        </w:trPr>
        <w:tc>
          <w:tcPr>
            <w:tcW w:w="4920"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项目</w:t>
            </w:r>
          </w:p>
        </w:tc>
        <w:tc>
          <w:tcPr>
            <w:tcW w:w="1701" w:type="dxa"/>
            <w:vMerge w:val="restart"/>
            <w:tcBorders>
              <w:top w:val="single" w:sz="4" w:space="0" w:color="000000"/>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年初结转和结余</w:t>
            </w:r>
          </w:p>
        </w:tc>
        <w:tc>
          <w:tcPr>
            <w:tcW w:w="1701"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本年收入</w:t>
            </w:r>
          </w:p>
        </w:tc>
        <w:tc>
          <w:tcPr>
            <w:tcW w:w="5167" w:type="dxa"/>
            <w:gridSpan w:val="3"/>
            <w:tcBorders>
              <w:top w:val="single" w:sz="4" w:space="0" w:color="000000"/>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本年支出</w:t>
            </w:r>
          </w:p>
        </w:tc>
        <w:tc>
          <w:tcPr>
            <w:tcW w:w="1833"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年末结转和结余</w:t>
            </w:r>
          </w:p>
        </w:tc>
      </w:tr>
      <w:tr w:rsidR="00455050">
        <w:trPr>
          <w:trHeight w:val="594"/>
        </w:trPr>
        <w:tc>
          <w:tcPr>
            <w:tcW w:w="163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功能分类科目编码</w:t>
            </w:r>
          </w:p>
        </w:tc>
        <w:tc>
          <w:tcPr>
            <w:tcW w:w="3285" w:type="dxa"/>
            <w:vMerge w:val="restart"/>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项目（按“项”级功能分类科目）</w:t>
            </w: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01"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合计</w:t>
            </w:r>
          </w:p>
        </w:tc>
        <w:tc>
          <w:tcPr>
            <w:tcW w:w="1701"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基本支出</w:t>
            </w:r>
          </w:p>
        </w:tc>
        <w:tc>
          <w:tcPr>
            <w:tcW w:w="1765"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项目支出</w:t>
            </w:r>
          </w:p>
        </w:tc>
        <w:tc>
          <w:tcPr>
            <w:tcW w:w="18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594"/>
        </w:trPr>
        <w:tc>
          <w:tcPr>
            <w:tcW w:w="16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2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65"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8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645"/>
        </w:trPr>
        <w:tc>
          <w:tcPr>
            <w:tcW w:w="163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285"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01" w:type="dxa"/>
            <w:vMerge/>
            <w:tcBorders>
              <w:top w:val="single" w:sz="4" w:space="0" w:color="000000"/>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01"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01"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765"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1833" w:type="dxa"/>
            <w:vMerge/>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339"/>
        </w:trPr>
        <w:tc>
          <w:tcPr>
            <w:tcW w:w="4920" w:type="dxa"/>
            <w:gridSpan w:val="2"/>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合计</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1833"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455050">
        <w:trPr>
          <w:trHeight w:val="349"/>
        </w:trPr>
        <w:tc>
          <w:tcPr>
            <w:tcW w:w="1635"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both"/>
              <w:textAlignment w:val="center"/>
              <w:rPr>
                <w:rFonts w:cs="宋体" w:hint="default"/>
                <w:sz w:val="20"/>
                <w:szCs w:val="20"/>
              </w:rPr>
            </w:pPr>
          </w:p>
        </w:tc>
        <w:tc>
          <w:tcPr>
            <w:tcW w:w="328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both"/>
              <w:textAlignment w:val="center"/>
              <w:rPr>
                <w:rFonts w:cs="宋体" w:hint="default"/>
                <w:sz w:val="20"/>
                <w:szCs w:val="20"/>
              </w:rPr>
            </w:pP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701"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765"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c>
          <w:tcPr>
            <w:tcW w:w="1833"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0.00</w:t>
            </w:r>
            <w:r>
              <w:rPr>
                <w:rFonts w:ascii="Times New Roman" w:hAnsi="Times New Roman"/>
                <w:sz w:val="20"/>
              </w:rPr>
              <w:t xml:space="preserve"> </w:t>
            </w:r>
          </w:p>
        </w:tc>
      </w:tr>
    </w:tbl>
    <w:p w:rsidR="00455050" w:rsidRDefault="000C51C5">
      <w:pPr>
        <w:shd w:val="clear" w:color="040000" w:fill="auto"/>
        <w:spacing w:line="594" w:lineRule="exact"/>
        <w:rPr>
          <w:rFonts w:cs="宋体" w:hint="default"/>
          <w:sz w:val="20"/>
          <w:szCs w:val="20"/>
        </w:rPr>
      </w:pPr>
      <w:r>
        <w:rPr>
          <w:rFonts w:cs="宋体"/>
          <w:sz w:val="20"/>
          <w:szCs w:val="20"/>
        </w:rPr>
        <w:t>备注：本表反映部门本年度政府性基金预算财政拨款收入支出及结转和结余情况。本部门无政府性基金收支，故本表无数据。</w:t>
      </w:r>
      <w:r>
        <w:rPr>
          <w:rFonts w:cs="宋体"/>
          <w:sz w:val="20"/>
          <w:szCs w:val="20"/>
        </w:rPr>
        <w:br/>
      </w:r>
      <w:r>
        <w:rPr>
          <w:rFonts w:cs="宋体"/>
          <w:sz w:val="20"/>
          <w:szCs w:val="20"/>
        </w:rPr>
        <w:br/>
      </w:r>
    </w:p>
    <w:p w:rsidR="00455050" w:rsidRDefault="00455050">
      <w:pPr>
        <w:shd w:val="clear" w:color="040000" w:fill="auto"/>
        <w:spacing w:line="594" w:lineRule="exact"/>
        <w:rPr>
          <w:rFonts w:cs="宋体" w:hint="default"/>
          <w:sz w:val="20"/>
          <w:szCs w:val="20"/>
        </w:rPr>
      </w:pPr>
    </w:p>
    <w:p w:rsidR="00455050" w:rsidRDefault="000C51C5">
      <w:pPr>
        <w:shd w:val="clear" w:color="040000" w:fill="auto"/>
        <w:spacing w:line="594" w:lineRule="exact"/>
        <w:rPr>
          <w:rFonts w:cs="宋体" w:hint="default"/>
          <w:sz w:val="21"/>
          <w:szCs w:val="21"/>
        </w:rPr>
      </w:pPr>
      <w:r>
        <w:rPr>
          <w:rFonts w:cs="宋体"/>
          <w:sz w:val="21"/>
          <w:szCs w:val="21"/>
        </w:rPr>
        <w:br w:type="page"/>
      </w:r>
    </w:p>
    <w:tbl>
      <w:tblPr>
        <w:tblW w:w="15322" w:type="dxa"/>
        <w:tblLayout w:type="fixed"/>
        <w:tblCellMar>
          <w:left w:w="0" w:type="dxa"/>
          <w:right w:w="0" w:type="dxa"/>
        </w:tblCellMar>
        <w:tblLook w:val="04A0" w:firstRow="1" w:lastRow="0" w:firstColumn="1" w:lastColumn="0" w:noHBand="0" w:noVBand="1"/>
      </w:tblPr>
      <w:tblGrid>
        <w:gridCol w:w="2001"/>
        <w:gridCol w:w="2917"/>
        <w:gridCol w:w="3264"/>
        <w:gridCol w:w="199"/>
        <w:gridCol w:w="3463"/>
        <w:gridCol w:w="77"/>
        <w:gridCol w:w="3401"/>
      </w:tblGrid>
      <w:tr w:rsidR="00455050">
        <w:trPr>
          <w:trHeight w:val="650"/>
        </w:trPr>
        <w:tc>
          <w:tcPr>
            <w:tcW w:w="15322" w:type="dxa"/>
            <w:gridSpan w:val="7"/>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sz w:val="32"/>
                <w:szCs w:val="32"/>
              </w:rPr>
            </w:pPr>
            <w:r>
              <w:rPr>
                <w:rFonts w:cs="宋体"/>
                <w:b/>
                <w:sz w:val="32"/>
                <w:szCs w:val="32"/>
              </w:rPr>
              <w:lastRenderedPageBreak/>
              <w:t>国有资本经营预算财政拨款支出决算表</w:t>
            </w:r>
          </w:p>
        </w:tc>
      </w:tr>
      <w:tr w:rsidR="00455050">
        <w:trPr>
          <w:trHeight w:val="332"/>
        </w:trPr>
        <w:tc>
          <w:tcPr>
            <w:tcW w:w="8182" w:type="dxa"/>
            <w:gridSpan w:val="3"/>
            <w:vMerge w:val="restart"/>
            <w:tcBorders>
              <w:top w:val="nil"/>
              <w:left w:val="nil"/>
              <w:right w:val="nil"/>
            </w:tcBorders>
            <w:tcMar>
              <w:top w:w="15" w:type="dxa"/>
              <w:left w:w="15" w:type="dxa"/>
              <w:right w:w="15" w:type="dxa"/>
            </w:tcMar>
            <w:vAlign w:val="bottom"/>
          </w:tcPr>
          <w:p w:rsidR="00455050" w:rsidRDefault="000C51C5">
            <w:pPr>
              <w:shd w:val="clear" w:color="040000" w:fill="auto"/>
              <w:spacing w:line="594" w:lineRule="exact"/>
              <w:rPr>
                <w:rFonts w:cs="宋体" w:hint="default"/>
                <w:sz w:val="20"/>
                <w:szCs w:val="20"/>
              </w:rPr>
            </w:pPr>
            <w:r>
              <w:rPr>
                <w:rFonts w:cs="宋体"/>
                <w:sz w:val="20"/>
                <w:szCs w:val="20"/>
              </w:rPr>
              <w:t>部门：</w:t>
            </w:r>
            <w:r>
              <w:rPr>
                <w:sz w:val="20"/>
              </w:rPr>
              <w:t>垫江县退役军人事务局</w:t>
            </w:r>
          </w:p>
        </w:tc>
        <w:tc>
          <w:tcPr>
            <w:tcW w:w="3739" w:type="dxa"/>
            <w:gridSpan w:val="3"/>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3401"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公开</w:t>
            </w:r>
            <w:r>
              <w:rPr>
                <w:rFonts w:ascii="Times New Roman" w:hAnsi="Times New Roman" w:hint="default"/>
                <w:sz w:val="20"/>
                <w:szCs w:val="20"/>
              </w:rPr>
              <w:t>08</w:t>
            </w:r>
            <w:r>
              <w:rPr>
                <w:rFonts w:cs="宋体"/>
                <w:sz w:val="20"/>
                <w:szCs w:val="20"/>
              </w:rPr>
              <w:t>表</w:t>
            </w:r>
          </w:p>
        </w:tc>
      </w:tr>
      <w:tr w:rsidR="00455050">
        <w:trPr>
          <w:trHeight w:val="332"/>
        </w:trPr>
        <w:tc>
          <w:tcPr>
            <w:tcW w:w="8182" w:type="dxa"/>
            <w:gridSpan w:val="3"/>
            <w:vMerge/>
            <w:tcBorders>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3739" w:type="dxa"/>
            <w:gridSpan w:val="3"/>
            <w:tcBorders>
              <w:top w:val="nil"/>
              <w:left w:val="nil"/>
              <w:bottom w:val="nil"/>
              <w:right w:val="nil"/>
            </w:tcBorders>
            <w:tcMar>
              <w:top w:w="15" w:type="dxa"/>
              <w:left w:w="15" w:type="dxa"/>
              <w:right w:w="15" w:type="dxa"/>
            </w:tcMar>
            <w:vAlign w:val="bottom"/>
          </w:tcPr>
          <w:p w:rsidR="00455050" w:rsidRDefault="00455050">
            <w:pPr>
              <w:shd w:val="clear" w:color="040000" w:fill="auto"/>
              <w:spacing w:line="594" w:lineRule="exact"/>
              <w:rPr>
                <w:rFonts w:cs="宋体" w:hint="default"/>
                <w:sz w:val="20"/>
                <w:szCs w:val="20"/>
              </w:rPr>
            </w:pPr>
          </w:p>
        </w:tc>
        <w:tc>
          <w:tcPr>
            <w:tcW w:w="3401" w:type="dxa"/>
            <w:tcBorders>
              <w:top w:val="nil"/>
              <w:left w:val="nil"/>
              <w:bottom w:val="nil"/>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sz w:val="20"/>
                <w:szCs w:val="20"/>
              </w:rPr>
            </w:pPr>
            <w:r>
              <w:rPr>
                <w:rFonts w:cs="宋体"/>
                <w:sz w:val="20"/>
                <w:szCs w:val="20"/>
              </w:rPr>
              <w:t>单位：万元</w:t>
            </w:r>
          </w:p>
        </w:tc>
      </w:tr>
      <w:tr w:rsidR="00455050">
        <w:trPr>
          <w:trHeight w:val="422"/>
        </w:trPr>
        <w:tc>
          <w:tcPr>
            <w:tcW w:w="491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sz w:val="20"/>
                <w:szCs w:val="20"/>
              </w:rPr>
            </w:pPr>
            <w:r>
              <w:rPr>
                <w:rFonts w:cs="宋体"/>
                <w:b/>
                <w:sz w:val="20"/>
                <w:szCs w:val="20"/>
              </w:rPr>
              <w:t>项目</w:t>
            </w:r>
          </w:p>
        </w:tc>
        <w:tc>
          <w:tcPr>
            <w:tcW w:w="10404" w:type="dxa"/>
            <w:gridSpan w:val="5"/>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sz w:val="20"/>
                <w:szCs w:val="20"/>
              </w:rPr>
            </w:pPr>
            <w:r>
              <w:rPr>
                <w:rFonts w:cs="宋体"/>
                <w:b/>
                <w:sz w:val="20"/>
                <w:szCs w:val="20"/>
              </w:rPr>
              <w:t>本年支出</w:t>
            </w:r>
          </w:p>
        </w:tc>
      </w:tr>
      <w:tr w:rsidR="00455050">
        <w:trPr>
          <w:trHeight w:val="594"/>
        </w:trPr>
        <w:tc>
          <w:tcPr>
            <w:tcW w:w="2001" w:type="dxa"/>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功能分类科目编码</w:t>
            </w:r>
          </w:p>
        </w:tc>
        <w:tc>
          <w:tcPr>
            <w:tcW w:w="2917"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科目名称</w:t>
            </w:r>
          </w:p>
        </w:tc>
        <w:tc>
          <w:tcPr>
            <w:tcW w:w="3463" w:type="dxa"/>
            <w:gridSpan w:val="2"/>
            <w:vMerge w:val="restart"/>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合计</w:t>
            </w:r>
          </w:p>
        </w:tc>
        <w:tc>
          <w:tcPr>
            <w:tcW w:w="3463" w:type="dxa"/>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基本支出</w:t>
            </w:r>
          </w:p>
        </w:tc>
        <w:tc>
          <w:tcPr>
            <w:tcW w:w="3478" w:type="dxa"/>
            <w:gridSpan w:val="2"/>
            <w:vMerge w:val="restart"/>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项目支出</w:t>
            </w:r>
          </w:p>
        </w:tc>
      </w:tr>
      <w:tr w:rsidR="00455050">
        <w:trPr>
          <w:trHeight w:val="594"/>
        </w:trPr>
        <w:tc>
          <w:tcPr>
            <w:tcW w:w="200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2917"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478"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594"/>
        </w:trPr>
        <w:tc>
          <w:tcPr>
            <w:tcW w:w="200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2917"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478"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594"/>
        </w:trPr>
        <w:tc>
          <w:tcPr>
            <w:tcW w:w="2001" w:type="dxa"/>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2917"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463" w:type="dxa"/>
            <w:gridSpan w:val="2"/>
            <w:vMerge/>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463" w:type="dxa"/>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c>
          <w:tcPr>
            <w:tcW w:w="3478" w:type="dxa"/>
            <w:gridSpan w:val="2"/>
            <w:vMerge/>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center"/>
              <w:rPr>
                <w:rFonts w:cs="宋体" w:hint="default"/>
                <w:b/>
                <w:sz w:val="20"/>
                <w:szCs w:val="20"/>
              </w:rPr>
            </w:pPr>
          </w:p>
        </w:tc>
      </w:tr>
      <w:tr w:rsidR="00455050">
        <w:trPr>
          <w:trHeight w:val="611"/>
        </w:trPr>
        <w:tc>
          <w:tcPr>
            <w:tcW w:w="4918" w:type="dxa"/>
            <w:gridSpan w:val="2"/>
            <w:tcBorders>
              <w:top w:val="single" w:sz="4" w:space="0" w:color="000000"/>
              <w:left w:val="single" w:sz="4" w:space="0" w:color="000000"/>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sz w:val="20"/>
                <w:szCs w:val="20"/>
              </w:rPr>
            </w:pPr>
            <w:r>
              <w:rPr>
                <w:rFonts w:cs="宋体"/>
                <w:b/>
                <w:sz w:val="20"/>
                <w:szCs w:val="20"/>
              </w:rPr>
              <w:t>合计</w:t>
            </w:r>
          </w:p>
        </w:tc>
        <w:tc>
          <w:tcPr>
            <w:tcW w:w="3463" w:type="dxa"/>
            <w:gridSpan w:val="2"/>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c>
          <w:tcPr>
            <w:tcW w:w="3463"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b/>
                <w:sz w:val="20"/>
                <w:szCs w:val="20"/>
              </w:rPr>
            </w:pPr>
          </w:p>
        </w:tc>
        <w:tc>
          <w:tcPr>
            <w:tcW w:w="3478" w:type="dxa"/>
            <w:gridSpan w:val="2"/>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b/>
                <w:bCs/>
                <w:sz w:val="20"/>
                <w:szCs w:val="20"/>
              </w:rPr>
              <w:t>0.00</w:t>
            </w:r>
            <w:r>
              <w:rPr>
                <w:rFonts w:ascii="Times New Roman" w:hAnsi="Times New Roman"/>
                <w:b/>
                <w:sz w:val="20"/>
              </w:rPr>
              <w:t xml:space="preserve"> </w:t>
            </w:r>
          </w:p>
        </w:tc>
      </w:tr>
      <w:tr w:rsidR="00455050">
        <w:trPr>
          <w:trHeight w:val="488"/>
        </w:trPr>
        <w:tc>
          <w:tcPr>
            <w:tcW w:w="2001" w:type="dxa"/>
            <w:tcBorders>
              <w:top w:val="nil"/>
              <w:left w:val="single" w:sz="4" w:space="0" w:color="000000"/>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textAlignment w:val="center"/>
              <w:rPr>
                <w:rFonts w:cs="宋体" w:hint="default"/>
                <w:sz w:val="20"/>
                <w:szCs w:val="20"/>
              </w:rPr>
            </w:pPr>
          </w:p>
        </w:tc>
        <w:tc>
          <w:tcPr>
            <w:tcW w:w="2917"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textAlignment w:val="center"/>
              <w:rPr>
                <w:rFonts w:cs="宋体" w:hint="default"/>
                <w:sz w:val="20"/>
                <w:szCs w:val="20"/>
              </w:rPr>
            </w:pPr>
          </w:p>
        </w:tc>
        <w:tc>
          <w:tcPr>
            <w:tcW w:w="3463" w:type="dxa"/>
            <w:gridSpan w:val="2"/>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 xml:space="preserve">0.00 </w:t>
            </w:r>
          </w:p>
        </w:tc>
        <w:tc>
          <w:tcPr>
            <w:tcW w:w="3463" w:type="dxa"/>
            <w:tcBorders>
              <w:top w:val="nil"/>
              <w:left w:val="nil"/>
              <w:bottom w:val="single" w:sz="4" w:space="0" w:color="000000"/>
              <w:right w:val="single" w:sz="4" w:space="0" w:color="000000"/>
            </w:tcBorders>
            <w:tcMar>
              <w:top w:w="15" w:type="dxa"/>
              <w:left w:w="15" w:type="dxa"/>
              <w:right w:w="15" w:type="dxa"/>
            </w:tcMar>
            <w:vAlign w:val="center"/>
          </w:tcPr>
          <w:p w:rsidR="00455050" w:rsidRDefault="00455050">
            <w:pPr>
              <w:shd w:val="clear" w:color="040000" w:fill="auto"/>
              <w:spacing w:line="594" w:lineRule="exact"/>
              <w:jc w:val="right"/>
              <w:rPr>
                <w:rFonts w:ascii="Times New Roman" w:hAnsi="Times New Roman" w:hint="default"/>
                <w:b/>
                <w:sz w:val="20"/>
                <w:szCs w:val="20"/>
              </w:rPr>
            </w:pPr>
          </w:p>
        </w:tc>
        <w:tc>
          <w:tcPr>
            <w:tcW w:w="3478" w:type="dxa"/>
            <w:gridSpan w:val="2"/>
            <w:tcBorders>
              <w:top w:val="nil"/>
              <w:left w:val="nil"/>
              <w:bottom w:val="single" w:sz="4" w:space="0" w:color="000000"/>
              <w:right w:val="single" w:sz="4" w:space="0" w:color="000000"/>
            </w:tcBorders>
            <w:tcMar>
              <w:top w:w="15" w:type="dxa"/>
              <w:left w:w="15" w:type="dxa"/>
              <w:right w:w="15" w:type="dxa"/>
            </w:tcMar>
            <w:vAlign w:val="center"/>
          </w:tcPr>
          <w:p w:rsidR="00455050" w:rsidRDefault="000C51C5">
            <w:pPr>
              <w:shd w:val="clear" w:color="040000" w:fill="auto"/>
              <w:wordWrap w:val="0"/>
              <w:spacing w:line="594" w:lineRule="exact"/>
              <w:jc w:val="right"/>
              <w:textAlignment w:val="center"/>
              <w:rPr>
                <w:rFonts w:ascii="Times New Roman" w:hAnsi="Times New Roman" w:hint="default"/>
                <w:b/>
                <w:sz w:val="20"/>
                <w:szCs w:val="20"/>
              </w:rPr>
            </w:pPr>
            <w:r>
              <w:rPr>
                <w:rFonts w:ascii="Times New Roman" w:hAnsi="Times New Roman" w:hint="default"/>
                <w:sz w:val="20"/>
                <w:szCs w:val="20"/>
              </w:rPr>
              <w:t xml:space="preserve">0.00 </w:t>
            </w:r>
          </w:p>
        </w:tc>
      </w:tr>
    </w:tbl>
    <w:p w:rsidR="00455050" w:rsidRDefault="000C51C5">
      <w:pPr>
        <w:shd w:val="clear" w:color="040000" w:fill="auto"/>
        <w:spacing w:line="594" w:lineRule="exact"/>
        <w:rPr>
          <w:rFonts w:cs="宋体" w:hint="default"/>
          <w:sz w:val="21"/>
          <w:szCs w:val="21"/>
        </w:rPr>
      </w:pPr>
      <w:r>
        <w:rPr>
          <w:rFonts w:cs="宋体"/>
          <w:sz w:val="20"/>
          <w:szCs w:val="20"/>
        </w:rPr>
        <w:t>备注：本表反映部门本年度国有资本经营预算财政拨款支出情况。本部门无国有资本经营收支，故本表无数据。</w:t>
      </w:r>
      <w:r>
        <w:rPr>
          <w:rFonts w:cs="宋体"/>
          <w:sz w:val="20"/>
          <w:szCs w:val="20"/>
        </w:rPr>
        <w:br/>
      </w:r>
      <w:r>
        <w:rPr>
          <w:rFonts w:cs="宋体"/>
          <w:sz w:val="20"/>
          <w:szCs w:val="20"/>
        </w:rPr>
        <w:br/>
      </w:r>
    </w:p>
    <w:p w:rsidR="00455050" w:rsidRDefault="000C51C5">
      <w:pPr>
        <w:shd w:val="clear" w:color="040000" w:fill="auto"/>
        <w:spacing w:line="594" w:lineRule="exact"/>
        <w:rPr>
          <w:rFonts w:cs="宋体" w:hint="default"/>
          <w:sz w:val="21"/>
          <w:szCs w:val="21"/>
        </w:rPr>
      </w:pPr>
      <w:r>
        <w:rPr>
          <w:rFonts w:cs="宋体" w:hint="default"/>
          <w:sz w:val="21"/>
          <w:szCs w:val="21"/>
        </w:rPr>
        <w:br w:type="page"/>
      </w:r>
    </w:p>
    <w:tbl>
      <w:tblPr>
        <w:tblW w:w="14131" w:type="dxa"/>
        <w:tblLayout w:type="fixed"/>
        <w:tblCellMar>
          <w:left w:w="170" w:type="dxa"/>
          <w:right w:w="170" w:type="dxa"/>
        </w:tblCellMar>
        <w:tblLook w:val="04A0" w:firstRow="1" w:lastRow="0" w:firstColumn="1" w:lastColumn="0" w:noHBand="0" w:noVBand="1"/>
      </w:tblPr>
      <w:tblGrid>
        <w:gridCol w:w="3179"/>
        <w:gridCol w:w="2416"/>
        <w:gridCol w:w="2375"/>
        <w:gridCol w:w="3674"/>
        <w:gridCol w:w="2487"/>
      </w:tblGrid>
      <w:tr w:rsidR="00455050">
        <w:trPr>
          <w:trHeight w:val="343"/>
        </w:trPr>
        <w:tc>
          <w:tcPr>
            <w:tcW w:w="14131" w:type="dxa"/>
            <w:gridSpan w:val="5"/>
            <w:tcMar>
              <w:top w:w="15" w:type="dxa"/>
              <w:left w:w="15" w:type="dxa"/>
              <w:right w:w="15" w:type="dxa"/>
            </w:tcMar>
            <w:vAlign w:val="bottom"/>
          </w:tcPr>
          <w:p w:rsidR="00455050" w:rsidRDefault="000C51C5">
            <w:pPr>
              <w:shd w:val="clear" w:color="040000" w:fill="auto"/>
              <w:spacing w:line="594" w:lineRule="exact"/>
              <w:jc w:val="center"/>
              <w:textAlignment w:val="bottom"/>
              <w:rPr>
                <w:rFonts w:cs="宋体" w:hint="default"/>
                <w:b/>
                <w:kern w:val="2"/>
                <w:sz w:val="32"/>
                <w:szCs w:val="32"/>
              </w:rPr>
            </w:pPr>
            <w:r>
              <w:rPr>
                <w:rFonts w:cs="宋体"/>
                <w:b/>
                <w:kern w:val="2"/>
                <w:sz w:val="32"/>
                <w:szCs w:val="32"/>
              </w:rPr>
              <w:lastRenderedPageBreak/>
              <w:t>机构运行信息表</w:t>
            </w:r>
          </w:p>
        </w:tc>
      </w:tr>
      <w:tr w:rsidR="00455050">
        <w:trPr>
          <w:trHeight w:val="244"/>
        </w:trPr>
        <w:tc>
          <w:tcPr>
            <w:tcW w:w="3179" w:type="dxa"/>
            <w:tcMar>
              <w:top w:w="15" w:type="dxa"/>
              <w:left w:w="15" w:type="dxa"/>
              <w:right w:w="15" w:type="dxa"/>
            </w:tcMar>
            <w:vAlign w:val="bottom"/>
          </w:tcPr>
          <w:p w:rsidR="00455050" w:rsidRDefault="00455050">
            <w:pPr>
              <w:shd w:val="clear" w:color="040000" w:fill="auto"/>
              <w:spacing w:line="594" w:lineRule="exact"/>
              <w:rPr>
                <w:rFonts w:cs="宋体" w:hint="default"/>
                <w:kern w:val="2"/>
                <w:sz w:val="20"/>
                <w:szCs w:val="20"/>
              </w:rPr>
            </w:pPr>
          </w:p>
        </w:tc>
        <w:tc>
          <w:tcPr>
            <w:tcW w:w="2416" w:type="dxa"/>
            <w:tcMar>
              <w:top w:w="15" w:type="dxa"/>
              <w:left w:w="15" w:type="dxa"/>
              <w:right w:w="15" w:type="dxa"/>
            </w:tcMar>
            <w:vAlign w:val="bottom"/>
          </w:tcPr>
          <w:p w:rsidR="00455050" w:rsidRDefault="00455050">
            <w:pPr>
              <w:shd w:val="clear" w:color="040000" w:fill="auto"/>
              <w:spacing w:line="594" w:lineRule="exact"/>
              <w:jc w:val="center"/>
              <w:rPr>
                <w:rFonts w:cs="宋体" w:hint="default"/>
                <w:kern w:val="2"/>
                <w:sz w:val="20"/>
                <w:szCs w:val="20"/>
              </w:rPr>
            </w:pPr>
          </w:p>
        </w:tc>
        <w:tc>
          <w:tcPr>
            <w:tcW w:w="2375" w:type="dxa"/>
            <w:tcMar>
              <w:top w:w="15" w:type="dxa"/>
              <w:left w:w="15" w:type="dxa"/>
              <w:right w:w="15" w:type="dxa"/>
            </w:tcMar>
            <w:vAlign w:val="bottom"/>
          </w:tcPr>
          <w:p w:rsidR="00455050" w:rsidRDefault="00455050">
            <w:pPr>
              <w:shd w:val="clear" w:color="040000" w:fill="auto"/>
              <w:spacing w:line="594" w:lineRule="exact"/>
              <w:jc w:val="right"/>
              <w:rPr>
                <w:rFonts w:cs="宋体" w:hint="default"/>
                <w:kern w:val="2"/>
                <w:sz w:val="20"/>
                <w:szCs w:val="20"/>
              </w:rPr>
            </w:pPr>
          </w:p>
        </w:tc>
        <w:tc>
          <w:tcPr>
            <w:tcW w:w="3674" w:type="dxa"/>
            <w:tcMar>
              <w:top w:w="15" w:type="dxa"/>
              <w:left w:w="15" w:type="dxa"/>
              <w:right w:w="15" w:type="dxa"/>
            </w:tcMar>
            <w:vAlign w:val="bottom"/>
          </w:tcPr>
          <w:p w:rsidR="00455050" w:rsidRDefault="00455050">
            <w:pPr>
              <w:shd w:val="clear" w:color="040000" w:fill="auto"/>
              <w:spacing w:line="594" w:lineRule="exact"/>
              <w:rPr>
                <w:rFonts w:cs="宋体" w:hint="default"/>
                <w:kern w:val="2"/>
                <w:sz w:val="20"/>
                <w:szCs w:val="20"/>
              </w:rPr>
            </w:pPr>
          </w:p>
        </w:tc>
        <w:tc>
          <w:tcPr>
            <w:tcW w:w="2487" w:type="dxa"/>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kern w:val="2"/>
                <w:sz w:val="20"/>
                <w:szCs w:val="20"/>
              </w:rPr>
            </w:pPr>
            <w:r>
              <w:rPr>
                <w:rFonts w:cs="宋体"/>
                <w:kern w:val="2"/>
                <w:sz w:val="20"/>
                <w:szCs w:val="20"/>
              </w:rPr>
              <w:t>公开</w:t>
            </w:r>
            <w:r>
              <w:rPr>
                <w:rFonts w:ascii="Times New Roman" w:hAnsi="Times New Roman" w:hint="default"/>
                <w:kern w:val="2"/>
                <w:sz w:val="20"/>
                <w:szCs w:val="20"/>
              </w:rPr>
              <w:t>09</w:t>
            </w:r>
            <w:r>
              <w:rPr>
                <w:rFonts w:cs="宋体"/>
                <w:kern w:val="2"/>
                <w:sz w:val="20"/>
                <w:szCs w:val="20"/>
              </w:rPr>
              <w:t>表</w:t>
            </w:r>
          </w:p>
        </w:tc>
      </w:tr>
      <w:tr w:rsidR="00455050">
        <w:trPr>
          <w:trHeight w:val="244"/>
        </w:trPr>
        <w:tc>
          <w:tcPr>
            <w:tcW w:w="5595" w:type="dxa"/>
            <w:gridSpan w:val="2"/>
            <w:tcBorders>
              <w:top w:val="nil"/>
              <w:left w:val="nil"/>
              <w:bottom w:val="single" w:sz="4" w:space="0" w:color="auto"/>
              <w:right w:val="nil"/>
            </w:tcBorders>
            <w:tcMar>
              <w:top w:w="15" w:type="dxa"/>
              <w:left w:w="15" w:type="dxa"/>
              <w:right w:w="15" w:type="dxa"/>
            </w:tcMar>
            <w:vAlign w:val="bottom"/>
          </w:tcPr>
          <w:p w:rsidR="00455050" w:rsidRDefault="000C51C5">
            <w:pPr>
              <w:shd w:val="clear" w:color="040000" w:fill="auto"/>
              <w:spacing w:line="594" w:lineRule="exact"/>
              <w:rPr>
                <w:rFonts w:cs="宋体" w:hint="default"/>
                <w:kern w:val="2"/>
                <w:sz w:val="20"/>
                <w:szCs w:val="20"/>
              </w:rPr>
            </w:pPr>
            <w:r>
              <w:rPr>
                <w:rFonts w:cs="宋体"/>
                <w:kern w:val="2"/>
                <w:sz w:val="20"/>
                <w:szCs w:val="20"/>
              </w:rPr>
              <w:t>部门：</w:t>
            </w:r>
            <w:r>
              <w:rPr>
                <w:sz w:val="20"/>
              </w:rPr>
              <w:t>垫江县退役军人事务局</w:t>
            </w:r>
          </w:p>
        </w:tc>
        <w:tc>
          <w:tcPr>
            <w:tcW w:w="2375" w:type="dxa"/>
            <w:tcBorders>
              <w:top w:val="nil"/>
              <w:left w:val="nil"/>
              <w:bottom w:val="single" w:sz="4" w:space="0" w:color="auto"/>
              <w:right w:val="nil"/>
            </w:tcBorders>
            <w:tcMar>
              <w:top w:w="15" w:type="dxa"/>
              <w:left w:w="15" w:type="dxa"/>
              <w:right w:w="15" w:type="dxa"/>
            </w:tcMar>
            <w:vAlign w:val="bottom"/>
          </w:tcPr>
          <w:p w:rsidR="00455050" w:rsidRDefault="00455050">
            <w:pPr>
              <w:shd w:val="clear" w:color="040000" w:fill="auto"/>
              <w:spacing w:line="594" w:lineRule="exact"/>
              <w:jc w:val="right"/>
              <w:rPr>
                <w:rFonts w:cs="宋体" w:hint="default"/>
                <w:kern w:val="2"/>
                <w:sz w:val="20"/>
                <w:szCs w:val="20"/>
              </w:rPr>
            </w:pPr>
          </w:p>
        </w:tc>
        <w:tc>
          <w:tcPr>
            <w:tcW w:w="3674" w:type="dxa"/>
            <w:tcBorders>
              <w:top w:val="nil"/>
              <w:left w:val="nil"/>
              <w:bottom w:val="single" w:sz="4" w:space="0" w:color="auto"/>
              <w:right w:val="nil"/>
            </w:tcBorders>
            <w:tcMar>
              <w:top w:w="15" w:type="dxa"/>
              <w:left w:w="15" w:type="dxa"/>
              <w:right w:w="15" w:type="dxa"/>
            </w:tcMar>
            <w:vAlign w:val="bottom"/>
          </w:tcPr>
          <w:p w:rsidR="00455050" w:rsidRDefault="00455050">
            <w:pPr>
              <w:shd w:val="clear" w:color="040000" w:fill="auto"/>
              <w:spacing w:line="594" w:lineRule="exact"/>
              <w:rPr>
                <w:rFonts w:cs="宋体" w:hint="default"/>
                <w:kern w:val="2"/>
                <w:sz w:val="20"/>
                <w:szCs w:val="20"/>
              </w:rPr>
            </w:pPr>
          </w:p>
        </w:tc>
        <w:tc>
          <w:tcPr>
            <w:tcW w:w="2487" w:type="dxa"/>
            <w:tcBorders>
              <w:top w:val="nil"/>
              <w:left w:val="nil"/>
              <w:bottom w:val="single" w:sz="4" w:space="0" w:color="auto"/>
              <w:right w:val="nil"/>
            </w:tcBorders>
            <w:tcMar>
              <w:top w:w="15" w:type="dxa"/>
              <w:left w:w="15" w:type="dxa"/>
              <w:right w:w="15" w:type="dxa"/>
            </w:tcMar>
            <w:vAlign w:val="bottom"/>
          </w:tcPr>
          <w:p w:rsidR="00455050" w:rsidRDefault="000C51C5">
            <w:pPr>
              <w:shd w:val="clear" w:color="040000" w:fill="auto"/>
              <w:spacing w:line="594" w:lineRule="exact"/>
              <w:jc w:val="right"/>
              <w:textAlignment w:val="bottom"/>
              <w:rPr>
                <w:rFonts w:cs="宋体" w:hint="default"/>
                <w:kern w:val="2"/>
                <w:sz w:val="20"/>
                <w:szCs w:val="20"/>
              </w:rPr>
            </w:pPr>
            <w:r>
              <w:rPr>
                <w:rFonts w:cs="宋体"/>
                <w:kern w:val="2"/>
                <w:sz w:val="20"/>
                <w:szCs w:val="20"/>
              </w:rPr>
              <w:t>单位：万元</w:t>
            </w:r>
          </w:p>
        </w:tc>
      </w:tr>
      <w:tr w:rsidR="00455050">
        <w:trPr>
          <w:trHeight w:val="28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kern w:val="2"/>
                <w:sz w:val="16"/>
                <w:szCs w:val="16"/>
              </w:rPr>
            </w:pPr>
            <w:r>
              <w:rPr>
                <w:rFonts w:cs="宋体"/>
                <w:b/>
                <w:kern w:val="2"/>
                <w:sz w:val="16"/>
                <w:szCs w:val="16"/>
              </w:rPr>
              <w:t>项  目</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kern w:val="2"/>
                <w:sz w:val="16"/>
                <w:szCs w:val="16"/>
              </w:rPr>
            </w:pPr>
            <w:r>
              <w:rPr>
                <w:rFonts w:cs="宋体"/>
                <w:b/>
                <w:kern w:val="2"/>
                <w:sz w:val="16"/>
                <w:szCs w:val="16"/>
              </w:rPr>
              <w:t>预算数</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kern w:val="2"/>
                <w:sz w:val="16"/>
                <w:szCs w:val="16"/>
              </w:rPr>
            </w:pPr>
            <w:r>
              <w:rPr>
                <w:rFonts w:cs="宋体"/>
                <w:b/>
                <w:kern w:val="2"/>
                <w:sz w:val="16"/>
                <w:szCs w:val="16"/>
              </w:rPr>
              <w:t>决算数</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kern w:val="2"/>
                <w:sz w:val="16"/>
                <w:szCs w:val="16"/>
              </w:rPr>
            </w:pPr>
            <w:r>
              <w:rPr>
                <w:rFonts w:cs="宋体"/>
                <w:b/>
                <w:kern w:val="2"/>
                <w:sz w:val="16"/>
                <w:szCs w:val="16"/>
              </w:rPr>
              <w:t>项  目</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cs="宋体" w:hint="default"/>
                <w:b/>
                <w:kern w:val="2"/>
                <w:sz w:val="16"/>
                <w:szCs w:val="16"/>
              </w:rPr>
            </w:pPr>
            <w:r>
              <w:rPr>
                <w:rFonts w:cs="宋体"/>
                <w:b/>
                <w:kern w:val="2"/>
                <w:sz w:val="16"/>
                <w:szCs w:val="16"/>
              </w:rPr>
              <w:t>决算数</w:t>
            </w:r>
          </w:p>
        </w:tc>
      </w:tr>
      <w:tr w:rsidR="00455050">
        <w:trPr>
          <w:trHeight w:val="28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kern w:val="2"/>
                <w:sz w:val="16"/>
                <w:szCs w:val="16"/>
              </w:rPr>
            </w:pPr>
            <w:r>
              <w:rPr>
                <w:rFonts w:cs="宋体"/>
                <w:b/>
                <w:kern w:val="2"/>
                <w:sz w:val="16"/>
                <w:szCs w:val="16"/>
              </w:rPr>
              <w:t>一、“三公”经费支出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kern w:val="2"/>
                <w:sz w:val="16"/>
                <w:szCs w:val="16"/>
              </w:rPr>
            </w:pPr>
            <w:r>
              <w:rPr>
                <w:rFonts w:cs="宋体"/>
                <w:b/>
                <w:kern w:val="2"/>
                <w:sz w:val="16"/>
                <w:szCs w:val="16"/>
              </w:rPr>
              <w:t>五、机关运行经费</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57.65</w:t>
            </w: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（一）支出合计</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9.83</w:t>
            </w:r>
            <w:r>
              <w:rPr>
                <w:rFonts w:ascii="Times New Roman" w:hAnsi="Times New Roman"/>
                <w:sz w:val="18"/>
              </w:rPr>
              <w:t xml:space="preserve"> </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9.83</w:t>
            </w: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（一）行政单位</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39.20</w:t>
            </w: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1．因公出国（境）费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（二）参照公务员法管理事业单位</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18.45</w:t>
            </w: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2．公务用车购置及运行维护费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8.00</w:t>
            </w:r>
            <w:r>
              <w:rPr>
                <w:rFonts w:ascii="Times New Roman" w:hAnsi="Times New Roman"/>
                <w:sz w:val="18"/>
              </w:rPr>
              <w:t xml:space="preserve"> </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8.00</w:t>
            </w: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六、资产信息</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ind w:rightChars="50" w:right="120"/>
              <w:jc w:val="center"/>
              <w:textAlignment w:val="center"/>
              <w:rPr>
                <w:rFonts w:ascii="Times New Roman" w:hAnsi="Times New Roman" w:hint="default"/>
                <w:sz w:val="18"/>
                <w:szCs w:val="18"/>
              </w:rPr>
            </w:pPr>
            <w:r>
              <w:rPr>
                <w:rFonts w:ascii="Times New Roman" w:hAnsi="Times New Roman" w:hint="default"/>
                <w:sz w:val="18"/>
                <w:szCs w:val="18"/>
              </w:rPr>
              <w:t>—</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（1）公务用车购置费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（一）车辆数合计（辆）</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2</w:t>
            </w: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（2）公务用车运行维护费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8.00</w:t>
            </w:r>
            <w:r>
              <w:rPr>
                <w:rFonts w:ascii="Times New Roman" w:hAnsi="Times New Roman"/>
                <w:sz w:val="18"/>
              </w:rPr>
              <w:t xml:space="preserve"> </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8.00</w:t>
            </w: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1．副部（省）级及以上领导用车</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3．公务接待费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1.83</w:t>
            </w:r>
            <w:r>
              <w:rPr>
                <w:rFonts w:ascii="Times New Roman" w:hAnsi="Times New Roman"/>
                <w:sz w:val="18"/>
              </w:rPr>
              <w:t xml:space="preserve"> </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1.83</w:t>
            </w: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2．主要领导干部用车</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（1）国内接待费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1.83</w:t>
            </w: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3．机要通信用车</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其中：外事接待费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4．应急保障用车</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2</w:t>
            </w: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（2）国（境）外接待费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5．执法执勤用车</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（二）相关统计数</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ind w:rightChars="50" w:right="120"/>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6．特种专业技术用车</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1．因公出国（境）团组数（个）</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7．离退休干部用车</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2．因公出国（境）人次数（人）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8．其他用车</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lastRenderedPageBreak/>
              <w:t xml:space="preserve">     3．公务用车购置数（辆）</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（二）单价100万元（含）以上设备（不含车辆）</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4．公务用车保有量（辆）</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2</w:t>
            </w: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七、政府采购支出信息</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ind w:rightChars="50" w:right="120"/>
              <w:jc w:val="center"/>
              <w:textAlignment w:val="center"/>
              <w:rPr>
                <w:rFonts w:ascii="Times New Roman" w:hAnsi="Times New Roman" w:hint="default"/>
                <w:sz w:val="18"/>
                <w:szCs w:val="18"/>
              </w:rPr>
            </w:pPr>
            <w:r>
              <w:rPr>
                <w:rFonts w:ascii="Times New Roman" w:hAnsi="Times New Roman" w:hint="default"/>
                <w:sz w:val="18"/>
                <w:szCs w:val="18"/>
              </w:rPr>
              <w:t>—</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5．国内公务接待批次（个）</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22</w:t>
            </w: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（一）政府采购支出合计</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99.61</w:t>
            </w: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其中：外事接待批次（个）</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1．政府采购货物支出</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99.61</w:t>
            </w: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6．国内公务接待人次（人）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211</w:t>
            </w: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2．政府采购工程支出</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其中：外事接待人次（人）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3．政府采购服务支出</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7．国（境）外公务接待批次（个）</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（二）政府采购授予中小企业合同金额</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99.61</w:t>
            </w:r>
            <w:r>
              <w:rPr>
                <w:rFonts w:ascii="Times New Roman" w:hAnsi="Times New Roman"/>
                <w:sz w:val="18"/>
              </w:rPr>
              <w:t xml:space="preserve"> </w:t>
            </w:r>
          </w:p>
        </w:tc>
      </w:tr>
      <w:tr w:rsidR="00455050">
        <w:trPr>
          <w:trHeight w:val="292"/>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8．国（境）外公务接待人次（人）</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kern w:val="2"/>
                <w:sz w:val="16"/>
                <w:szCs w:val="16"/>
              </w:rPr>
            </w:pPr>
            <w:r>
              <w:rPr>
                <w:rFonts w:cs="宋体"/>
                <w:b/>
                <w:bCs/>
                <w:kern w:val="2"/>
                <w:sz w:val="16"/>
                <w:szCs w:val="16"/>
              </w:rPr>
              <w:t xml:space="preserve">        其中：授予小微企业合同金额</w:t>
            </w: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99.61</w:t>
            </w:r>
            <w:r>
              <w:rPr>
                <w:rFonts w:ascii="Times New Roman" w:hAnsi="Times New Roman"/>
                <w:sz w:val="18"/>
              </w:rPr>
              <w:t xml:space="preserve"> </w:t>
            </w:r>
          </w:p>
        </w:tc>
      </w:tr>
      <w:tr w:rsidR="00455050">
        <w:trPr>
          <w:trHeight w:val="286"/>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kern w:val="2"/>
                <w:sz w:val="16"/>
                <w:szCs w:val="16"/>
              </w:rPr>
            </w:pPr>
            <w:r>
              <w:rPr>
                <w:rFonts w:cs="宋体"/>
                <w:b/>
                <w:kern w:val="2"/>
                <w:sz w:val="16"/>
                <w:szCs w:val="16"/>
              </w:rPr>
              <w:t>二、会议费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1.46</w:t>
            </w: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455050">
            <w:pPr>
              <w:shd w:val="clear" w:color="040000" w:fill="auto"/>
              <w:spacing w:line="594" w:lineRule="exact"/>
              <w:rPr>
                <w:rFonts w:cs="宋体" w:hint="default"/>
                <w:kern w:val="2"/>
                <w:sz w:val="16"/>
                <w:szCs w:val="16"/>
              </w:rPr>
            </w:pP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455050">
            <w:pPr>
              <w:shd w:val="clear" w:color="040000" w:fill="auto"/>
              <w:spacing w:line="594" w:lineRule="exact"/>
              <w:jc w:val="right"/>
              <w:rPr>
                <w:rFonts w:cs="宋体" w:hint="default"/>
                <w:kern w:val="2"/>
                <w:sz w:val="16"/>
                <w:szCs w:val="16"/>
              </w:rPr>
            </w:pPr>
          </w:p>
        </w:tc>
      </w:tr>
      <w:tr w:rsidR="00455050">
        <w:trPr>
          <w:trHeight w:val="389"/>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kern w:val="2"/>
                <w:sz w:val="16"/>
                <w:szCs w:val="16"/>
              </w:rPr>
            </w:pPr>
            <w:r>
              <w:rPr>
                <w:rFonts w:cs="宋体"/>
                <w:b/>
                <w:kern w:val="2"/>
                <w:sz w:val="16"/>
                <w:szCs w:val="16"/>
              </w:rPr>
              <w:t>三、培训费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kern w:val="2"/>
                <w:sz w:val="18"/>
                <w:szCs w:val="18"/>
              </w:rPr>
            </w:pPr>
            <w:r>
              <w:rPr>
                <w:rFonts w:ascii="Times New Roman" w:hAnsi="Times New Roman" w:hint="default"/>
                <w:kern w:val="2"/>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kern w:val="2"/>
                <w:sz w:val="18"/>
                <w:szCs w:val="18"/>
              </w:rPr>
            </w:pPr>
            <w:r>
              <w:rPr>
                <w:rFonts w:ascii="Times New Roman" w:hAnsi="Times New Roman" w:hint="default"/>
                <w:kern w:val="2"/>
                <w:sz w:val="18"/>
                <w:szCs w:val="18"/>
              </w:rPr>
              <w:t>1.27</w:t>
            </w: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455050">
            <w:pPr>
              <w:shd w:val="clear" w:color="040000" w:fill="auto"/>
              <w:spacing w:line="594" w:lineRule="exact"/>
              <w:rPr>
                <w:rFonts w:cs="宋体" w:hint="default"/>
                <w:kern w:val="2"/>
                <w:sz w:val="16"/>
                <w:szCs w:val="16"/>
              </w:rPr>
            </w:pP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455050">
            <w:pPr>
              <w:shd w:val="clear" w:color="040000" w:fill="auto"/>
              <w:spacing w:line="594" w:lineRule="exact"/>
              <w:jc w:val="right"/>
              <w:rPr>
                <w:rFonts w:cs="宋体" w:hint="default"/>
                <w:kern w:val="2"/>
                <w:sz w:val="16"/>
                <w:szCs w:val="16"/>
              </w:rPr>
            </w:pPr>
          </w:p>
        </w:tc>
      </w:tr>
      <w:tr w:rsidR="00455050">
        <w:trPr>
          <w:trHeight w:val="389"/>
        </w:trPr>
        <w:tc>
          <w:tcPr>
            <w:tcW w:w="3179"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textAlignment w:val="center"/>
              <w:rPr>
                <w:rFonts w:cs="宋体" w:hint="default"/>
                <w:b/>
                <w:bCs/>
                <w:sz w:val="16"/>
                <w:szCs w:val="16"/>
              </w:rPr>
            </w:pPr>
            <w:r>
              <w:rPr>
                <w:rFonts w:cs="宋体"/>
                <w:b/>
                <w:bCs/>
                <w:sz w:val="16"/>
                <w:szCs w:val="16"/>
              </w:rPr>
              <w:t>四、差旅费</w:t>
            </w:r>
          </w:p>
        </w:tc>
        <w:tc>
          <w:tcPr>
            <w:tcW w:w="2416"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0C51C5">
            <w:pPr>
              <w:shd w:val="clear" w:color="040000" w:fill="auto"/>
              <w:spacing w:line="594" w:lineRule="exact"/>
              <w:jc w:val="center"/>
              <w:textAlignment w:val="center"/>
              <w:rPr>
                <w:rFonts w:ascii="Times New Roman" w:hAnsi="Times New Roman" w:hint="default"/>
                <w:sz w:val="18"/>
                <w:szCs w:val="18"/>
              </w:rPr>
            </w:pPr>
            <w:r>
              <w:rPr>
                <w:rFonts w:ascii="Times New Roman" w:hAnsi="Times New Roman" w:hint="default"/>
                <w:sz w:val="18"/>
                <w:szCs w:val="18"/>
              </w:rPr>
              <w:t>—</w:t>
            </w:r>
          </w:p>
        </w:tc>
        <w:tc>
          <w:tcPr>
            <w:tcW w:w="2375"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0C51C5">
            <w:pPr>
              <w:shd w:val="clear" w:color="040000" w:fill="auto"/>
              <w:spacing w:line="594" w:lineRule="exact"/>
              <w:ind w:rightChars="50" w:right="120"/>
              <w:jc w:val="right"/>
              <w:textAlignment w:val="bottom"/>
              <w:rPr>
                <w:rFonts w:ascii="Times New Roman" w:hAnsi="Times New Roman" w:hint="default"/>
                <w:sz w:val="18"/>
                <w:szCs w:val="18"/>
              </w:rPr>
            </w:pPr>
            <w:r>
              <w:rPr>
                <w:rFonts w:ascii="Times New Roman" w:hAnsi="Times New Roman" w:hint="default"/>
                <w:sz w:val="18"/>
                <w:szCs w:val="18"/>
              </w:rPr>
              <w:t>3.82</w:t>
            </w:r>
            <w:r>
              <w:rPr>
                <w:rFonts w:ascii="Times New Roman" w:hAnsi="Times New Roman"/>
                <w:sz w:val="18"/>
              </w:rPr>
              <w:t xml:space="preserve"> </w:t>
            </w:r>
          </w:p>
        </w:tc>
        <w:tc>
          <w:tcPr>
            <w:tcW w:w="3674"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center"/>
          </w:tcPr>
          <w:p w:rsidR="00455050" w:rsidRDefault="00455050">
            <w:pPr>
              <w:shd w:val="clear" w:color="040000" w:fill="auto"/>
              <w:spacing w:line="594" w:lineRule="exact"/>
              <w:rPr>
                <w:rFonts w:cs="宋体" w:hint="default"/>
                <w:sz w:val="16"/>
                <w:szCs w:val="16"/>
              </w:rPr>
            </w:pPr>
          </w:p>
        </w:tc>
        <w:tc>
          <w:tcPr>
            <w:tcW w:w="2487" w:type="dxa"/>
            <w:tcBorders>
              <w:top w:val="single" w:sz="4" w:space="0" w:color="auto"/>
              <w:left w:val="single" w:sz="4" w:space="0" w:color="auto"/>
              <w:bottom w:val="single" w:sz="4" w:space="0" w:color="auto"/>
              <w:right w:val="single" w:sz="4" w:space="0" w:color="auto"/>
            </w:tcBorders>
            <w:tcMar>
              <w:top w:w="15" w:type="dxa"/>
              <w:left w:w="15" w:type="dxa"/>
              <w:right w:w="15" w:type="dxa"/>
            </w:tcMar>
            <w:vAlign w:val="bottom"/>
          </w:tcPr>
          <w:p w:rsidR="00455050" w:rsidRDefault="00455050">
            <w:pPr>
              <w:shd w:val="clear" w:color="040000" w:fill="auto"/>
              <w:spacing w:line="594" w:lineRule="exact"/>
              <w:jc w:val="right"/>
              <w:rPr>
                <w:rFonts w:cs="宋体" w:hint="default"/>
                <w:sz w:val="16"/>
                <w:szCs w:val="16"/>
              </w:rPr>
            </w:pPr>
          </w:p>
        </w:tc>
      </w:tr>
    </w:tbl>
    <w:p w:rsidR="00455050" w:rsidRDefault="000C51C5">
      <w:pPr>
        <w:shd w:val="clear" w:color="040000" w:fill="auto"/>
        <w:spacing w:line="594" w:lineRule="exact"/>
        <w:rPr>
          <w:rFonts w:hint="default"/>
        </w:rPr>
      </w:pPr>
      <w:r>
        <w:rPr>
          <w:rFonts w:cs="宋体"/>
          <w:sz w:val="18"/>
          <w:szCs w:val="18"/>
        </w:rPr>
        <w:t>备注：1.本表反映部门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 xml:space="preserve">      2.本套报表金额单位转换时可能存在尾数误差。</w:t>
      </w:r>
      <w:r>
        <w:rPr>
          <w:rFonts w:cs="宋体"/>
          <w:sz w:val="18"/>
          <w:szCs w:val="18"/>
        </w:rPr>
        <w:br/>
      </w:r>
      <w:r>
        <w:rPr>
          <w:rFonts w:cs="宋体"/>
          <w:sz w:val="18"/>
          <w:szCs w:val="18"/>
        </w:rPr>
        <w:br/>
      </w:r>
    </w:p>
    <w:sectPr w:rsidR="00455050">
      <w:headerReference w:type="default" r:id="rId15"/>
      <w:footerReference w:type="default" r:id="rId16"/>
      <w:pgSz w:w="16783" w:h="11850" w:orient="landscape"/>
      <w:pgMar w:top="567" w:right="454" w:bottom="567" w:left="1037" w:header="0" w:footer="283" w:gutter="0"/>
      <w:pgNumType w:fmt="numberInDash"/>
      <w:cols w:space="720"/>
      <w:docGrid w:type="lines"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03482" w:rsidRDefault="00603482">
      <w:pPr>
        <w:rPr>
          <w:rFonts w:hint="default"/>
        </w:rPr>
      </w:pPr>
      <w:r>
        <w:separator/>
      </w:r>
    </w:p>
  </w:endnote>
  <w:endnote w:type="continuationSeparator" w:id="0">
    <w:p w:rsidR="00603482" w:rsidRDefault="00603482">
      <w:pPr>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方正小标宋_GBK">
    <w:altName w:val="微软雅黑"/>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1C5" w:rsidRDefault="000C51C5">
    <w:pPr>
      <w:pStyle w:val="a5"/>
      <w:rPr>
        <w:rFonts w:hint="default"/>
      </w:rPr>
    </w:pPr>
    <w:r>
      <w:rPr>
        <w:rFonts w:hint="default"/>
      </w:rPr>
      <w:pict>
        <v:rect id="文本框 1" o:spid="_x0000_s2049" style="position:absolute;margin-left:0;margin-top:0;width:2in;height:2in;z-index:251660288;mso-wrap-style:none;mso-position-horizontal:center;mso-position-horizontal-relative:margin;mso-width-relative:page;mso-height-relative:page" o:preferrelative="t" filled="f" stroked="f">
          <v:textbox style="mso-fit-shape-to-text:t" inset="0,0,0,0">
            <w:txbxContent>
              <w:p w:rsidR="000C51C5" w:rsidRDefault="000C51C5">
                <w:pPr>
                  <w:pStyle w:val="a5"/>
                  <w:rPr>
                    <w:rFonts w:hint="default"/>
                  </w:rPr>
                </w:pPr>
                <w:r>
                  <w:fldChar w:fldCharType="begin"/>
                </w:r>
                <w:r>
                  <w:instrText xml:space="preserve"> PAGE  \* MERGEFORMAT </w:instrText>
                </w:r>
                <w:r>
                  <w:fldChar w:fldCharType="separate"/>
                </w:r>
                <w:r w:rsidR="005007E0">
                  <w:rPr>
                    <w:rFonts w:hint="default"/>
                    <w:noProof/>
                  </w:rPr>
                  <w:t>- 1 -</w:t>
                </w:r>
                <w:r>
                  <w:fldChar w:fldCharType="end"/>
                </w:r>
              </w:p>
            </w:txbxContent>
          </v:textbox>
          <w10:wrap anchorx="margin"/>
        </v:rect>
      </w:pic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1C5" w:rsidRDefault="000C51C5">
    <w:pPr>
      <w:pStyle w:val="a5"/>
      <w:jc w:val="both"/>
      <w:rPr>
        <w:rFonts w:hint="default"/>
      </w:rPr>
    </w:pPr>
    <w:r>
      <w:rPr>
        <w:rFonts w:hint="default"/>
      </w:rPr>
      <w:pict>
        <v:rect id="文本框 127" o:spid="_x0000_s2050" style="position:absolute;left:0;text-align:left;margin-left:0;margin-top:0;width:2in;height:2in;z-index:251659264;mso-wrap-style:none;mso-position-horizontal:center;mso-position-horizontal-relative:margin;mso-width-relative:page;mso-height-relative:page" o:preferrelative="t" o:allowoverlap="f" filled="f" stroked="f">
          <v:textbox style="mso-fit-shape-to-text:t" inset="0,0,0,0">
            <w:txbxContent>
              <w:p w:rsidR="000C51C5" w:rsidRDefault="000C51C5">
                <w:pPr>
                  <w:pStyle w:val="a5"/>
                  <w:rPr>
                    <w:rFonts w:hint="default"/>
                  </w:rPr>
                </w:pPr>
                <w:r>
                  <w:t xml:space="preserve"> </w:t>
                </w:r>
                <w:r>
                  <w:fldChar w:fldCharType="begin"/>
                </w:r>
                <w:r>
                  <w:instrText>PAGE   \* MERGEFORMAT</w:instrText>
                </w:r>
                <w:r>
                  <w:fldChar w:fldCharType="separate"/>
                </w:r>
                <w:r w:rsidR="005007E0">
                  <w:rPr>
                    <w:rFonts w:hint="default"/>
                    <w:noProof/>
                  </w:rPr>
                  <w:t>- 21 -</w:t>
                </w:r>
                <w:r>
                  <w:fldChar w:fldCharType="end"/>
                </w:r>
                <w:r>
                  <w:t xml:space="preserve"> </w:t>
                </w:r>
              </w:p>
            </w:txbxContent>
          </v:textbox>
          <w10:wrap anchorx="margin"/>
        </v:rect>
      </w:pict>
    </w:r>
    <w:r>
      <w:rPr>
        <w:rFonts w:hint="default"/>
      </w:rPr>
      <w:pict>
        <v:rect id="文本框 126" o:spid="_x0000_s2051" style="position:absolute;left:0;text-align:left;margin-left:0;margin-top:1160.4pt;width:2in;height:17.4pt;z-index:251658240;mso-wrap-style:none;mso-position-horizontal:center;mso-position-horizontal-relative:margin;mso-position-vertical-relative:page;mso-width-relative:page;mso-height-relative:page" o:preferrelative="t" o:allowoverlap="f" filled="f" stroked="f">
          <v:textbox inset="0,0,0,0">
            <w:txbxContent>
              <w:p w:rsidR="000C51C5" w:rsidRDefault="000C51C5">
                <w:pPr>
                  <w:pStyle w:val="a5"/>
                  <w:jc w:val="both"/>
                  <w:rPr>
                    <w:rFonts w:cs="宋体" w:hint="default"/>
                  </w:rPr>
                </w:pPr>
                <w:r>
                  <w:rPr>
                    <w:rFonts w:cs="宋体"/>
                  </w:rPr>
                  <w:t>— 27.1 —</w:t>
                </w:r>
              </w:p>
            </w:txbxContent>
          </v:textbox>
          <w10:wrap anchorx="margin" anchory="page"/>
        </v:rect>
      </w:pic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03482" w:rsidRDefault="00603482">
      <w:pPr>
        <w:rPr>
          <w:rFonts w:hint="default"/>
        </w:rPr>
      </w:pPr>
      <w:r>
        <w:separator/>
      </w:r>
    </w:p>
  </w:footnote>
  <w:footnote w:type="continuationSeparator" w:id="0">
    <w:p w:rsidR="00603482" w:rsidRDefault="00603482">
      <w:pPr>
        <w:rPr>
          <w:rFonts w:hint="default"/>
        </w:rPr>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C51C5" w:rsidRDefault="000C51C5">
    <w:pPr>
      <w:pStyle w:val="a6"/>
      <w:tabs>
        <w:tab w:val="clear" w:pos="4153"/>
        <w:tab w:val="clear" w:pos="8306"/>
        <w:tab w:val="left" w:pos="1758"/>
      </w:tabs>
      <w:rPr>
        <w:rFonts w:hint="default"/>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EDFFC112"/>
    <w:multiLevelType w:val="singleLevel"/>
    <w:tmpl w:val="EDFFC112"/>
    <w:lvl w:ilvl="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HorizontalSpacing w:val="120"/>
  <w:drawingGridVerticalSpacing w:val="163"/>
  <w:displayHorizontalDrawingGridEvery w:val="0"/>
  <w:displayVerticalDrawingGridEvery w:val="2"/>
  <w:characterSpacingControl w:val="compressPunctuation"/>
  <w:hdrShapeDefaults>
    <o:shapedefaults v:ext="edit" spidmax="2052" strokecolor="#739cc3">
      <v:fill angle="90" type="gradient">
        <o:fill v:ext="view" type="gradientUnscaled"/>
      </v:fill>
      <v:stroke color="#739cc3" weight="1.25pt"/>
    </o:shapedefaults>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QwYWQ1YTE0ZDA0NjgxYzlhMjZlMDExNTFmMWI3MmEifQ=="/>
  </w:docVars>
  <w:rsids>
    <w:rsidRoot w:val="00B03CCD"/>
    <w:rsid w:val="000C01CC"/>
    <w:rsid w:val="000C51C5"/>
    <w:rsid w:val="000D7702"/>
    <w:rsid w:val="00261065"/>
    <w:rsid w:val="002D0E5A"/>
    <w:rsid w:val="002E5443"/>
    <w:rsid w:val="0032196C"/>
    <w:rsid w:val="00455050"/>
    <w:rsid w:val="004C12FF"/>
    <w:rsid w:val="005007E0"/>
    <w:rsid w:val="00550ABE"/>
    <w:rsid w:val="005B023C"/>
    <w:rsid w:val="00600322"/>
    <w:rsid w:val="00603482"/>
    <w:rsid w:val="006137D7"/>
    <w:rsid w:val="00634FA8"/>
    <w:rsid w:val="0063613A"/>
    <w:rsid w:val="006E2034"/>
    <w:rsid w:val="00732392"/>
    <w:rsid w:val="00792285"/>
    <w:rsid w:val="007A0D2E"/>
    <w:rsid w:val="007A3314"/>
    <w:rsid w:val="007B419D"/>
    <w:rsid w:val="00810F13"/>
    <w:rsid w:val="00944711"/>
    <w:rsid w:val="009821E3"/>
    <w:rsid w:val="00984852"/>
    <w:rsid w:val="009B67B8"/>
    <w:rsid w:val="00A03B1E"/>
    <w:rsid w:val="00A67739"/>
    <w:rsid w:val="00A820B7"/>
    <w:rsid w:val="00AC5566"/>
    <w:rsid w:val="00B03CCD"/>
    <w:rsid w:val="00B40138"/>
    <w:rsid w:val="00BC0413"/>
    <w:rsid w:val="00BF5A85"/>
    <w:rsid w:val="00C307F6"/>
    <w:rsid w:val="00C33BE8"/>
    <w:rsid w:val="00C96B11"/>
    <w:rsid w:val="00CC6B99"/>
    <w:rsid w:val="00DF7706"/>
    <w:rsid w:val="00E05175"/>
    <w:rsid w:val="00E654E2"/>
    <w:rsid w:val="00E76362"/>
    <w:rsid w:val="00F137D3"/>
    <w:rsid w:val="00F13C36"/>
    <w:rsid w:val="00F23C68"/>
    <w:rsid w:val="00F32C53"/>
    <w:rsid w:val="00F67858"/>
    <w:rsid w:val="00F73F90"/>
    <w:rsid w:val="00F7623D"/>
    <w:rsid w:val="00F8598B"/>
    <w:rsid w:val="00FA0819"/>
    <w:rsid w:val="010D3937"/>
    <w:rsid w:val="01474EBF"/>
    <w:rsid w:val="01F3521E"/>
    <w:rsid w:val="028D68DB"/>
    <w:rsid w:val="03B87EA0"/>
    <w:rsid w:val="03E3214F"/>
    <w:rsid w:val="044C50BA"/>
    <w:rsid w:val="04610B65"/>
    <w:rsid w:val="0491321E"/>
    <w:rsid w:val="05BC6D49"/>
    <w:rsid w:val="061818D6"/>
    <w:rsid w:val="06194FF1"/>
    <w:rsid w:val="066B5CCB"/>
    <w:rsid w:val="06A2550B"/>
    <w:rsid w:val="06F80EE2"/>
    <w:rsid w:val="07001CCA"/>
    <w:rsid w:val="075678DB"/>
    <w:rsid w:val="079D7CC7"/>
    <w:rsid w:val="07B611C8"/>
    <w:rsid w:val="08051BCA"/>
    <w:rsid w:val="086C12F4"/>
    <w:rsid w:val="08734FA1"/>
    <w:rsid w:val="08BA052C"/>
    <w:rsid w:val="08DB07BA"/>
    <w:rsid w:val="0969353F"/>
    <w:rsid w:val="098305D0"/>
    <w:rsid w:val="098A0877"/>
    <w:rsid w:val="0A5C4B69"/>
    <w:rsid w:val="0A86124A"/>
    <w:rsid w:val="0AB54CC0"/>
    <w:rsid w:val="0B9335CE"/>
    <w:rsid w:val="0BC45485"/>
    <w:rsid w:val="0BF422BF"/>
    <w:rsid w:val="0BF45684"/>
    <w:rsid w:val="0C7927C4"/>
    <w:rsid w:val="0C9B098C"/>
    <w:rsid w:val="0CEE71B1"/>
    <w:rsid w:val="0D673E11"/>
    <w:rsid w:val="0D8E5F16"/>
    <w:rsid w:val="0DA048BF"/>
    <w:rsid w:val="0DDA54E4"/>
    <w:rsid w:val="0E3A5F83"/>
    <w:rsid w:val="0E5345D7"/>
    <w:rsid w:val="0E74421A"/>
    <w:rsid w:val="0F130469"/>
    <w:rsid w:val="0F1516A3"/>
    <w:rsid w:val="0F475640"/>
    <w:rsid w:val="0F5117D6"/>
    <w:rsid w:val="0F836721"/>
    <w:rsid w:val="0FA25D96"/>
    <w:rsid w:val="10413451"/>
    <w:rsid w:val="107B59E5"/>
    <w:rsid w:val="107C6ED1"/>
    <w:rsid w:val="10CB2787"/>
    <w:rsid w:val="10EC0126"/>
    <w:rsid w:val="10F70B9A"/>
    <w:rsid w:val="111445C7"/>
    <w:rsid w:val="114278C6"/>
    <w:rsid w:val="114A0BD3"/>
    <w:rsid w:val="1158083A"/>
    <w:rsid w:val="11643A4B"/>
    <w:rsid w:val="119223E6"/>
    <w:rsid w:val="11D30278"/>
    <w:rsid w:val="11ED0F98"/>
    <w:rsid w:val="11F03528"/>
    <w:rsid w:val="12AB138A"/>
    <w:rsid w:val="12C921C4"/>
    <w:rsid w:val="136D48C8"/>
    <w:rsid w:val="13871C70"/>
    <w:rsid w:val="13A71CB4"/>
    <w:rsid w:val="13AF1D43"/>
    <w:rsid w:val="13CE1647"/>
    <w:rsid w:val="13FD55AB"/>
    <w:rsid w:val="14200702"/>
    <w:rsid w:val="14FE7BD3"/>
    <w:rsid w:val="163A6CEE"/>
    <w:rsid w:val="16941220"/>
    <w:rsid w:val="16B50F0A"/>
    <w:rsid w:val="16E96798"/>
    <w:rsid w:val="173708E3"/>
    <w:rsid w:val="17C374FC"/>
    <w:rsid w:val="17FB37EF"/>
    <w:rsid w:val="181E614C"/>
    <w:rsid w:val="1854272F"/>
    <w:rsid w:val="189079DC"/>
    <w:rsid w:val="189B0D0B"/>
    <w:rsid w:val="18B43F7C"/>
    <w:rsid w:val="194A1770"/>
    <w:rsid w:val="19B906A4"/>
    <w:rsid w:val="19C35CFC"/>
    <w:rsid w:val="1A281516"/>
    <w:rsid w:val="1B572B4C"/>
    <w:rsid w:val="1B6F15B6"/>
    <w:rsid w:val="1BAA2EDC"/>
    <w:rsid w:val="1C5C0973"/>
    <w:rsid w:val="1CA55E64"/>
    <w:rsid w:val="1CCB2BC8"/>
    <w:rsid w:val="1CF9064A"/>
    <w:rsid w:val="1D014A01"/>
    <w:rsid w:val="1D022362"/>
    <w:rsid w:val="1D1B04B0"/>
    <w:rsid w:val="1DBD6767"/>
    <w:rsid w:val="1DC52125"/>
    <w:rsid w:val="1DD26311"/>
    <w:rsid w:val="1E374ACB"/>
    <w:rsid w:val="1E5E27E3"/>
    <w:rsid w:val="1ECF0A66"/>
    <w:rsid w:val="1EF67CA4"/>
    <w:rsid w:val="1F020D3A"/>
    <w:rsid w:val="1F2C5189"/>
    <w:rsid w:val="1F4B0B02"/>
    <w:rsid w:val="1F4E5D32"/>
    <w:rsid w:val="1FBB35CD"/>
    <w:rsid w:val="1FCD26AF"/>
    <w:rsid w:val="20642787"/>
    <w:rsid w:val="2134115A"/>
    <w:rsid w:val="213E3BA9"/>
    <w:rsid w:val="21556F04"/>
    <w:rsid w:val="21630831"/>
    <w:rsid w:val="2236180E"/>
    <w:rsid w:val="22403BD3"/>
    <w:rsid w:val="232136DA"/>
    <w:rsid w:val="2349020E"/>
    <w:rsid w:val="23DA37D9"/>
    <w:rsid w:val="23E2161E"/>
    <w:rsid w:val="24523649"/>
    <w:rsid w:val="24B92327"/>
    <w:rsid w:val="24BE2584"/>
    <w:rsid w:val="24C14514"/>
    <w:rsid w:val="24F2607F"/>
    <w:rsid w:val="2533755C"/>
    <w:rsid w:val="25791755"/>
    <w:rsid w:val="258D3D22"/>
    <w:rsid w:val="25BA0BA7"/>
    <w:rsid w:val="25EC4593"/>
    <w:rsid w:val="26396DF4"/>
    <w:rsid w:val="26802C75"/>
    <w:rsid w:val="269D46D2"/>
    <w:rsid w:val="27115717"/>
    <w:rsid w:val="27167136"/>
    <w:rsid w:val="271B7437"/>
    <w:rsid w:val="27B23302"/>
    <w:rsid w:val="285743C9"/>
    <w:rsid w:val="292F6618"/>
    <w:rsid w:val="29310A5F"/>
    <w:rsid w:val="29C37A35"/>
    <w:rsid w:val="2A076083"/>
    <w:rsid w:val="2A1C1DA6"/>
    <w:rsid w:val="2A64640A"/>
    <w:rsid w:val="2A73162E"/>
    <w:rsid w:val="2B167953"/>
    <w:rsid w:val="2B200583"/>
    <w:rsid w:val="2B2E7254"/>
    <w:rsid w:val="2B5B4633"/>
    <w:rsid w:val="2B8209DE"/>
    <w:rsid w:val="2C2B5431"/>
    <w:rsid w:val="2C6762A3"/>
    <w:rsid w:val="2D2D6F87"/>
    <w:rsid w:val="2E245CB1"/>
    <w:rsid w:val="2EBF7B3E"/>
    <w:rsid w:val="2EDE1934"/>
    <w:rsid w:val="2FCA4B37"/>
    <w:rsid w:val="2FE029D7"/>
    <w:rsid w:val="2FF06E00"/>
    <w:rsid w:val="30562E26"/>
    <w:rsid w:val="30586FEC"/>
    <w:rsid w:val="30A0093A"/>
    <w:rsid w:val="30EC7046"/>
    <w:rsid w:val="315F0B22"/>
    <w:rsid w:val="319D022C"/>
    <w:rsid w:val="31C90022"/>
    <w:rsid w:val="31D84415"/>
    <w:rsid w:val="320F1993"/>
    <w:rsid w:val="32285F6F"/>
    <w:rsid w:val="32770556"/>
    <w:rsid w:val="329C0913"/>
    <w:rsid w:val="32AA0460"/>
    <w:rsid w:val="3337290D"/>
    <w:rsid w:val="33E31118"/>
    <w:rsid w:val="33EF7674"/>
    <w:rsid w:val="342D7BC6"/>
    <w:rsid w:val="34D969C4"/>
    <w:rsid w:val="352930DB"/>
    <w:rsid w:val="35573069"/>
    <w:rsid w:val="355F6038"/>
    <w:rsid w:val="358C217E"/>
    <w:rsid w:val="35937598"/>
    <w:rsid w:val="36C9128A"/>
    <w:rsid w:val="36DA1F2E"/>
    <w:rsid w:val="372E3953"/>
    <w:rsid w:val="37841E99"/>
    <w:rsid w:val="37BF1123"/>
    <w:rsid w:val="37D377A0"/>
    <w:rsid w:val="383C3F15"/>
    <w:rsid w:val="38BE4696"/>
    <w:rsid w:val="39083E3F"/>
    <w:rsid w:val="39255D9F"/>
    <w:rsid w:val="392A2FD6"/>
    <w:rsid w:val="3939115E"/>
    <w:rsid w:val="39B82A39"/>
    <w:rsid w:val="39C42CA8"/>
    <w:rsid w:val="39DC4FD6"/>
    <w:rsid w:val="39F03D7A"/>
    <w:rsid w:val="39F33306"/>
    <w:rsid w:val="3A2C1C67"/>
    <w:rsid w:val="3B1705E5"/>
    <w:rsid w:val="3B18334B"/>
    <w:rsid w:val="3B36794F"/>
    <w:rsid w:val="3B645349"/>
    <w:rsid w:val="3C566AD6"/>
    <w:rsid w:val="3C6A5B02"/>
    <w:rsid w:val="3CB40065"/>
    <w:rsid w:val="3D2757A1"/>
    <w:rsid w:val="3D3C206F"/>
    <w:rsid w:val="3D3D4FC4"/>
    <w:rsid w:val="3D585133"/>
    <w:rsid w:val="3DDF3AB1"/>
    <w:rsid w:val="3E1D0952"/>
    <w:rsid w:val="3E42660A"/>
    <w:rsid w:val="3E7555B1"/>
    <w:rsid w:val="3E787ED9"/>
    <w:rsid w:val="3E9B4698"/>
    <w:rsid w:val="3EE8429C"/>
    <w:rsid w:val="3EEC37F3"/>
    <w:rsid w:val="3F032E93"/>
    <w:rsid w:val="3F0527E5"/>
    <w:rsid w:val="3F1868B9"/>
    <w:rsid w:val="3F694D83"/>
    <w:rsid w:val="3F885DCC"/>
    <w:rsid w:val="3FA74C4A"/>
    <w:rsid w:val="3FCD675E"/>
    <w:rsid w:val="4004000C"/>
    <w:rsid w:val="406B1025"/>
    <w:rsid w:val="40EA17EB"/>
    <w:rsid w:val="411B6CE5"/>
    <w:rsid w:val="412070D7"/>
    <w:rsid w:val="41314E40"/>
    <w:rsid w:val="41DC514A"/>
    <w:rsid w:val="41E0734B"/>
    <w:rsid w:val="426554D0"/>
    <w:rsid w:val="426C1EA8"/>
    <w:rsid w:val="42736402"/>
    <w:rsid w:val="42983BC3"/>
    <w:rsid w:val="42E86A87"/>
    <w:rsid w:val="43307B09"/>
    <w:rsid w:val="433911DA"/>
    <w:rsid w:val="438477C2"/>
    <w:rsid w:val="438D0E97"/>
    <w:rsid w:val="43BB152F"/>
    <w:rsid w:val="44C37687"/>
    <w:rsid w:val="451F370E"/>
    <w:rsid w:val="458F482B"/>
    <w:rsid w:val="45AA51C1"/>
    <w:rsid w:val="45CB699A"/>
    <w:rsid w:val="465B470D"/>
    <w:rsid w:val="469D6AD4"/>
    <w:rsid w:val="471E6C84"/>
    <w:rsid w:val="4748792B"/>
    <w:rsid w:val="475A3926"/>
    <w:rsid w:val="475D719D"/>
    <w:rsid w:val="47674801"/>
    <w:rsid w:val="476E54FC"/>
    <w:rsid w:val="48225EF7"/>
    <w:rsid w:val="484E4C8E"/>
    <w:rsid w:val="488F422B"/>
    <w:rsid w:val="48E36915"/>
    <w:rsid w:val="4943721E"/>
    <w:rsid w:val="495C4A24"/>
    <w:rsid w:val="497135DF"/>
    <w:rsid w:val="4A263DF2"/>
    <w:rsid w:val="4A6F6675"/>
    <w:rsid w:val="4B0502DF"/>
    <w:rsid w:val="4B135857"/>
    <w:rsid w:val="4B18674E"/>
    <w:rsid w:val="4B7951CB"/>
    <w:rsid w:val="4B7C315C"/>
    <w:rsid w:val="4C4A6DD1"/>
    <w:rsid w:val="4CA204A4"/>
    <w:rsid w:val="4D137AF0"/>
    <w:rsid w:val="4DAC4ACA"/>
    <w:rsid w:val="4DBE01D2"/>
    <w:rsid w:val="4EFC6D10"/>
    <w:rsid w:val="4F0C6BA3"/>
    <w:rsid w:val="4F10477D"/>
    <w:rsid w:val="4F186D58"/>
    <w:rsid w:val="4FEA65B7"/>
    <w:rsid w:val="4FF4660A"/>
    <w:rsid w:val="5051255B"/>
    <w:rsid w:val="508841E4"/>
    <w:rsid w:val="50F06B6E"/>
    <w:rsid w:val="511C4FE5"/>
    <w:rsid w:val="514439F7"/>
    <w:rsid w:val="51554D2C"/>
    <w:rsid w:val="52120376"/>
    <w:rsid w:val="52234D33"/>
    <w:rsid w:val="522F6E0C"/>
    <w:rsid w:val="52463BA1"/>
    <w:rsid w:val="52F163D4"/>
    <w:rsid w:val="531A2DB4"/>
    <w:rsid w:val="531E11FC"/>
    <w:rsid w:val="539E03BD"/>
    <w:rsid w:val="53C0244D"/>
    <w:rsid w:val="53DD4D4E"/>
    <w:rsid w:val="53E578CE"/>
    <w:rsid w:val="541330F0"/>
    <w:rsid w:val="54272666"/>
    <w:rsid w:val="543B029D"/>
    <w:rsid w:val="54520EFE"/>
    <w:rsid w:val="54534C76"/>
    <w:rsid w:val="54612271"/>
    <w:rsid w:val="54861779"/>
    <w:rsid w:val="552256E1"/>
    <w:rsid w:val="554E5773"/>
    <w:rsid w:val="555A3CBC"/>
    <w:rsid w:val="5582012B"/>
    <w:rsid w:val="558E4E05"/>
    <w:rsid w:val="55BE2E85"/>
    <w:rsid w:val="55CB26AA"/>
    <w:rsid w:val="56530F5D"/>
    <w:rsid w:val="567700D3"/>
    <w:rsid w:val="56FF7E9E"/>
    <w:rsid w:val="578867FC"/>
    <w:rsid w:val="57D47AED"/>
    <w:rsid w:val="57DF6DDE"/>
    <w:rsid w:val="5842572D"/>
    <w:rsid w:val="5A010F51"/>
    <w:rsid w:val="5A316DF7"/>
    <w:rsid w:val="5A3B59D6"/>
    <w:rsid w:val="5AD134D8"/>
    <w:rsid w:val="5AE26137"/>
    <w:rsid w:val="5B6503B1"/>
    <w:rsid w:val="5C263CE4"/>
    <w:rsid w:val="5C5D2777"/>
    <w:rsid w:val="5C68135C"/>
    <w:rsid w:val="5CF66BF3"/>
    <w:rsid w:val="5D290C69"/>
    <w:rsid w:val="5DD80868"/>
    <w:rsid w:val="5E495829"/>
    <w:rsid w:val="5EB55166"/>
    <w:rsid w:val="5F142A0D"/>
    <w:rsid w:val="5F2D4A41"/>
    <w:rsid w:val="60C74F6C"/>
    <w:rsid w:val="60E15BBD"/>
    <w:rsid w:val="61022D83"/>
    <w:rsid w:val="61025A59"/>
    <w:rsid w:val="613D5BBC"/>
    <w:rsid w:val="61536C39"/>
    <w:rsid w:val="61C76819"/>
    <w:rsid w:val="62944DD7"/>
    <w:rsid w:val="63184E17"/>
    <w:rsid w:val="6319381F"/>
    <w:rsid w:val="63236436"/>
    <w:rsid w:val="63646678"/>
    <w:rsid w:val="6366447C"/>
    <w:rsid w:val="63C25DC5"/>
    <w:rsid w:val="63C62057"/>
    <w:rsid w:val="63DD630A"/>
    <w:rsid w:val="64571EF5"/>
    <w:rsid w:val="64645100"/>
    <w:rsid w:val="64963088"/>
    <w:rsid w:val="64FB113D"/>
    <w:rsid w:val="656152C6"/>
    <w:rsid w:val="6587477F"/>
    <w:rsid w:val="658C3A08"/>
    <w:rsid w:val="65C031CA"/>
    <w:rsid w:val="65CE6852"/>
    <w:rsid w:val="66267C04"/>
    <w:rsid w:val="663F505A"/>
    <w:rsid w:val="66951B2D"/>
    <w:rsid w:val="66967186"/>
    <w:rsid w:val="66EE5541"/>
    <w:rsid w:val="67924660"/>
    <w:rsid w:val="67BD6B7E"/>
    <w:rsid w:val="680631EA"/>
    <w:rsid w:val="68407834"/>
    <w:rsid w:val="6883293E"/>
    <w:rsid w:val="688412AD"/>
    <w:rsid w:val="68930489"/>
    <w:rsid w:val="68EB1B71"/>
    <w:rsid w:val="691C36BE"/>
    <w:rsid w:val="69475C96"/>
    <w:rsid w:val="6A716629"/>
    <w:rsid w:val="6AAD2300"/>
    <w:rsid w:val="6B474EF5"/>
    <w:rsid w:val="6B96571F"/>
    <w:rsid w:val="6BB8119E"/>
    <w:rsid w:val="6BBF53FD"/>
    <w:rsid w:val="6C560CAE"/>
    <w:rsid w:val="6C576495"/>
    <w:rsid w:val="6D903FF5"/>
    <w:rsid w:val="6DA955B8"/>
    <w:rsid w:val="6DE346AB"/>
    <w:rsid w:val="6DE5391A"/>
    <w:rsid w:val="6E6C09B6"/>
    <w:rsid w:val="6EE64EB5"/>
    <w:rsid w:val="6EFD1324"/>
    <w:rsid w:val="6F1F65C5"/>
    <w:rsid w:val="6F5A53AC"/>
    <w:rsid w:val="6FAC003D"/>
    <w:rsid w:val="6FE55E12"/>
    <w:rsid w:val="6FFB2E76"/>
    <w:rsid w:val="70074E3A"/>
    <w:rsid w:val="708F6F7F"/>
    <w:rsid w:val="70D94BD3"/>
    <w:rsid w:val="71C34D91"/>
    <w:rsid w:val="72AC24E1"/>
    <w:rsid w:val="72DB435C"/>
    <w:rsid w:val="72E2613A"/>
    <w:rsid w:val="72F771F4"/>
    <w:rsid w:val="73037830"/>
    <w:rsid w:val="736650B0"/>
    <w:rsid w:val="73934AD2"/>
    <w:rsid w:val="7416389E"/>
    <w:rsid w:val="750837F0"/>
    <w:rsid w:val="754758CF"/>
    <w:rsid w:val="764F62AB"/>
    <w:rsid w:val="765C45EC"/>
    <w:rsid w:val="768A7619"/>
    <w:rsid w:val="772E1EBA"/>
    <w:rsid w:val="77EB79F7"/>
    <w:rsid w:val="7908577F"/>
    <w:rsid w:val="793B54BC"/>
    <w:rsid w:val="796D60A4"/>
    <w:rsid w:val="79A031D5"/>
    <w:rsid w:val="79C616E7"/>
    <w:rsid w:val="79D30CCE"/>
    <w:rsid w:val="7A1525F7"/>
    <w:rsid w:val="7B420052"/>
    <w:rsid w:val="7B861484"/>
    <w:rsid w:val="7BD06A28"/>
    <w:rsid w:val="7C3A7C0B"/>
    <w:rsid w:val="7C5248E4"/>
    <w:rsid w:val="7C566698"/>
    <w:rsid w:val="7C5866A3"/>
    <w:rsid w:val="7D022792"/>
    <w:rsid w:val="7D43322A"/>
    <w:rsid w:val="7D7406BB"/>
    <w:rsid w:val="7DE94331"/>
    <w:rsid w:val="7F093FBB"/>
    <w:rsid w:val="7F446A19"/>
    <w:rsid w:val="7F7452B9"/>
    <w:rsid w:val="7FBE04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2" strokecolor="#739cc3">
      <v:fill angle="90" type="gradient">
        <o:fill v:ext="view" type="gradientUnscaled"/>
      </v:fill>
      <v:stroke color="#739cc3" weight="1.25pt"/>
    </o:shapedefaults>
    <o:shapelayout v:ext="edit">
      <o:idmap v:ext="edit" data="1"/>
    </o:shapelayout>
  </w:shapeDefaults>
  <w:decimalSymbol w:val="."/>
  <w:listSeparator w:val=","/>
  <w14:docId w14:val="3E5EFB2A"/>
  <w15:docId w15:val="{C01D6C2F-27B6-4F95-B39C-9006558BE1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99"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nhideWhenUsed="1" w:qFormat="1"/>
    <w:lsdException w:name="HTML Preformatted"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rPr>
      <w:rFonts w:ascii="宋体" w:hAnsi="宋体" w:hint="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qFormat/>
    <w:rPr>
      <w:sz w:val="18"/>
      <w:szCs w:val="18"/>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a7">
    <w:name w:val="Normal (Web)"/>
    <w:basedOn w:val="a"/>
    <w:unhideWhenUsed/>
    <w:qFormat/>
    <w:pPr>
      <w:spacing w:before="100" w:beforeAutospacing="1" w:after="100" w:afterAutospacing="1"/>
    </w:pPr>
  </w:style>
  <w:style w:type="character" w:styleId="a8">
    <w:name w:val="Strong"/>
    <w:qFormat/>
    <w:rPr>
      <w:b/>
    </w:rPr>
  </w:style>
  <w:style w:type="table" w:styleId="a9">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
    <w:name w:val="列出段落1"/>
    <w:basedOn w:val="a"/>
    <w:uiPriority w:val="99"/>
    <w:qFormat/>
    <w:pPr>
      <w:ind w:firstLineChars="200" w:firstLine="420"/>
    </w:pPr>
    <w:rPr>
      <w:rFonts w:hint="default"/>
    </w:rPr>
  </w:style>
  <w:style w:type="paragraph" w:customStyle="1" w:styleId="Char">
    <w:name w:val="普通(网站) Char"/>
    <w:qFormat/>
    <w:pPr>
      <w:spacing w:before="100" w:beforeAutospacing="1" w:after="100" w:afterAutospacing="1"/>
    </w:pPr>
    <w:rPr>
      <w:rFonts w:ascii="宋体" w:hAnsi="宋体"/>
      <w:sz w:val="24"/>
      <w:szCs w:val="24"/>
    </w:rPr>
  </w:style>
  <w:style w:type="paragraph" w:customStyle="1" w:styleId="2">
    <w:name w:val="列出段落2"/>
    <w:uiPriority w:val="99"/>
    <w:qFormat/>
    <w:pPr>
      <w:ind w:firstLineChars="200" w:firstLine="420"/>
    </w:pPr>
    <w:rPr>
      <w:rFonts w:ascii="宋体" w:hAnsi="宋体"/>
      <w:sz w:val="24"/>
      <w:szCs w:val="24"/>
    </w:rPr>
  </w:style>
  <w:style w:type="character" w:customStyle="1" w:styleId="21">
    <w:name w:val="21"/>
    <w:qFormat/>
    <w:rPr>
      <w:rFonts w:ascii="Wingdings" w:hAnsi="Wingdings" w:cs="Wingdings" w:hint="default"/>
      <w:b/>
      <w:bCs/>
    </w:rPr>
  </w:style>
  <w:style w:type="character" w:customStyle="1" w:styleId="a4">
    <w:name w:val="批注框文本 字符"/>
    <w:basedOn w:val="a0"/>
    <w:link w:val="a3"/>
    <w:qFormat/>
    <w:rPr>
      <w:rFonts w:ascii="宋体" w:hAnsi="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0" textRotate="1"/>
    <customShpInfo spid="_x0000_s2051" textRotate="1"/>
    <customShpInfo spid="_x0000_s1029"/>
    <customShpInfo spid="_x0000_s1030"/>
    <customShpInfo spid="_x0000_s1031"/>
    <customShpInfo spid="_x0000_s1032"/>
    <customShpInfo spid="_x0000_s1033"/>
    <customShpInfo spid="_x0000_s103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38</Pages>
  <Words>2821</Words>
  <Characters>16082</Characters>
  <Application>Microsoft Office Word</Application>
  <DocSecurity>0</DocSecurity>
  <Lines>134</Lines>
  <Paragraphs>37</Paragraphs>
  <ScaleCrop>false</ScaleCrop>
  <Company>微软中国</Company>
  <LinksUpToDate>false</LinksUpToDate>
  <CharactersWithSpaces>18866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垫江县退役军人事务局2024年度决算公开说明</dc:title>
  <dc:creator>Administrator</dc:creator>
  <cp:lastModifiedBy>吴幽</cp:lastModifiedBy>
  <cp:revision>2</cp:revision>
  <dcterms:created xsi:type="dcterms:W3CDTF">2024-07-11T02:00:00Z</dcterms:created>
  <dcterms:modified xsi:type="dcterms:W3CDTF">2025-09-09T03:30:00Z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0DF320FD913E4E1BA94D8E751F1D601F_13</vt:lpwstr>
  </property>
  <property fmtid="{D5CDD505-2E9C-101B-9397-08002B2CF9AE}" pid="4" name="KSOTemplateDocerSaveRecord">
    <vt:lpwstr>eyJoZGlkIjoiMDUwMjYyMTAwZTM5NTcxOGVhNzI3YWZjMDRhMjZkZDEifQ==</vt:lpwstr>
  </property>
</Properties>
</file>