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华文中宋" w:hAnsi="华文中宋" w:eastAsia="华文中宋" w:cs="华文中宋"/>
          <w:sz w:val="44"/>
          <w:szCs w:val="44"/>
        </w:rPr>
      </w:pPr>
    </w:p>
    <w:p>
      <w:pPr>
        <w:spacing w:line="600" w:lineRule="exact"/>
        <w:jc w:val="center"/>
        <w:rPr>
          <w:rFonts w:hint="eastAsia" w:ascii="方正小标宋_GBK" w:hAnsi="华文中宋" w:eastAsia="方正小标宋_GBK" w:cs="华文中宋"/>
          <w:sz w:val="44"/>
          <w:szCs w:val="44"/>
          <w:lang w:eastAsia="zh-CN"/>
        </w:rPr>
      </w:pPr>
      <w:r>
        <w:rPr>
          <w:rFonts w:hint="eastAsia" w:ascii="方正小标宋_GBK" w:hAnsi="华文中宋" w:eastAsia="方正小标宋_GBK" w:cs="华文中宋"/>
          <w:sz w:val="44"/>
          <w:szCs w:val="44"/>
          <w:lang w:eastAsia="zh-CN"/>
        </w:rPr>
        <w:t>垫江县退役军人事务局（本级）</w:t>
      </w:r>
    </w:p>
    <w:p>
      <w:pPr>
        <w:spacing w:line="600" w:lineRule="exact"/>
        <w:jc w:val="center"/>
        <w:rPr>
          <w:rFonts w:hint="eastAsia" w:ascii="方正小标宋_GBK" w:hAnsi="华文中宋" w:eastAsia="方正小标宋_GBK" w:cs="华文中宋"/>
          <w:sz w:val="44"/>
          <w:szCs w:val="44"/>
        </w:rPr>
      </w:pPr>
      <w:r>
        <w:rPr>
          <w:rFonts w:hint="eastAsia" w:ascii="方正小标宋_GBK" w:hAnsi="华文中宋" w:eastAsia="方正小标宋_GBK" w:cs="华文中宋"/>
          <w:sz w:val="44"/>
          <w:szCs w:val="44"/>
        </w:rPr>
        <w:t>2022年部门预算情况说明</w:t>
      </w:r>
    </w:p>
    <w:p>
      <w:pPr>
        <w:spacing w:line="600" w:lineRule="exact"/>
        <w:ind w:firstLine="880" w:firstLineChars="200"/>
        <w:jc w:val="center"/>
        <w:rPr>
          <w:rFonts w:hint="eastAsia" w:ascii="华文中宋" w:hAnsi="华文中宋" w:eastAsia="华文中宋" w:cs="华文中宋"/>
          <w:sz w:val="44"/>
          <w:szCs w:val="44"/>
        </w:rPr>
      </w:pPr>
    </w:p>
    <w:p>
      <w:pPr>
        <w:numPr>
          <w:ilvl w:val="0"/>
          <w:numId w:val="1"/>
        </w:numPr>
        <w:spacing w:line="600" w:lineRule="exact"/>
        <w:ind w:firstLine="640" w:firstLineChars="200"/>
        <w:rPr>
          <w:rFonts w:ascii="黑体" w:hAnsi="黑体" w:eastAsia="黑体" w:cs="仿宋_GB2312"/>
          <w:sz w:val="32"/>
        </w:rPr>
      </w:pPr>
      <w:r>
        <w:rPr>
          <w:rFonts w:hint="eastAsia" w:ascii="黑体" w:hAnsi="黑体" w:eastAsia="黑体" w:cs="仿宋_GB2312"/>
          <w:sz w:val="32"/>
        </w:rPr>
        <w:t>单位基本情况</w:t>
      </w:r>
    </w:p>
    <w:p>
      <w:pPr>
        <w:spacing w:line="600" w:lineRule="exact"/>
        <w:ind w:firstLine="640" w:firstLineChars="200"/>
        <w:rPr>
          <w:rFonts w:hint="eastAsia" w:ascii="方正楷体_GBK" w:hAnsi="方正楷体_GBK" w:eastAsia="方正楷体_GBK" w:cs="方正楷体_GBK"/>
          <w:sz w:val="32"/>
        </w:rPr>
      </w:pPr>
      <w:r>
        <w:rPr>
          <w:rFonts w:hint="eastAsia" w:ascii="方正楷体_GBK" w:hAnsi="方正楷体_GBK" w:eastAsia="方正楷体_GBK" w:cs="方正楷体_GBK"/>
          <w:sz w:val="32"/>
        </w:rPr>
        <w:t>（一）职能职责。</w:t>
      </w:r>
    </w:p>
    <w:p>
      <w:pPr>
        <w:spacing w:line="600" w:lineRule="exact"/>
        <w:ind w:firstLine="640" w:firstLineChars="200"/>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rPr>
        <w:t>1.组织实施退役军人思想政治、管理保障和安置优抚等工作政策法规，褒扬彰显退役军人为党、国家和人民牺牲奉献的精神风范和价值导向。</w:t>
      </w:r>
    </w:p>
    <w:p>
      <w:pPr>
        <w:spacing w:line="600" w:lineRule="exact"/>
        <w:ind w:firstLine="640" w:firstLineChars="200"/>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rPr>
        <w:t>2.负责军队转业干部、复员干部、离休退休干部、退役士兵和无军籍退休退职职工的接收安置工作和自主择业、就业退役军人服务管理工作。</w:t>
      </w:r>
    </w:p>
    <w:p>
      <w:pPr>
        <w:spacing w:line="600" w:lineRule="exact"/>
        <w:ind w:firstLine="640" w:firstLineChars="200"/>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rPr>
        <w:t>3.组织开展退役军人教育培训工作，协调扶持退役军人和随军随调家属就业创业。</w:t>
      </w:r>
    </w:p>
    <w:p>
      <w:pPr>
        <w:spacing w:line="600" w:lineRule="exact"/>
        <w:ind w:firstLine="640" w:firstLineChars="200"/>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rPr>
        <w:t>4.会同有关部门组织实施退役军人特殊保障政策。</w:t>
      </w:r>
    </w:p>
    <w:p>
      <w:pPr>
        <w:spacing w:line="600" w:lineRule="exact"/>
        <w:ind w:firstLine="640" w:firstLineChars="200"/>
        <w:rPr>
          <w:rFonts w:hint="eastAsia" w:ascii="方正仿宋_GBK" w:hAnsi="仿宋_GB2312" w:eastAsia="方正仿宋_GBK" w:cs="仿宋_GB2312"/>
          <w:i/>
          <w:color w:val="000000"/>
          <w:sz w:val="32"/>
          <w:szCs w:val="32"/>
        </w:rPr>
      </w:pPr>
      <w:r>
        <w:rPr>
          <w:rFonts w:hint="eastAsia" w:ascii="方正仿宋_GBK" w:hAnsi="仿宋_GB2312" w:eastAsia="方正仿宋_GBK" w:cs="仿宋_GB2312"/>
          <w:color w:val="000000"/>
          <w:sz w:val="32"/>
          <w:szCs w:val="32"/>
        </w:rPr>
        <w:t>5.组织协调落实接收的离休退休军人、符合条件的其他退役军人和无军籍退休退职职工的住房保障工作，以及退役军人医疗保障、社会保险等待遇保障工作。</w:t>
      </w:r>
    </w:p>
    <w:p>
      <w:pPr>
        <w:spacing w:line="600" w:lineRule="exact"/>
        <w:ind w:firstLine="640" w:firstLineChars="200"/>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rPr>
        <w:t>6.组织开展伤病残退役军人服务管理和抚恤工作，贯彻落实有关退役军人医疗、疗养、养老等机构的规划政策。承担不适宜继续服役的伤病残军人相关工作。组织开展军供服务保障工作。</w:t>
      </w:r>
    </w:p>
    <w:p>
      <w:pPr>
        <w:spacing w:line="600" w:lineRule="exact"/>
        <w:ind w:firstLine="640" w:firstLineChars="200"/>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rPr>
        <w:t>7.组织开展全县拥军优属工作。负责现役军人、退役军人、军队文职人员和军属优待、抚恤等工作，贯彻落实国民党抗战老兵等有关人员优待政策。</w:t>
      </w:r>
    </w:p>
    <w:p>
      <w:pPr>
        <w:spacing w:line="600" w:lineRule="exact"/>
        <w:ind w:firstLine="640" w:firstLineChars="200"/>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rPr>
        <w:t>8.负责烈士及退役军人荣誉奖励、军人公墓管理维护、纪念活动等工作，依法承担英雄烈士保护相关工作，承办县内我国烈士和外国在垫烈士纪念设施保护事宜，宣扬退役军人、退役军人工作单位和个人先进典型事迹。</w:t>
      </w:r>
    </w:p>
    <w:p>
      <w:pPr>
        <w:spacing w:line="600" w:lineRule="exact"/>
        <w:ind w:firstLine="640" w:firstLineChars="200"/>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rPr>
        <w:t>9.指导并监督检查退役军人相关法律法规和政策措施的落实，组织开展退役军人权益维护和有关人员的帮扶援助工作。</w:t>
      </w:r>
    </w:p>
    <w:p>
      <w:pPr>
        <w:spacing w:line="600" w:lineRule="exact"/>
        <w:ind w:firstLine="640" w:firstLineChars="200"/>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rPr>
        <w:t>10.完成县委、县政府交办的其他任务。</w:t>
      </w:r>
    </w:p>
    <w:p>
      <w:pPr>
        <w:spacing w:line="600" w:lineRule="exact"/>
        <w:ind w:firstLine="640" w:firstLineChars="200"/>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rPr>
        <w:t>11.职能转变。垫江县退役军人事务局应加强退役军人思想政治工作和服务保障体系建设，建立健全集中统一、职责清晰的退役军人管理保障体制，协调各方力量更好为军人军属服务，维护军人军属合法权益，让军人成为全社会尊崇的职业，褒扬彰显退役军人为党、国家和人民牺牲奉献的精神风范和价值导向，更好地为增强部队战斗力和凝聚力做好组织保障。</w:t>
      </w:r>
    </w:p>
    <w:p>
      <w:pPr>
        <w:spacing w:line="600" w:lineRule="exact"/>
        <w:ind w:firstLine="640" w:firstLineChars="200"/>
        <w:rPr>
          <w:rFonts w:hint="eastAsia" w:ascii="方正仿宋_GBK" w:hAnsi="方正仿宋_GBK" w:eastAsia="方正仿宋_GBK" w:cs="方正仿宋_GBK"/>
          <w:sz w:val="32"/>
        </w:rPr>
      </w:pPr>
      <w:r>
        <w:rPr>
          <w:rFonts w:hint="eastAsia" w:ascii="方正楷体_GBK" w:hAnsi="方正楷体_GBK" w:eastAsia="方正楷体_GBK" w:cs="方正楷体_GBK"/>
          <w:sz w:val="32"/>
        </w:rPr>
        <w:t>（二）单位构成。</w:t>
      </w:r>
    </w:p>
    <w:p>
      <w:pPr>
        <w:numPr>
          <w:ilvl w:val="0"/>
          <w:numId w:val="0"/>
        </w:numPr>
        <w:spacing w:line="600" w:lineRule="exact"/>
        <w:rPr>
          <w:rFonts w:ascii="黑体" w:hAnsi="黑体" w:eastAsia="黑体" w:cs="仿宋_GB2312"/>
          <w:sz w:val="32"/>
        </w:rPr>
      </w:pPr>
      <w:r>
        <w:rPr>
          <w:rFonts w:hint="eastAsia" w:ascii="方正仿宋_GBK" w:hAnsi="仿宋_GB2312" w:eastAsia="方正仿宋_GBK" w:cs="仿宋_GB2312"/>
          <w:color w:val="000000"/>
          <w:sz w:val="32"/>
          <w:szCs w:val="32"/>
          <w:lang w:val="en-US" w:eastAsia="zh-CN"/>
        </w:rPr>
        <w:t xml:space="preserve">    </w:t>
      </w:r>
      <w:r>
        <w:rPr>
          <w:rFonts w:hint="eastAsia" w:ascii="方正仿宋_GBK" w:hAnsi="仿宋_GB2312" w:eastAsia="方正仿宋_GBK" w:cs="仿宋_GB2312"/>
          <w:color w:val="000000"/>
          <w:sz w:val="32"/>
          <w:szCs w:val="32"/>
        </w:rPr>
        <w:t>垫江县退役军人事务局是县政府工作部门,</w:t>
      </w:r>
      <w:r>
        <w:rPr>
          <w:rFonts w:hint="eastAsia" w:ascii="方正仿宋_GBK" w:eastAsia="方正仿宋_GBK"/>
          <w:sz w:val="32"/>
          <w:szCs w:val="32"/>
        </w:rPr>
        <w:t xml:space="preserve"> 机构规格:行政正</w:t>
      </w:r>
      <w:r>
        <w:rPr>
          <w:rFonts w:hint="eastAsia" w:ascii="方正仿宋_GBK" w:hAnsi="方正仿宋_GBK" w:eastAsia="方正仿宋_GBK" w:cs="方正仿宋_GBK"/>
          <w:sz w:val="32"/>
          <w:szCs w:val="32"/>
        </w:rPr>
        <w:t>科级。内</w:t>
      </w:r>
      <w:r>
        <w:rPr>
          <w:rFonts w:hint="eastAsia" w:ascii="方正仿宋_GBK" w:hAnsi="方正仿宋_GBK" w:eastAsia="方正仿宋_GBK" w:cs="方正仿宋_GBK"/>
          <w:sz w:val="32"/>
        </w:rPr>
        <w:t>设有四科一室，分别为：思想政治和权益维护科、优抚科（双拥办）、安置和军休服务管理科、就业创业科、办公室。下属两个事业单位：垫江县军队离退休干部服务管理中心和垫江县退役军人服务中心。</w:t>
      </w:r>
    </w:p>
    <w:p>
      <w:pPr>
        <w:numPr>
          <w:ilvl w:val="0"/>
          <w:numId w:val="1"/>
        </w:numPr>
        <w:spacing w:line="600" w:lineRule="exact"/>
        <w:ind w:firstLine="640" w:firstLineChars="200"/>
        <w:rPr>
          <w:rFonts w:ascii="黑体" w:hAnsi="黑体" w:eastAsia="黑体" w:cs="仿宋_GB2312"/>
          <w:sz w:val="32"/>
        </w:rPr>
      </w:pPr>
      <w:r>
        <w:rPr>
          <w:rFonts w:hint="eastAsia" w:ascii="黑体" w:hAnsi="黑体" w:eastAsia="黑体" w:cs="仿宋_GB2312"/>
          <w:sz w:val="32"/>
        </w:rPr>
        <w:t>部门</w:t>
      </w:r>
      <w:r>
        <w:rPr>
          <w:rFonts w:ascii="黑体" w:hAnsi="黑体" w:eastAsia="黑体" w:cs="仿宋_GB2312"/>
          <w:sz w:val="32"/>
        </w:rPr>
        <w:t>收支总体情况</w:t>
      </w:r>
    </w:p>
    <w:p>
      <w:pPr>
        <w:spacing w:line="600" w:lineRule="exact"/>
        <w:ind w:firstLine="640" w:firstLineChars="200"/>
        <w:rPr>
          <w:rFonts w:hint="eastAsia" w:ascii="方正仿宋_GBK" w:hAnsi="方正仿宋_GBK" w:eastAsia="方正仿宋_GBK" w:cs="方正仿宋_GBK"/>
          <w:color w:val="000000"/>
          <w:sz w:val="32"/>
        </w:rPr>
      </w:pPr>
      <w:r>
        <w:rPr>
          <w:rFonts w:hint="eastAsia" w:ascii="方正仿宋_GBK" w:hAnsi="方正仿宋_GBK" w:eastAsia="方正仿宋_GBK" w:cs="方正仿宋_GBK"/>
          <w:color w:val="auto"/>
          <w:sz w:val="32"/>
        </w:rPr>
        <w:t>（一）收入预算：2022年年初预</w:t>
      </w:r>
      <w:r>
        <w:rPr>
          <w:rFonts w:hint="eastAsia" w:ascii="方正仿宋_GBK" w:hAnsi="方正仿宋_GBK" w:eastAsia="方正仿宋_GBK" w:cs="方正仿宋_GBK"/>
          <w:sz w:val="32"/>
        </w:rPr>
        <w:t>算数</w:t>
      </w:r>
      <w:r>
        <w:rPr>
          <w:rFonts w:hint="eastAsia" w:ascii="方正仿宋_GBK" w:hAnsi="方正仿宋_GBK" w:eastAsia="方正仿宋_GBK" w:cs="方正仿宋_GBK"/>
          <w:sz w:val="32"/>
          <w:lang w:val="en-US" w:eastAsia="zh-CN"/>
        </w:rPr>
        <w:t>10372.45</w:t>
      </w:r>
      <w:r>
        <w:rPr>
          <w:rFonts w:hint="eastAsia" w:ascii="方正仿宋_GBK" w:hAnsi="方正仿宋_GBK" w:eastAsia="方正仿宋_GBK" w:cs="方正仿宋_GBK"/>
          <w:sz w:val="32"/>
        </w:rPr>
        <w:t>万元，其中：一般公共预算拨款</w:t>
      </w:r>
      <w:r>
        <w:rPr>
          <w:rFonts w:hint="eastAsia" w:ascii="方正仿宋_GBK" w:hAnsi="方正仿宋_GBK" w:eastAsia="方正仿宋_GBK" w:cs="方正仿宋_GBK"/>
          <w:sz w:val="32"/>
          <w:lang w:val="en-US" w:eastAsia="zh-CN"/>
        </w:rPr>
        <w:t>10372.45</w:t>
      </w:r>
      <w:r>
        <w:rPr>
          <w:rFonts w:hint="eastAsia" w:ascii="方正仿宋_GBK" w:hAnsi="方正仿宋_GBK" w:eastAsia="方正仿宋_GBK" w:cs="方正仿宋_GBK"/>
          <w:sz w:val="32"/>
        </w:rPr>
        <w:t>万元，政府性基金预算拨款</w:t>
      </w:r>
      <w:r>
        <w:rPr>
          <w:rFonts w:hint="eastAsia" w:ascii="方正仿宋_GBK" w:hAnsi="方正仿宋_GBK" w:eastAsia="方正仿宋_GBK" w:cs="方正仿宋_GBK"/>
          <w:sz w:val="32"/>
          <w:lang w:val="en-US" w:eastAsia="zh-CN"/>
        </w:rPr>
        <w:t>0</w:t>
      </w:r>
      <w:r>
        <w:rPr>
          <w:rFonts w:hint="eastAsia" w:ascii="方正仿宋_GBK" w:hAnsi="方正仿宋_GBK" w:eastAsia="方正仿宋_GBK" w:cs="方正仿宋_GBK"/>
          <w:sz w:val="32"/>
        </w:rPr>
        <w:t>万元，国有资本经营预算收入</w:t>
      </w:r>
      <w:r>
        <w:rPr>
          <w:rFonts w:hint="eastAsia" w:ascii="方正仿宋_GBK" w:hAnsi="方正仿宋_GBK" w:eastAsia="方正仿宋_GBK" w:cs="方正仿宋_GBK"/>
          <w:sz w:val="32"/>
          <w:lang w:val="en-US" w:eastAsia="zh-CN"/>
        </w:rPr>
        <w:t>0</w:t>
      </w:r>
      <w:r>
        <w:rPr>
          <w:rFonts w:hint="eastAsia" w:ascii="方正仿宋_GBK" w:hAnsi="方正仿宋_GBK" w:eastAsia="方正仿宋_GBK" w:cs="方正仿宋_GBK"/>
          <w:sz w:val="32"/>
        </w:rPr>
        <w:t>万元，事业收入</w:t>
      </w:r>
      <w:r>
        <w:rPr>
          <w:rFonts w:hint="eastAsia" w:ascii="方正仿宋_GBK" w:hAnsi="方正仿宋_GBK" w:eastAsia="方正仿宋_GBK" w:cs="方正仿宋_GBK"/>
          <w:sz w:val="32"/>
          <w:lang w:val="en-US" w:eastAsia="zh-CN"/>
        </w:rPr>
        <w:t>0</w:t>
      </w:r>
      <w:r>
        <w:rPr>
          <w:rFonts w:hint="eastAsia" w:ascii="方正仿宋_GBK" w:hAnsi="方正仿宋_GBK" w:eastAsia="方正仿宋_GBK" w:cs="方正仿宋_GBK"/>
          <w:sz w:val="32"/>
        </w:rPr>
        <w:t>万元，事业单位经营收入</w:t>
      </w:r>
      <w:r>
        <w:rPr>
          <w:rFonts w:hint="eastAsia" w:ascii="方正仿宋_GBK" w:hAnsi="方正仿宋_GBK" w:eastAsia="方正仿宋_GBK" w:cs="方正仿宋_GBK"/>
          <w:sz w:val="32"/>
          <w:lang w:val="en-US" w:eastAsia="zh-CN"/>
        </w:rPr>
        <w:t>0</w:t>
      </w:r>
      <w:r>
        <w:rPr>
          <w:rFonts w:hint="eastAsia" w:ascii="方正仿宋_GBK" w:hAnsi="方正仿宋_GBK" w:eastAsia="方正仿宋_GBK" w:cs="方正仿宋_GBK"/>
          <w:sz w:val="32"/>
        </w:rPr>
        <w:t>万元，其他收入</w:t>
      </w:r>
      <w:r>
        <w:rPr>
          <w:rFonts w:hint="eastAsia" w:ascii="方正仿宋_GBK" w:hAnsi="方正仿宋_GBK" w:eastAsia="方正仿宋_GBK" w:cs="方正仿宋_GBK"/>
          <w:sz w:val="32"/>
          <w:lang w:val="en-US" w:eastAsia="zh-CN"/>
        </w:rPr>
        <w:t>0</w:t>
      </w:r>
      <w:r>
        <w:rPr>
          <w:rFonts w:hint="eastAsia" w:ascii="方正仿宋_GBK" w:hAnsi="方正仿宋_GBK" w:eastAsia="方正仿宋_GBK" w:cs="方正仿宋_GBK"/>
          <w:sz w:val="32"/>
        </w:rPr>
        <w:t>万元；收入较去年</w:t>
      </w:r>
      <w:r>
        <w:rPr>
          <w:rFonts w:hint="eastAsia" w:ascii="方正仿宋_GBK" w:hAnsi="仿宋_GB2312" w:eastAsia="方正仿宋_GBK" w:cs="仿宋_GB2312"/>
          <w:sz w:val="32"/>
        </w:rPr>
        <w:t>8969.26</w:t>
      </w:r>
      <w:r>
        <w:rPr>
          <w:rFonts w:hint="eastAsia" w:ascii="方正仿宋_GBK" w:hAnsi="仿宋_GB2312" w:eastAsia="方正仿宋_GBK" w:cs="仿宋_GB2312"/>
          <w:sz w:val="32"/>
          <w:lang w:eastAsia="zh-CN"/>
        </w:rPr>
        <w:t>万元</w:t>
      </w:r>
      <w:r>
        <w:rPr>
          <w:rFonts w:hint="eastAsia" w:ascii="方正仿宋_GBK" w:hAnsi="方正仿宋_GBK" w:eastAsia="方正仿宋_GBK" w:cs="方正仿宋_GBK"/>
          <w:sz w:val="32"/>
        </w:rPr>
        <w:t>增加</w:t>
      </w:r>
      <w:r>
        <w:rPr>
          <w:rFonts w:hint="eastAsia" w:ascii="方正仿宋_GBK" w:hAnsi="方正仿宋_GBK" w:eastAsia="方正仿宋_GBK" w:cs="方正仿宋_GBK"/>
          <w:sz w:val="32"/>
          <w:lang w:val="en-US" w:eastAsia="zh-CN"/>
        </w:rPr>
        <w:t>1403.19</w:t>
      </w:r>
      <w:r>
        <w:rPr>
          <w:rFonts w:hint="eastAsia" w:ascii="方正仿宋_GBK" w:hAnsi="方正仿宋_GBK" w:eastAsia="方正仿宋_GBK" w:cs="方正仿宋_GBK"/>
          <w:sz w:val="32"/>
        </w:rPr>
        <w:t>万元，</w:t>
      </w:r>
      <w:r>
        <w:rPr>
          <w:rFonts w:hint="eastAsia" w:ascii="方正仿宋_GBK" w:hAnsi="方正仿宋_GBK" w:eastAsia="方正仿宋_GBK" w:cs="方正仿宋_GBK"/>
          <w:color w:val="000000"/>
          <w:sz w:val="32"/>
        </w:rPr>
        <w:t>主要是</w:t>
      </w:r>
      <w:r>
        <w:rPr>
          <w:rFonts w:hint="eastAsia" w:ascii="方正仿宋_GBK" w:hAnsi="方正仿宋_GBK" w:eastAsia="方正仿宋_GBK" w:cs="方正仿宋_GBK"/>
          <w:color w:val="000000"/>
          <w:sz w:val="32"/>
          <w:lang w:eastAsia="zh-CN"/>
        </w:rPr>
        <w:t>优抚抚恤</w:t>
      </w:r>
      <w:r>
        <w:rPr>
          <w:rFonts w:hint="eastAsia" w:ascii="方正仿宋_GBK" w:hAnsi="方正仿宋_GBK" w:eastAsia="方正仿宋_GBK" w:cs="方正仿宋_GBK"/>
          <w:color w:val="000000"/>
          <w:sz w:val="32"/>
        </w:rPr>
        <w:t>经费拨款增加。</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（二）支出预算：2022年年初预算数10372.45万元，其中：一般公共服务支出</w:t>
      </w:r>
      <w:r>
        <w:rPr>
          <w:rFonts w:hint="eastAsia" w:ascii="方正仿宋_GBK" w:hAnsi="方正仿宋_GBK" w:eastAsia="方正仿宋_GBK" w:cs="方正仿宋_GBK"/>
          <w:sz w:val="32"/>
          <w:lang w:val="en-US" w:eastAsia="zh-CN"/>
        </w:rPr>
        <w:t>0</w:t>
      </w:r>
      <w:r>
        <w:rPr>
          <w:rFonts w:hint="eastAsia" w:ascii="方正仿宋_GBK" w:hAnsi="方正仿宋_GBK" w:eastAsia="方正仿宋_GBK" w:cs="方正仿宋_GBK"/>
          <w:sz w:val="32"/>
        </w:rPr>
        <w:t>万元，教育支出0.45万元，社会保障和就业支出9694.6万元，卫生健康支出670.54万元，住房保障支出6.86万元；支出较去年</w:t>
      </w:r>
      <w:r>
        <w:rPr>
          <w:rFonts w:hint="eastAsia" w:ascii="方正仿宋_GBK" w:hAnsi="仿宋_GB2312" w:eastAsia="方正仿宋_GBK" w:cs="仿宋_GB2312"/>
          <w:sz w:val="32"/>
        </w:rPr>
        <w:t>8969.26</w:t>
      </w:r>
      <w:r>
        <w:rPr>
          <w:rFonts w:hint="eastAsia" w:ascii="方正仿宋_GBK" w:hAnsi="方正仿宋_GBK" w:eastAsia="方正仿宋_GBK" w:cs="方正仿宋_GBK"/>
          <w:sz w:val="32"/>
        </w:rPr>
        <w:t>增加</w:t>
      </w:r>
      <w:r>
        <w:rPr>
          <w:rFonts w:hint="eastAsia" w:ascii="方正仿宋_GBK" w:hAnsi="方正仿宋_GBK" w:eastAsia="方正仿宋_GBK" w:cs="方正仿宋_GBK"/>
          <w:sz w:val="32"/>
          <w:lang w:val="en-US" w:eastAsia="zh-CN"/>
        </w:rPr>
        <w:t>1403.19</w:t>
      </w:r>
      <w:r>
        <w:rPr>
          <w:rFonts w:hint="eastAsia" w:ascii="方正仿宋_GBK" w:hAnsi="方正仿宋_GBK" w:eastAsia="方正仿宋_GBK" w:cs="方正仿宋_GBK"/>
          <w:sz w:val="32"/>
        </w:rPr>
        <w:t>万元，主要是基本支出</w:t>
      </w:r>
      <w:r>
        <w:rPr>
          <w:rFonts w:hint="eastAsia" w:ascii="方正仿宋_GBK" w:hAnsi="方正仿宋_GBK" w:eastAsia="方正仿宋_GBK" w:cs="方正仿宋_GBK"/>
          <w:sz w:val="32"/>
          <w:lang w:eastAsia="zh-CN"/>
        </w:rPr>
        <w:t>减少</w:t>
      </w:r>
      <w:r>
        <w:rPr>
          <w:rFonts w:hint="eastAsia" w:ascii="方正仿宋_GBK" w:hAnsi="方正仿宋_GBK" w:eastAsia="方正仿宋_GBK" w:cs="方正仿宋_GBK"/>
          <w:sz w:val="32"/>
          <w:lang w:val="en-US" w:eastAsia="zh-CN"/>
        </w:rPr>
        <w:t>195.07</w:t>
      </w:r>
      <w:r>
        <w:rPr>
          <w:rFonts w:hint="eastAsia" w:ascii="方正仿宋_GBK" w:hAnsi="方正仿宋_GBK" w:eastAsia="方正仿宋_GBK" w:cs="方正仿宋_GBK"/>
          <w:sz w:val="32"/>
        </w:rPr>
        <w:t>万元，项目支出增加</w:t>
      </w:r>
      <w:r>
        <w:rPr>
          <w:rFonts w:hint="eastAsia" w:ascii="方正仿宋_GBK" w:hAnsi="方正仿宋_GBK" w:eastAsia="方正仿宋_GBK" w:cs="方正仿宋_GBK"/>
          <w:sz w:val="32"/>
          <w:lang w:val="en-US" w:eastAsia="zh-CN"/>
        </w:rPr>
        <w:t>1598.26</w:t>
      </w:r>
      <w:r>
        <w:rPr>
          <w:rFonts w:hint="eastAsia" w:ascii="方正仿宋_GBK" w:hAnsi="方正仿宋_GBK" w:eastAsia="方正仿宋_GBK" w:cs="方正仿宋_GBK"/>
          <w:sz w:val="32"/>
        </w:rPr>
        <w:t>万元。</w:t>
      </w:r>
    </w:p>
    <w:p>
      <w:pPr>
        <w:numPr>
          <w:ilvl w:val="0"/>
          <w:numId w:val="1"/>
        </w:numPr>
        <w:spacing w:line="600" w:lineRule="exact"/>
        <w:ind w:firstLine="640" w:firstLineChars="200"/>
        <w:rPr>
          <w:rFonts w:hint="eastAsia" w:ascii="黑体" w:hAnsi="黑体" w:eastAsia="黑体" w:cs="仿宋_GB2312"/>
          <w:sz w:val="32"/>
        </w:rPr>
      </w:pPr>
      <w:r>
        <w:rPr>
          <w:rFonts w:hint="eastAsia" w:ascii="黑体" w:hAnsi="黑体" w:eastAsia="黑体" w:cs="仿宋_GB2312"/>
          <w:sz w:val="32"/>
        </w:rPr>
        <w:t>部门预算情况说明</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2022年一般公共预算财政拨款收入10372.45万元，一般公共预算财政拨款支出10372.45万元，比2021年增加</w:t>
      </w:r>
      <w:r>
        <w:rPr>
          <w:rFonts w:hint="eastAsia" w:ascii="方正仿宋_GBK" w:hAnsi="方正仿宋_GBK" w:eastAsia="方正仿宋_GBK" w:cs="方正仿宋_GBK"/>
          <w:sz w:val="32"/>
          <w:lang w:val="en-US" w:eastAsia="zh-CN"/>
        </w:rPr>
        <w:t>1403.19</w:t>
      </w:r>
      <w:r>
        <w:rPr>
          <w:rFonts w:hint="eastAsia" w:ascii="方正仿宋_GBK" w:hAnsi="方正仿宋_GBK" w:eastAsia="方正仿宋_GBK" w:cs="方正仿宋_GBK"/>
          <w:sz w:val="32"/>
        </w:rPr>
        <w:t>万元。其中：基本支出167.38万元，比2021年减少</w:t>
      </w:r>
      <w:r>
        <w:rPr>
          <w:rFonts w:hint="eastAsia" w:ascii="方正仿宋_GBK" w:hAnsi="方正仿宋_GBK" w:eastAsia="方正仿宋_GBK" w:cs="方正仿宋_GBK"/>
          <w:sz w:val="32"/>
          <w:lang w:val="en-US" w:eastAsia="zh-CN"/>
        </w:rPr>
        <w:t>195.07</w:t>
      </w:r>
      <w:r>
        <w:rPr>
          <w:rFonts w:hint="eastAsia" w:ascii="方正仿宋_GBK" w:hAnsi="方正仿宋_GBK" w:eastAsia="方正仿宋_GBK" w:cs="方正仿宋_GBK"/>
          <w:sz w:val="32"/>
        </w:rPr>
        <w:t>万元，主要原因是</w:t>
      </w:r>
      <w:r>
        <w:rPr>
          <w:rFonts w:hint="eastAsia" w:ascii="方正仿宋_GBK" w:hAnsi="方正仿宋_GBK" w:eastAsia="方正仿宋_GBK" w:cs="方正仿宋_GBK"/>
          <w:sz w:val="32"/>
          <w:lang w:val="en-US" w:eastAsia="zh-CN"/>
        </w:rPr>
        <w:t>2021年由县退役军人事务局统一预算，2022年下属的县军队离退休干部服务管理中心和县退役军人服务中心均独立预算</w:t>
      </w:r>
      <w:r>
        <w:rPr>
          <w:rFonts w:hint="eastAsia" w:ascii="方正仿宋_GBK" w:hAnsi="方正仿宋_GBK" w:eastAsia="方正仿宋_GBK" w:cs="方正仿宋_GBK"/>
          <w:sz w:val="32"/>
        </w:rPr>
        <w:t>，主要用于保障在职人员工资福利及社会保险缴费、退休人员补助等，保障部门正常运转的各项商品服务支出；项目支出10205.07万元，比2021年增加</w:t>
      </w:r>
      <w:r>
        <w:rPr>
          <w:rFonts w:hint="eastAsia" w:ascii="方正仿宋_GBK" w:hAnsi="方正仿宋_GBK" w:eastAsia="方正仿宋_GBK" w:cs="方正仿宋_GBK"/>
          <w:sz w:val="32"/>
          <w:lang w:val="en-US" w:eastAsia="zh-CN"/>
        </w:rPr>
        <w:t>1598.26</w:t>
      </w:r>
      <w:r>
        <w:rPr>
          <w:rFonts w:hint="eastAsia" w:ascii="方正仿宋_GBK" w:hAnsi="方正仿宋_GBK" w:eastAsia="方正仿宋_GBK" w:cs="方正仿宋_GBK"/>
          <w:sz w:val="32"/>
        </w:rPr>
        <w:t>万元，主要原因是</w:t>
      </w:r>
      <w:r>
        <w:rPr>
          <w:rFonts w:hint="eastAsia" w:ascii="方正仿宋_GBK" w:hAnsi="方正仿宋_GBK" w:eastAsia="方正仿宋_GBK" w:cs="方正仿宋_GBK"/>
          <w:sz w:val="32"/>
          <w:lang w:eastAsia="zh-CN"/>
        </w:rPr>
        <w:t>优抚对象生活补助经费增加</w:t>
      </w:r>
      <w:r>
        <w:rPr>
          <w:rFonts w:hint="eastAsia" w:ascii="方正仿宋_GBK" w:hAnsi="方正仿宋_GBK" w:eastAsia="方正仿宋_GBK" w:cs="方正仿宋_GBK"/>
          <w:sz w:val="32"/>
        </w:rPr>
        <w:t>，</w:t>
      </w:r>
      <w:r>
        <w:rPr>
          <w:rFonts w:hint="eastAsia" w:ascii="方正仿宋_GBK" w:hAnsi="方正仿宋_GBK" w:eastAsia="方正仿宋_GBK" w:cs="方正仿宋_GBK"/>
          <w:sz w:val="32"/>
          <w:lang w:eastAsia="zh-CN"/>
        </w:rPr>
        <w:t>义务兵优待金增加，</w:t>
      </w:r>
      <w:r>
        <w:rPr>
          <w:rFonts w:hint="eastAsia" w:ascii="方正仿宋_GBK" w:hAnsi="方正仿宋_GBK" w:eastAsia="方正仿宋_GBK" w:cs="方正仿宋_GBK"/>
          <w:sz w:val="32"/>
        </w:rPr>
        <w:t>主要用于</w:t>
      </w:r>
      <w:r>
        <w:rPr>
          <w:rFonts w:hint="eastAsia" w:ascii="方正仿宋_GBK" w:hAnsi="方正仿宋_GBK" w:eastAsia="方正仿宋_GBK" w:cs="方正仿宋_GBK"/>
          <w:sz w:val="32"/>
          <w:lang w:eastAsia="zh-CN"/>
        </w:rPr>
        <w:t>优抚对象、义务兵优待等</w:t>
      </w:r>
      <w:r>
        <w:rPr>
          <w:rFonts w:hint="eastAsia" w:ascii="方正仿宋_GBK" w:hAnsi="方正仿宋_GBK" w:eastAsia="方正仿宋_GBK" w:cs="方正仿宋_GBK"/>
          <w:sz w:val="32"/>
        </w:rPr>
        <w:t>重点工作。</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2022年无使用政府性基金预算拨款安排的支出</w:t>
      </w:r>
    </w:p>
    <w:p>
      <w:pPr>
        <w:numPr>
          <w:ilvl w:val="0"/>
          <w:numId w:val="1"/>
        </w:numPr>
        <w:spacing w:line="600" w:lineRule="exact"/>
        <w:ind w:firstLine="640" w:firstLineChars="200"/>
        <w:rPr>
          <w:rFonts w:ascii="黑体" w:hAnsi="黑体" w:eastAsia="黑体" w:cs="仿宋_GB2312"/>
          <w:sz w:val="32"/>
        </w:rPr>
      </w:pPr>
      <w:r>
        <w:rPr>
          <w:rFonts w:hint="eastAsia" w:ascii="黑体" w:hAnsi="黑体" w:eastAsia="黑体" w:cs="仿宋_GB2312"/>
          <w:sz w:val="32"/>
        </w:rPr>
        <w:t>“三公”经费情况说明</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 xml:space="preserve">2022年“三公”经费预算 </w:t>
      </w:r>
      <w:r>
        <w:rPr>
          <w:rFonts w:hint="eastAsia" w:ascii="方正仿宋_GBK" w:hAnsi="方正仿宋_GBK" w:eastAsia="方正仿宋_GBK" w:cs="方正仿宋_GBK"/>
          <w:sz w:val="32"/>
          <w:lang w:val="en-US" w:eastAsia="zh-CN"/>
        </w:rPr>
        <w:t>5.81</w:t>
      </w:r>
      <w:r>
        <w:rPr>
          <w:rFonts w:hint="eastAsia" w:ascii="方正仿宋_GBK" w:hAnsi="方正仿宋_GBK" w:eastAsia="方正仿宋_GBK" w:cs="方正仿宋_GBK"/>
          <w:sz w:val="32"/>
        </w:rPr>
        <w:t xml:space="preserve"> 万元，比2021年减少</w:t>
      </w:r>
      <w:r>
        <w:rPr>
          <w:rFonts w:hint="eastAsia" w:ascii="方正仿宋_GBK" w:hAnsi="方正仿宋_GBK" w:eastAsia="方正仿宋_GBK" w:cs="方正仿宋_GBK"/>
          <w:sz w:val="32"/>
          <w:lang w:val="en-US" w:eastAsia="zh-CN"/>
        </w:rPr>
        <w:t>5.61</w:t>
      </w:r>
      <w:r>
        <w:rPr>
          <w:rFonts w:hint="eastAsia" w:ascii="方正仿宋_GBK" w:hAnsi="方正仿宋_GBK" w:eastAsia="方正仿宋_GBK" w:cs="方正仿宋_GBK"/>
          <w:sz w:val="32"/>
        </w:rPr>
        <w:t>万元。其中：因公出国（境）费用</w:t>
      </w:r>
      <w:r>
        <w:rPr>
          <w:rFonts w:hint="eastAsia" w:ascii="方正仿宋_GBK" w:hAnsi="方正仿宋_GBK" w:eastAsia="方正仿宋_GBK" w:cs="方正仿宋_GBK"/>
          <w:sz w:val="32"/>
          <w:lang w:val="en-US" w:eastAsia="zh-CN"/>
        </w:rPr>
        <w:t>0</w:t>
      </w:r>
      <w:r>
        <w:rPr>
          <w:rFonts w:hint="eastAsia" w:ascii="方正仿宋_GBK" w:hAnsi="方正仿宋_GBK" w:eastAsia="方正仿宋_GBK" w:cs="方正仿宋_GBK"/>
          <w:sz w:val="32"/>
        </w:rPr>
        <w:t xml:space="preserve">万元；公务接待费 </w:t>
      </w:r>
      <w:r>
        <w:rPr>
          <w:rFonts w:hint="eastAsia" w:ascii="方正仿宋_GBK" w:hAnsi="方正仿宋_GBK" w:eastAsia="方正仿宋_GBK" w:cs="方正仿宋_GBK"/>
          <w:sz w:val="32"/>
          <w:lang w:val="en-US" w:eastAsia="zh-CN"/>
        </w:rPr>
        <w:t>0.81</w:t>
      </w:r>
      <w:r>
        <w:rPr>
          <w:rFonts w:hint="eastAsia" w:ascii="方正仿宋_GBK" w:hAnsi="方正仿宋_GBK" w:eastAsia="方正仿宋_GBK" w:cs="方正仿宋_GBK"/>
          <w:sz w:val="32"/>
        </w:rPr>
        <w:t>万元，比2021年减少</w:t>
      </w:r>
      <w:r>
        <w:rPr>
          <w:rFonts w:hint="eastAsia" w:ascii="方正仿宋_GBK" w:hAnsi="方正仿宋_GBK" w:eastAsia="方正仿宋_GBK" w:cs="方正仿宋_GBK"/>
          <w:sz w:val="32"/>
          <w:lang w:val="en-US" w:eastAsia="zh-CN"/>
        </w:rPr>
        <w:t>1.21</w:t>
      </w:r>
      <w:r>
        <w:rPr>
          <w:rFonts w:hint="eastAsia" w:ascii="方正仿宋_GBK" w:hAnsi="方正仿宋_GBK" w:eastAsia="方正仿宋_GBK" w:cs="方正仿宋_GBK"/>
          <w:sz w:val="32"/>
        </w:rPr>
        <w:t>万元，主要原因是</w:t>
      </w:r>
      <w:r>
        <w:rPr>
          <w:rFonts w:hint="eastAsia" w:ascii="方正仿宋_GBK" w:hAnsi="方正仿宋_GBK" w:eastAsia="方正仿宋_GBK" w:cs="方正仿宋_GBK"/>
          <w:sz w:val="32"/>
          <w:lang w:val="en-US" w:eastAsia="zh-CN"/>
        </w:rPr>
        <w:t>2021年由县退役军人事务局统一预算，2022年下属的县军队离退休干部服务管理中心和县退役军人服务中心均独立预算</w:t>
      </w:r>
      <w:r>
        <w:rPr>
          <w:rFonts w:hint="eastAsia" w:ascii="方正仿宋_GBK" w:hAnsi="方正仿宋_GBK" w:eastAsia="方正仿宋_GBK" w:cs="方正仿宋_GBK"/>
          <w:sz w:val="32"/>
        </w:rPr>
        <w:t xml:space="preserve">；公务用车运行维护费 </w:t>
      </w:r>
      <w:r>
        <w:rPr>
          <w:rFonts w:hint="eastAsia" w:ascii="方正仿宋_GBK" w:hAnsi="方正仿宋_GBK" w:eastAsia="方正仿宋_GBK" w:cs="方正仿宋_GBK"/>
          <w:sz w:val="32"/>
          <w:lang w:val="en-US" w:eastAsia="zh-CN"/>
        </w:rPr>
        <w:t>5</w:t>
      </w:r>
      <w:r>
        <w:rPr>
          <w:rFonts w:hint="eastAsia" w:ascii="方正仿宋_GBK" w:hAnsi="方正仿宋_GBK" w:eastAsia="方正仿宋_GBK" w:cs="方正仿宋_GBK"/>
          <w:sz w:val="32"/>
        </w:rPr>
        <w:t>万元，比2021年减少</w:t>
      </w:r>
      <w:r>
        <w:rPr>
          <w:rFonts w:hint="eastAsia" w:ascii="方正仿宋_GBK" w:hAnsi="方正仿宋_GBK" w:eastAsia="方正仿宋_GBK" w:cs="方正仿宋_GBK"/>
          <w:sz w:val="32"/>
          <w:lang w:val="en-US" w:eastAsia="zh-CN"/>
        </w:rPr>
        <w:t>4.4</w:t>
      </w:r>
      <w:r>
        <w:rPr>
          <w:rFonts w:hint="eastAsia" w:ascii="方正仿宋_GBK" w:hAnsi="方正仿宋_GBK" w:eastAsia="方正仿宋_GBK" w:cs="方正仿宋_GBK"/>
          <w:sz w:val="32"/>
        </w:rPr>
        <w:t>万元，主要原因是</w:t>
      </w:r>
      <w:r>
        <w:rPr>
          <w:rFonts w:hint="eastAsia" w:ascii="方正仿宋_GBK" w:hAnsi="方正仿宋_GBK" w:eastAsia="方正仿宋_GBK" w:cs="方正仿宋_GBK"/>
          <w:sz w:val="32"/>
          <w:lang w:val="en-US" w:eastAsia="zh-CN"/>
        </w:rPr>
        <w:t>2022年下属参公单位县军队离退休干部服务管理中心独立预算</w:t>
      </w:r>
      <w:r>
        <w:rPr>
          <w:rFonts w:hint="eastAsia" w:ascii="方正仿宋_GBK" w:hAnsi="方正仿宋_GBK" w:eastAsia="方正仿宋_GBK" w:cs="方正仿宋_GBK"/>
          <w:sz w:val="32"/>
        </w:rPr>
        <w:t>；公务用车购置费</w:t>
      </w:r>
      <w:r>
        <w:rPr>
          <w:rFonts w:hint="eastAsia" w:ascii="方正仿宋_GBK" w:hAnsi="方正仿宋_GBK" w:eastAsia="方正仿宋_GBK" w:cs="方正仿宋_GBK"/>
          <w:sz w:val="32"/>
          <w:lang w:val="en-US" w:eastAsia="zh-CN"/>
        </w:rPr>
        <w:t>0</w:t>
      </w:r>
      <w:r>
        <w:rPr>
          <w:rFonts w:hint="eastAsia" w:ascii="方正仿宋_GBK" w:hAnsi="方正仿宋_GBK" w:eastAsia="方正仿宋_GBK" w:cs="方正仿宋_GBK"/>
          <w:sz w:val="32"/>
        </w:rPr>
        <w:t>万元；</w:t>
      </w:r>
    </w:p>
    <w:p>
      <w:pPr>
        <w:numPr>
          <w:ilvl w:val="0"/>
          <w:numId w:val="1"/>
        </w:numPr>
        <w:spacing w:line="600" w:lineRule="exact"/>
        <w:ind w:firstLine="640" w:firstLineChars="200"/>
        <w:rPr>
          <w:rFonts w:hint="eastAsia" w:ascii="黑体" w:hAnsi="黑体" w:eastAsia="黑体" w:cs="仿宋_GB2312"/>
          <w:sz w:val="32"/>
        </w:rPr>
      </w:pPr>
      <w:r>
        <w:rPr>
          <w:rFonts w:hint="eastAsia" w:ascii="黑体" w:hAnsi="黑体" w:eastAsia="黑体" w:cs="仿宋_GB2312"/>
          <w:sz w:val="32"/>
        </w:rPr>
        <w:t>其他重要</w:t>
      </w:r>
      <w:r>
        <w:rPr>
          <w:rFonts w:ascii="黑体" w:hAnsi="黑体" w:eastAsia="黑体" w:cs="仿宋_GB2312"/>
          <w:sz w:val="32"/>
        </w:rPr>
        <w:t>事项的情况说明</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（一）机关运行经费。2022年一般公共预算财政拨款运行经费36.85万元，比上年减少</w:t>
      </w:r>
      <w:r>
        <w:rPr>
          <w:rFonts w:hint="eastAsia" w:ascii="方正仿宋_GBK" w:hAnsi="方正仿宋_GBK" w:eastAsia="方正仿宋_GBK" w:cs="方正仿宋_GBK"/>
          <w:sz w:val="32"/>
          <w:lang w:val="en-US" w:eastAsia="zh-CN"/>
        </w:rPr>
        <w:t>39.16</w:t>
      </w:r>
      <w:r>
        <w:rPr>
          <w:rFonts w:hint="eastAsia" w:ascii="方正仿宋_GBK" w:hAnsi="方正仿宋_GBK" w:eastAsia="方正仿宋_GBK" w:cs="方正仿宋_GBK"/>
          <w:sz w:val="32"/>
        </w:rPr>
        <w:t xml:space="preserve"> 万元，主要原因为</w:t>
      </w:r>
      <w:r>
        <w:rPr>
          <w:rFonts w:hint="eastAsia" w:ascii="方正仿宋_GBK" w:hAnsi="方正仿宋_GBK" w:eastAsia="方正仿宋_GBK" w:cs="方正仿宋_GBK"/>
          <w:sz w:val="32"/>
          <w:lang w:val="en-US" w:eastAsia="zh-CN"/>
        </w:rPr>
        <w:t>2022年下属的县军队离退休干部服务管理中心和县退役军人服务中心均独立预算</w:t>
      </w:r>
      <w:r>
        <w:rPr>
          <w:rFonts w:hint="eastAsia" w:ascii="方正仿宋_GBK" w:hAnsi="方正仿宋_GBK" w:eastAsia="方正仿宋_GBK" w:cs="方正仿宋_GBK"/>
          <w:sz w:val="32"/>
        </w:rPr>
        <w:t>；主要用于办公费、印刷费、邮电费、水电费、物管费、差旅费、会议费、培训费及其他商品和服务支出等。</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（二）政府采购情况。所属各预算单位政府采购预算总额</w:t>
      </w:r>
      <w:r>
        <w:rPr>
          <w:rFonts w:hint="eastAsia" w:ascii="方正仿宋_GBK" w:hAnsi="方正仿宋_GBK" w:eastAsia="方正仿宋_GBK" w:cs="方正仿宋_GBK"/>
          <w:sz w:val="32"/>
          <w:lang w:val="en-US" w:eastAsia="zh-CN"/>
        </w:rPr>
        <w:t>149.58</w:t>
      </w:r>
      <w:r>
        <w:rPr>
          <w:rFonts w:hint="eastAsia" w:ascii="方正仿宋_GBK" w:hAnsi="方正仿宋_GBK" w:eastAsia="方正仿宋_GBK" w:cs="方正仿宋_GBK"/>
          <w:sz w:val="32"/>
        </w:rPr>
        <w:t>万元：政府采购货物预算</w:t>
      </w:r>
      <w:r>
        <w:rPr>
          <w:rFonts w:hint="eastAsia" w:ascii="方正仿宋_GBK" w:hAnsi="方正仿宋_GBK" w:eastAsia="方正仿宋_GBK" w:cs="方正仿宋_GBK"/>
          <w:sz w:val="32"/>
          <w:lang w:val="en-US" w:eastAsia="zh-CN"/>
        </w:rPr>
        <w:t>149.58</w:t>
      </w:r>
      <w:r>
        <w:rPr>
          <w:rFonts w:hint="eastAsia" w:ascii="方正仿宋_GBK" w:hAnsi="方正仿宋_GBK" w:eastAsia="方正仿宋_GBK" w:cs="方正仿宋_GBK"/>
          <w:sz w:val="32"/>
        </w:rPr>
        <w:t xml:space="preserve">万元、政府采购工程预算  </w:t>
      </w:r>
      <w:r>
        <w:rPr>
          <w:rFonts w:hint="eastAsia" w:ascii="方正仿宋_GBK" w:hAnsi="方正仿宋_GBK" w:eastAsia="方正仿宋_GBK" w:cs="方正仿宋_GBK"/>
          <w:sz w:val="32"/>
          <w:lang w:val="en-US" w:eastAsia="zh-CN"/>
        </w:rPr>
        <w:t>0</w:t>
      </w:r>
      <w:r>
        <w:rPr>
          <w:rFonts w:hint="eastAsia" w:ascii="方正仿宋_GBK" w:hAnsi="方正仿宋_GBK" w:eastAsia="方正仿宋_GBK" w:cs="方正仿宋_GBK"/>
          <w:sz w:val="32"/>
        </w:rPr>
        <w:t xml:space="preserve">万元、政府采购服务预算 </w:t>
      </w:r>
      <w:r>
        <w:rPr>
          <w:rFonts w:hint="eastAsia" w:ascii="方正仿宋_GBK" w:hAnsi="方正仿宋_GBK" w:eastAsia="方正仿宋_GBK" w:cs="方正仿宋_GBK"/>
          <w:sz w:val="32"/>
          <w:lang w:val="en-US" w:eastAsia="zh-CN"/>
        </w:rPr>
        <w:t>0</w:t>
      </w:r>
      <w:r>
        <w:rPr>
          <w:rFonts w:hint="eastAsia" w:ascii="方正仿宋_GBK" w:hAnsi="方正仿宋_GBK" w:eastAsia="方正仿宋_GBK" w:cs="方正仿宋_GBK"/>
          <w:sz w:val="32"/>
        </w:rPr>
        <w:t>万元；其中一般公共预算拨款政府采购</w:t>
      </w:r>
      <w:r>
        <w:rPr>
          <w:rFonts w:hint="eastAsia" w:ascii="方正仿宋_GBK" w:hAnsi="方正仿宋_GBK" w:eastAsia="方正仿宋_GBK" w:cs="方正仿宋_GBK"/>
          <w:sz w:val="32"/>
          <w:lang w:val="en-US" w:eastAsia="zh-CN"/>
        </w:rPr>
        <w:t>149.58</w:t>
      </w:r>
      <w:r>
        <w:rPr>
          <w:rFonts w:hint="eastAsia" w:ascii="方正仿宋_GBK" w:hAnsi="方正仿宋_GBK" w:eastAsia="方正仿宋_GBK" w:cs="方正仿宋_GBK"/>
          <w:sz w:val="32"/>
        </w:rPr>
        <w:t>万元：政府采购货物预算</w:t>
      </w:r>
      <w:r>
        <w:rPr>
          <w:rFonts w:hint="eastAsia" w:ascii="方正仿宋_GBK" w:hAnsi="方正仿宋_GBK" w:eastAsia="方正仿宋_GBK" w:cs="方正仿宋_GBK"/>
          <w:sz w:val="32"/>
          <w:lang w:val="en-US" w:eastAsia="zh-CN"/>
        </w:rPr>
        <w:t>149.58</w:t>
      </w:r>
      <w:r>
        <w:rPr>
          <w:rFonts w:hint="eastAsia" w:ascii="方正仿宋_GBK" w:hAnsi="方正仿宋_GBK" w:eastAsia="方正仿宋_GBK" w:cs="方正仿宋_GBK"/>
          <w:sz w:val="32"/>
        </w:rPr>
        <w:t>万元、政府采购工程预算</w:t>
      </w:r>
      <w:r>
        <w:rPr>
          <w:rFonts w:hint="eastAsia" w:ascii="方正仿宋_GBK" w:hAnsi="方正仿宋_GBK" w:eastAsia="方正仿宋_GBK" w:cs="方正仿宋_GBK"/>
          <w:sz w:val="32"/>
          <w:lang w:val="en-US" w:eastAsia="zh-CN"/>
        </w:rPr>
        <w:t>0</w:t>
      </w:r>
      <w:r>
        <w:rPr>
          <w:rFonts w:hint="eastAsia" w:ascii="方正仿宋_GBK" w:hAnsi="方正仿宋_GBK" w:eastAsia="方正仿宋_GBK" w:cs="方正仿宋_GBK"/>
          <w:sz w:val="32"/>
        </w:rPr>
        <w:t>万元、政府采购服务预算</w:t>
      </w:r>
      <w:r>
        <w:rPr>
          <w:rFonts w:hint="eastAsia" w:ascii="方正仿宋_GBK" w:hAnsi="方正仿宋_GBK" w:eastAsia="方正仿宋_GBK" w:cs="方正仿宋_GBK"/>
          <w:sz w:val="32"/>
          <w:lang w:val="en-US" w:eastAsia="zh-CN"/>
        </w:rPr>
        <w:t>0</w:t>
      </w:r>
      <w:r>
        <w:rPr>
          <w:rFonts w:hint="eastAsia" w:ascii="方正仿宋_GBK" w:hAnsi="方正仿宋_GBK" w:eastAsia="方正仿宋_GBK" w:cs="方正仿宋_GBK"/>
          <w:sz w:val="32"/>
        </w:rPr>
        <w:t>万元。</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（三）绩效目标设置情况。2022年项目支出均实行了绩效目标管理，涉及一般公共预算当年财政拨款10205.07 万元。</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（四）国有资产占有使用情况。截止2021年12月，所属各预算单位共有车辆</w:t>
      </w:r>
      <w:r>
        <w:rPr>
          <w:rFonts w:hint="eastAsia" w:ascii="方正仿宋_GBK" w:hAnsi="方正仿宋_GBK" w:eastAsia="方正仿宋_GBK" w:cs="方正仿宋_GBK"/>
          <w:sz w:val="32"/>
          <w:lang w:val="en-US" w:eastAsia="zh-CN"/>
        </w:rPr>
        <w:t>1</w:t>
      </w:r>
      <w:r>
        <w:rPr>
          <w:rFonts w:hint="eastAsia" w:ascii="方正仿宋_GBK" w:hAnsi="方正仿宋_GBK" w:eastAsia="方正仿宋_GBK" w:cs="方正仿宋_GBK"/>
          <w:sz w:val="32"/>
        </w:rPr>
        <w:t>辆，其中一般公务用车</w:t>
      </w:r>
      <w:r>
        <w:rPr>
          <w:rFonts w:hint="eastAsia" w:ascii="方正仿宋_GBK" w:hAnsi="方正仿宋_GBK" w:eastAsia="方正仿宋_GBK" w:cs="方正仿宋_GBK"/>
          <w:sz w:val="32"/>
          <w:lang w:val="en-US" w:eastAsia="zh-CN"/>
        </w:rPr>
        <w:t>1</w:t>
      </w:r>
      <w:r>
        <w:rPr>
          <w:rFonts w:hint="eastAsia" w:ascii="方正仿宋_GBK" w:hAnsi="方正仿宋_GBK" w:eastAsia="方正仿宋_GBK" w:cs="方正仿宋_GBK"/>
          <w:sz w:val="32"/>
        </w:rPr>
        <w:t xml:space="preserve">辆、执勤执法用车 </w:t>
      </w:r>
      <w:r>
        <w:rPr>
          <w:rFonts w:hint="eastAsia" w:ascii="方正仿宋_GBK" w:hAnsi="方正仿宋_GBK" w:eastAsia="方正仿宋_GBK" w:cs="方正仿宋_GBK"/>
          <w:sz w:val="32"/>
          <w:lang w:val="en-US" w:eastAsia="zh-CN"/>
        </w:rPr>
        <w:t>0</w:t>
      </w:r>
      <w:r>
        <w:rPr>
          <w:rFonts w:hint="eastAsia" w:ascii="方正仿宋_GBK" w:hAnsi="方正仿宋_GBK" w:eastAsia="方正仿宋_GBK" w:cs="方正仿宋_GBK"/>
          <w:sz w:val="32"/>
        </w:rPr>
        <w:t>辆。2022年</w:t>
      </w:r>
      <w:r>
        <w:rPr>
          <w:rFonts w:hint="eastAsia" w:ascii="方正仿宋_GBK" w:hAnsi="方正仿宋_GBK" w:eastAsia="方正仿宋_GBK" w:cs="方正仿宋_GBK"/>
          <w:sz w:val="32"/>
          <w:lang w:eastAsia="zh-CN"/>
        </w:rPr>
        <w:t>无</w:t>
      </w:r>
      <w:r>
        <w:rPr>
          <w:rFonts w:hint="eastAsia" w:ascii="方正仿宋_GBK" w:hAnsi="方正仿宋_GBK" w:eastAsia="方正仿宋_GBK" w:cs="方正仿宋_GBK"/>
          <w:sz w:val="32"/>
        </w:rPr>
        <w:t>一般公共预算安排购置车辆。</w:t>
      </w:r>
    </w:p>
    <w:p>
      <w:pPr>
        <w:spacing w:line="600" w:lineRule="exact"/>
        <w:ind w:firstLine="640" w:firstLineChars="200"/>
        <w:rPr>
          <w:rFonts w:hint="eastAsia" w:ascii="方正黑体_GBK" w:hAnsi="黑体" w:eastAsia="方正黑体_GBK" w:cs="仿宋_GB2312"/>
          <w:sz w:val="32"/>
        </w:rPr>
      </w:pPr>
      <w:r>
        <w:rPr>
          <w:rFonts w:hint="eastAsia" w:ascii="方正黑体_GBK" w:hAnsi="黑体" w:eastAsia="方正黑体_GBK" w:cs="仿宋_GB2312"/>
          <w:sz w:val="32"/>
        </w:rPr>
        <w:t>六</w:t>
      </w:r>
      <w:r>
        <w:rPr>
          <w:rFonts w:ascii="方正黑体_GBK" w:hAnsi="黑体" w:eastAsia="方正黑体_GBK" w:cs="仿宋_GB2312"/>
          <w:sz w:val="32"/>
        </w:rPr>
        <w:t>、</w:t>
      </w:r>
      <w:r>
        <w:rPr>
          <w:rFonts w:hint="eastAsia" w:ascii="方正黑体_GBK" w:hAnsi="黑体" w:eastAsia="方正黑体_GBK" w:cs="仿宋_GB2312"/>
          <w:sz w:val="32"/>
        </w:rPr>
        <w:t>专业性名词解释</w:t>
      </w:r>
    </w:p>
    <w:p>
      <w:pPr>
        <w:pStyle w:val="8"/>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（一）财政拨款收入：指本年度从本级财政部门取得的财政拨款，包括一般公共预算财政拨款和政府性基金预算财政拨款。</w:t>
      </w:r>
    </w:p>
    <w:p>
      <w:pPr>
        <w:pStyle w:val="8"/>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（二）其他收入：指单位取得的除“财政拨款收入”、“事业收入”、“经营收入”等以外的收入。</w:t>
      </w:r>
    </w:p>
    <w:p>
      <w:pPr>
        <w:pStyle w:val="8"/>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（三）基本支出：指为保障机构正常运转、完成日常工作任务而发生的人员经费和公用经费。</w:t>
      </w:r>
    </w:p>
    <w:p>
      <w:pPr>
        <w:pStyle w:val="8"/>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（四）项目支出：指在基本支出之外为完成特定行政任务和事业发展目标所发生的支出。</w:t>
      </w:r>
    </w:p>
    <w:p>
      <w:pPr>
        <w:ind w:firstLine="640" w:firstLineChars="200"/>
        <w:rPr>
          <w:rFonts w:hint="eastAsia" w:ascii="方正仿宋_GBK" w:hAnsi="仿宋_GB2312" w:eastAsia="方正仿宋_GBK" w:cs="仿宋_GB2312"/>
          <w:color w:val="000000"/>
          <w:sz w:val="32"/>
        </w:rPr>
      </w:pPr>
      <w:r>
        <w:rPr>
          <w:rFonts w:hint="eastAsia" w:ascii="方正仿宋_GBK" w:eastAsia="方正仿宋_GBK"/>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hint="eastAsia" w:ascii="方正仿宋_GBK" w:hAnsi="仿宋_GB2312" w:eastAsia="方正仿宋_GBK" w:cs="仿宋_GB2312"/>
          <w:b/>
          <w:sz w:val="32"/>
        </w:rPr>
      </w:pPr>
      <w:r>
        <w:rPr>
          <w:rFonts w:hint="eastAsia" w:ascii="方正仿宋_GBK" w:hAnsi="仿宋_GB2312" w:eastAsia="方正仿宋_GBK" w:cs="仿宋_GB2312"/>
          <w:b/>
          <w:sz w:val="32"/>
          <w:lang w:eastAsia="zh-CN"/>
        </w:rPr>
        <w:t>部门</w:t>
      </w:r>
      <w:r>
        <w:rPr>
          <w:rFonts w:hint="eastAsia" w:ascii="方正仿宋_GBK" w:hAnsi="仿宋_GB2312" w:eastAsia="方正仿宋_GBK" w:cs="仿宋_GB2312"/>
          <w:b/>
          <w:sz w:val="32"/>
        </w:rPr>
        <w:t>预算公开联系人：</w:t>
      </w:r>
      <w:r>
        <w:rPr>
          <w:rFonts w:hint="eastAsia" w:ascii="方正仿宋_GBK" w:hAnsi="仿宋_GB2312" w:eastAsia="方正仿宋_GBK" w:cs="仿宋_GB2312"/>
          <w:b/>
          <w:sz w:val="32"/>
          <w:lang w:eastAsia="zh-CN"/>
        </w:rPr>
        <w:t>刘老师</w:t>
      </w:r>
      <w:bookmarkStart w:id="0" w:name="_GoBack"/>
      <w:bookmarkEnd w:id="0"/>
      <w:r>
        <w:rPr>
          <w:rFonts w:hint="eastAsia" w:ascii="方正仿宋_GBK" w:hAnsi="仿宋_GB2312" w:eastAsia="方正仿宋_GBK" w:cs="仿宋_GB2312"/>
          <w:b/>
          <w:sz w:val="32"/>
        </w:rPr>
        <w:t xml:space="preserve"> 联系方式：</w:t>
      </w:r>
      <w:r>
        <w:rPr>
          <w:rFonts w:hint="eastAsia" w:ascii="方正仿宋_GBK" w:hAnsi="仿宋_GB2312" w:eastAsia="方正仿宋_GBK" w:cs="仿宋_GB2312"/>
          <w:b/>
          <w:sz w:val="32"/>
          <w:lang w:val="en-US" w:eastAsia="zh-CN"/>
        </w:rPr>
        <w:t>023-74688789</w:t>
      </w:r>
      <w:r>
        <w:rPr>
          <w:rFonts w:hint="eastAsia" w:ascii="方正仿宋_GBK" w:hAnsi="仿宋_GB2312" w:eastAsia="方正仿宋_GBK" w:cs="仿宋_GB2312"/>
          <w:b/>
          <w:sz w:val="32"/>
        </w:rPr>
        <w:t xml:space="preserve">  </w:t>
      </w:r>
    </w:p>
    <w:p>
      <w:pPr>
        <w:rPr>
          <w:rFonts w:hint="eastAsia" w:ascii="方正仿宋_GBK" w:hAnsi="仿宋_GB2312" w:eastAsia="方正仿宋_GBK" w:cs="仿宋_GB2312"/>
          <w:b w:val="0"/>
          <w:bCs/>
          <w:sz w:val="32"/>
          <w:lang w:val="en-US" w:eastAsia="zh-CN"/>
        </w:rPr>
      </w:pPr>
      <w:r>
        <w:rPr>
          <w:rFonts w:hint="eastAsia" w:ascii="方正仿宋_GBK" w:hAnsi="仿宋_GB2312" w:eastAsia="方正仿宋_GBK" w:cs="仿宋_GB2312"/>
          <w:b w:val="0"/>
          <w:bCs/>
          <w:sz w:val="32"/>
          <w:lang w:eastAsia="zh-CN"/>
        </w:rPr>
        <w:t>附表：</w:t>
      </w:r>
      <w:r>
        <w:rPr>
          <w:rFonts w:hint="eastAsia" w:ascii="方正仿宋_GBK" w:hAnsi="仿宋_GB2312" w:eastAsia="方正仿宋_GBK" w:cs="仿宋_GB2312"/>
          <w:b w:val="0"/>
          <w:bCs/>
          <w:sz w:val="32"/>
          <w:lang w:val="en-US" w:eastAsia="zh-CN"/>
        </w:rPr>
        <w:t>1、财政拨款收支总表</w:t>
      </w:r>
    </w:p>
    <w:p>
      <w:pPr>
        <w:numPr>
          <w:ilvl w:val="0"/>
          <w:numId w:val="2"/>
        </w:numPr>
        <w:rPr>
          <w:rFonts w:hint="eastAsia" w:ascii="方正仿宋_GBK" w:hAnsi="仿宋_GB2312" w:eastAsia="方正仿宋_GBK" w:cs="仿宋_GB2312"/>
          <w:b w:val="0"/>
          <w:bCs/>
          <w:sz w:val="32"/>
          <w:lang w:val="en-US" w:eastAsia="zh-CN"/>
        </w:rPr>
      </w:pPr>
      <w:r>
        <w:rPr>
          <w:rFonts w:hint="eastAsia" w:ascii="方正仿宋_GBK" w:hAnsi="仿宋_GB2312" w:eastAsia="方正仿宋_GBK" w:cs="仿宋_GB2312"/>
          <w:b w:val="0"/>
          <w:bCs/>
          <w:sz w:val="32"/>
          <w:lang w:val="en-US" w:eastAsia="zh-CN"/>
        </w:rPr>
        <w:t>一般公共预算财政拨款支出预算表</w:t>
      </w:r>
    </w:p>
    <w:p>
      <w:pPr>
        <w:numPr>
          <w:ilvl w:val="0"/>
          <w:numId w:val="2"/>
        </w:numPr>
        <w:rPr>
          <w:rFonts w:hint="eastAsia" w:ascii="方正仿宋_GBK" w:hAnsi="仿宋_GB2312" w:eastAsia="方正仿宋_GBK" w:cs="仿宋_GB2312"/>
          <w:b w:val="0"/>
          <w:bCs/>
          <w:sz w:val="32"/>
          <w:lang w:val="en-US" w:eastAsia="zh-CN"/>
        </w:rPr>
      </w:pPr>
      <w:r>
        <w:rPr>
          <w:rFonts w:hint="eastAsia" w:ascii="方正仿宋_GBK" w:hAnsi="仿宋_GB2312" w:eastAsia="方正仿宋_GBK" w:cs="仿宋_GB2312"/>
          <w:b w:val="0"/>
          <w:bCs/>
          <w:sz w:val="32"/>
          <w:lang w:val="en-US" w:eastAsia="zh-CN"/>
        </w:rPr>
        <w:t>一般公共预算财政拨款基本支出预算表</w:t>
      </w:r>
    </w:p>
    <w:p>
      <w:pPr>
        <w:numPr>
          <w:ilvl w:val="0"/>
          <w:numId w:val="2"/>
        </w:numPr>
        <w:rPr>
          <w:rFonts w:hint="eastAsia" w:ascii="方正仿宋_GBK" w:hAnsi="仿宋_GB2312" w:eastAsia="方正仿宋_GBK" w:cs="仿宋_GB2312"/>
          <w:b w:val="0"/>
          <w:bCs/>
          <w:sz w:val="32"/>
          <w:lang w:val="en-US" w:eastAsia="zh-CN"/>
        </w:rPr>
      </w:pPr>
      <w:r>
        <w:rPr>
          <w:rFonts w:hint="eastAsia" w:ascii="方正仿宋_GBK" w:hAnsi="仿宋_GB2312" w:eastAsia="方正仿宋_GBK" w:cs="仿宋_GB2312"/>
          <w:b w:val="0"/>
          <w:bCs/>
          <w:sz w:val="32"/>
          <w:lang w:val="en-US" w:eastAsia="zh-CN"/>
        </w:rPr>
        <w:t>一般公共预算三公经费支出表</w:t>
      </w:r>
    </w:p>
    <w:p>
      <w:pPr>
        <w:numPr>
          <w:ilvl w:val="0"/>
          <w:numId w:val="2"/>
        </w:numPr>
        <w:rPr>
          <w:rFonts w:hint="eastAsia" w:ascii="方正仿宋_GBK" w:hAnsi="仿宋_GB2312" w:eastAsia="方正仿宋_GBK" w:cs="仿宋_GB2312"/>
          <w:b w:val="0"/>
          <w:bCs/>
          <w:sz w:val="32"/>
          <w:lang w:val="en-US" w:eastAsia="zh-CN"/>
        </w:rPr>
      </w:pPr>
      <w:r>
        <w:rPr>
          <w:rFonts w:hint="eastAsia" w:ascii="方正仿宋_GBK" w:hAnsi="仿宋_GB2312" w:eastAsia="方正仿宋_GBK" w:cs="仿宋_GB2312"/>
          <w:b w:val="0"/>
          <w:bCs/>
          <w:sz w:val="32"/>
          <w:lang w:val="en-US" w:eastAsia="zh-CN"/>
        </w:rPr>
        <w:t>政府性基金预算支出表</w:t>
      </w:r>
    </w:p>
    <w:p>
      <w:pPr>
        <w:numPr>
          <w:ilvl w:val="0"/>
          <w:numId w:val="2"/>
        </w:numPr>
        <w:rPr>
          <w:rFonts w:hint="eastAsia" w:ascii="方正仿宋_GBK" w:hAnsi="仿宋_GB2312" w:eastAsia="方正仿宋_GBK" w:cs="仿宋_GB2312"/>
          <w:b w:val="0"/>
          <w:bCs/>
          <w:sz w:val="32"/>
          <w:lang w:val="en-US" w:eastAsia="zh-CN"/>
        </w:rPr>
      </w:pPr>
      <w:r>
        <w:rPr>
          <w:rFonts w:hint="eastAsia" w:ascii="方正仿宋_GBK" w:hAnsi="仿宋_GB2312" w:eastAsia="方正仿宋_GBK" w:cs="仿宋_GB2312"/>
          <w:b w:val="0"/>
          <w:bCs/>
          <w:sz w:val="32"/>
          <w:lang w:val="en-US" w:eastAsia="zh-CN"/>
        </w:rPr>
        <w:t>部门收支总表</w:t>
      </w:r>
    </w:p>
    <w:p>
      <w:pPr>
        <w:numPr>
          <w:ilvl w:val="0"/>
          <w:numId w:val="2"/>
        </w:numPr>
        <w:rPr>
          <w:rFonts w:hint="eastAsia" w:ascii="方正仿宋_GBK" w:hAnsi="仿宋_GB2312" w:eastAsia="方正仿宋_GBK" w:cs="仿宋_GB2312"/>
          <w:b w:val="0"/>
          <w:bCs/>
          <w:sz w:val="32"/>
          <w:lang w:val="en-US" w:eastAsia="zh-CN"/>
        </w:rPr>
      </w:pPr>
      <w:r>
        <w:rPr>
          <w:rFonts w:hint="eastAsia" w:ascii="方正仿宋_GBK" w:hAnsi="仿宋_GB2312" w:eastAsia="方正仿宋_GBK" w:cs="仿宋_GB2312"/>
          <w:b w:val="0"/>
          <w:bCs/>
          <w:sz w:val="32"/>
          <w:lang w:val="en-US" w:eastAsia="zh-CN"/>
        </w:rPr>
        <w:t>部门收入总表</w:t>
      </w:r>
    </w:p>
    <w:p>
      <w:pPr>
        <w:numPr>
          <w:ilvl w:val="0"/>
          <w:numId w:val="2"/>
        </w:numPr>
        <w:rPr>
          <w:rFonts w:hint="eastAsia" w:ascii="方正仿宋_GBK" w:hAnsi="仿宋_GB2312" w:eastAsia="方正仿宋_GBK" w:cs="仿宋_GB2312"/>
          <w:b w:val="0"/>
          <w:bCs/>
          <w:sz w:val="32"/>
          <w:lang w:val="en-US" w:eastAsia="zh-CN"/>
        </w:rPr>
      </w:pPr>
      <w:r>
        <w:rPr>
          <w:rFonts w:hint="eastAsia" w:ascii="方正仿宋_GBK" w:hAnsi="仿宋_GB2312" w:eastAsia="方正仿宋_GBK" w:cs="仿宋_GB2312"/>
          <w:b w:val="0"/>
          <w:bCs/>
          <w:sz w:val="32"/>
          <w:lang w:val="en-US" w:eastAsia="zh-CN"/>
        </w:rPr>
        <w:t>部门支出总表</w:t>
      </w:r>
    </w:p>
    <w:p>
      <w:pPr>
        <w:numPr>
          <w:ilvl w:val="0"/>
          <w:numId w:val="2"/>
        </w:numPr>
        <w:rPr>
          <w:rFonts w:hint="eastAsia" w:ascii="方正仿宋_GBK" w:hAnsi="仿宋_GB2312" w:eastAsia="方正仿宋_GBK" w:cs="仿宋_GB2312"/>
          <w:b w:val="0"/>
          <w:bCs/>
          <w:sz w:val="32"/>
          <w:lang w:val="en-US" w:eastAsia="zh-CN"/>
        </w:rPr>
      </w:pPr>
      <w:r>
        <w:rPr>
          <w:rFonts w:hint="eastAsia" w:ascii="方正仿宋_GBK" w:hAnsi="仿宋_GB2312" w:eastAsia="方正仿宋_GBK" w:cs="仿宋_GB2312"/>
          <w:b w:val="0"/>
          <w:bCs/>
          <w:sz w:val="32"/>
          <w:lang w:val="en-US" w:eastAsia="zh-CN"/>
        </w:rPr>
        <w:t>政府采购预算明细表</w:t>
      </w:r>
    </w:p>
    <w:p>
      <w:pPr>
        <w:numPr>
          <w:ilvl w:val="0"/>
          <w:numId w:val="2"/>
        </w:numPr>
        <w:rPr>
          <w:rFonts w:hint="eastAsia" w:ascii="方正仿宋_GBK" w:hAnsi="仿宋_GB2312" w:eastAsia="方正仿宋_GBK" w:cs="仿宋_GB2312"/>
          <w:b w:val="0"/>
          <w:bCs/>
          <w:sz w:val="32"/>
          <w:lang w:val="en-US" w:eastAsia="zh-CN"/>
        </w:rPr>
      </w:pPr>
      <w:r>
        <w:rPr>
          <w:rFonts w:hint="eastAsia" w:ascii="方正仿宋_GBK" w:hAnsi="仿宋_GB2312" w:eastAsia="方正仿宋_GBK" w:cs="仿宋_GB2312"/>
          <w:b w:val="0"/>
          <w:bCs/>
          <w:sz w:val="32"/>
          <w:lang w:val="en-US" w:eastAsia="zh-CN"/>
        </w:rPr>
        <w:t>2022年部门整体绩效目标表</w:t>
      </w:r>
    </w:p>
    <w:p>
      <w:pPr>
        <w:numPr>
          <w:ilvl w:val="0"/>
          <w:numId w:val="2"/>
        </w:numPr>
        <w:rPr>
          <w:rFonts w:hint="eastAsia" w:ascii="方正仿宋_GBK" w:hAnsi="仿宋_GB2312" w:eastAsia="方正仿宋_GBK" w:cs="仿宋_GB2312"/>
          <w:b w:val="0"/>
          <w:bCs/>
          <w:sz w:val="32"/>
          <w:lang w:val="en-US" w:eastAsia="zh-CN"/>
        </w:rPr>
      </w:pPr>
      <w:r>
        <w:rPr>
          <w:rFonts w:hint="eastAsia" w:ascii="方正仿宋_GBK" w:hAnsi="仿宋_GB2312" w:eastAsia="方正仿宋_GBK" w:cs="仿宋_GB2312"/>
          <w:b w:val="0"/>
          <w:bCs/>
          <w:sz w:val="32"/>
          <w:lang w:val="en-US" w:eastAsia="zh-CN"/>
        </w:rPr>
        <w:t>2022年部门项目绩效目标表</w:t>
      </w:r>
    </w:p>
    <w:p>
      <w:pPr>
        <w:numPr>
          <w:ilvl w:val="0"/>
          <w:numId w:val="0"/>
        </w:numPr>
        <w:rPr>
          <w:rFonts w:hint="eastAsia" w:ascii="方正仿宋_GBK" w:hAnsi="仿宋_GB2312" w:eastAsia="方正仿宋_GBK" w:cs="仿宋_GB2312"/>
          <w:b w:val="0"/>
          <w:bCs/>
          <w:sz w:val="32"/>
          <w:lang w:val="en-US" w:eastAsia="zh-CN"/>
        </w:rPr>
      </w:pPr>
    </w:p>
    <w:p>
      <w:pPr>
        <w:numPr>
          <w:ilvl w:val="0"/>
          <w:numId w:val="0"/>
        </w:numPr>
        <w:rPr>
          <w:rFonts w:hint="eastAsia" w:ascii="方正仿宋_GBK" w:hAnsi="仿宋_GB2312" w:eastAsia="方正仿宋_GBK" w:cs="仿宋_GB2312"/>
          <w:b w:val="0"/>
          <w:bCs/>
          <w:sz w:val="32"/>
          <w:lang w:val="en-US" w:eastAsia="zh-CN"/>
        </w:rPr>
      </w:pPr>
    </w:p>
    <w:p>
      <w:pPr>
        <w:numPr>
          <w:ilvl w:val="0"/>
          <w:numId w:val="0"/>
        </w:numPr>
        <w:rPr>
          <w:rFonts w:hint="eastAsia" w:ascii="方正仿宋_GBK" w:hAnsi="仿宋_GB2312" w:eastAsia="方正仿宋_GBK" w:cs="仿宋_GB2312"/>
          <w:b w:val="0"/>
          <w:bCs/>
          <w:sz w:val="32"/>
          <w:lang w:val="en-US" w:eastAsia="zh-CN"/>
        </w:rPr>
      </w:pPr>
    </w:p>
    <w:p>
      <w:pPr>
        <w:numPr>
          <w:ilvl w:val="0"/>
          <w:numId w:val="0"/>
        </w:numPr>
        <w:rPr>
          <w:rFonts w:hint="eastAsia" w:ascii="方正仿宋_GBK" w:hAnsi="仿宋_GB2312" w:eastAsia="方正仿宋_GBK" w:cs="仿宋_GB2312"/>
          <w:b w:val="0"/>
          <w:bCs/>
          <w:sz w:val="32"/>
          <w:lang w:val="en-US" w:eastAsia="zh-CN"/>
        </w:rPr>
      </w:pPr>
    </w:p>
    <w:p>
      <w:pPr>
        <w:numPr>
          <w:ilvl w:val="0"/>
          <w:numId w:val="0"/>
        </w:numPr>
        <w:rPr>
          <w:rFonts w:hint="eastAsia" w:ascii="方正仿宋_GBK" w:hAnsi="仿宋_GB2312" w:eastAsia="方正仿宋_GBK" w:cs="仿宋_GB2312"/>
          <w:b w:val="0"/>
          <w:bCs/>
          <w:sz w:val="32"/>
          <w:lang w:val="en-US" w:eastAsia="zh-CN"/>
        </w:rPr>
      </w:pPr>
    </w:p>
    <w:p>
      <w:pPr>
        <w:numPr>
          <w:ilvl w:val="0"/>
          <w:numId w:val="0"/>
        </w:numPr>
        <w:rPr>
          <w:rFonts w:hint="eastAsia" w:ascii="方正仿宋_GBK" w:hAnsi="仿宋_GB2312" w:eastAsia="方正仿宋_GBK" w:cs="仿宋_GB2312"/>
          <w:b w:val="0"/>
          <w:bCs/>
          <w:sz w:val="32"/>
          <w:lang w:val="en-US" w:eastAsia="zh-CN"/>
        </w:rPr>
      </w:pPr>
    </w:p>
    <w:p>
      <w:pPr>
        <w:numPr>
          <w:ilvl w:val="0"/>
          <w:numId w:val="0"/>
        </w:numPr>
        <w:rPr>
          <w:rFonts w:hint="eastAsia" w:ascii="方正仿宋_GBK" w:hAnsi="仿宋_GB2312" w:eastAsia="方正仿宋_GBK" w:cs="仿宋_GB2312"/>
          <w:b w:val="0"/>
          <w:bCs/>
          <w:sz w:val="32"/>
          <w:lang w:val="en-US" w:eastAsia="zh-CN"/>
        </w:rPr>
      </w:pPr>
    </w:p>
    <w:p>
      <w:pPr>
        <w:numPr>
          <w:ilvl w:val="0"/>
          <w:numId w:val="0"/>
        </w:numPr>
        <w:rPr>
          <w:rFonts w:hint="eastAsia" w:ascii="方正仿宋_GBK" w:hAnsi="仿宋_GB2312" w:eastAsia="方正仿宋_GBK" w:cs="仿宋_GB2312"/>
          <w:b w:val="0"/>
          <w:bCs/>
          <w:sz w:val="32"/>
          <w:lang w:val="en-US" w:eastAsia="zh-CN"/>
        </w:rPr>
      </w:pPr>
    </w:p>
    <w:p>
      <w:pPr>
        <w:numPr>
          <w:ilvl w:val="0"/>
          <w:numId w:val="0"/>
        </w:numPr>
        <w:rPr>
          <w:rFonts w:hint="eastAsia" w:ascii="方正仿宋_GBK" w:hAnsi="仿宋_GB2312" w:eastAsia="方正仿宋_GBK" w:cs="仿宋_GB2312"/>
          <w:b w:val="0"/>
          <w:bCs/>
          <w:sz w:val="32"/>
          <w:lang w:val="en-US" w:eastAsia="zh-CN"/>
        </w:rPr>
      </w:pPr>
    </w:p>
    <w:p>
      <w:pPr>
        <w:numPr>
          <w:ilvl w:val="0"/>
          <w:numId w:val="0"/>
        </w:numPr>
        <w:rPr>
          <w:rFonts w:hint="eastAsia" w:ascii="方正仿宋_GBK" w:hAnsi="仿宋_GB2312" w:eastAsia="方正仿宋_GBK" w:cs="仿宋_GB2312"/>
          <w:b w:val="0"/>
          <w:bCs/>
          <w:sz w:val="32"/>
          <w:lang w:val="en-US" w:eastAsia="zh-CN"/>
        </w:rPr>
      </w:pPr>
    </w:p>
    <w:p>
      <w:pPr>
        <w:numPr>
          <w:ilvl w:val="0"/>
          <w:numId w:val="0"/>
        </w:numPr>
        <w:rPr>
          <w:rFonts w:hint="eastAsia" w:ascii="方正仿宋_GBK" w:hAnsi="仿宋_GB2312" w:eastAsia="方正仿宋_GBK" w:cs="仿宋_GB2312"/>
          <w:b w:val="0"/>
          <w:bCs/>
          <w:sz w:val="32"/>
          <w:lang w:val="en-US" w:eastAsia="zh-CN"/>
        </w:rPr>
      </w:pPr>
    </w:p>
    <w:p>
      <w:pPr>
        <w:numPr>
          <w:ilvl w:val="0"/>
          <w:numId w:val="0"/>
        </w:numPr>
        <w:rPr>
          <w:rFonts w:hint="eastAsia" w:ascii="方正仿宋_GBK" w:hAnsi="仿宋_GB2312" w:eastAsia="方正仿宋_GBK" w:cs="仿宋_GB2312"/>
          <w:b w:val="0"/>
          <w:bCs/>
          <w:sz w:val="32"/>
          <w:lang w:val="en-US" w:eastAsia="zh-CN"/>
        </w:rPr>
      </w:pPr>
    </w:p>
    <w:p>
      <w:pPr>
        <w:numPr>
          <w:ilvl w:val="0"/>
          <w:numId w:val="0"/>
        </w:numPr>
        <w:rPr>
          <w:rFonts w:hint="eastAsia" w:ascii="方正仿宋_GBK" w:hAnsi="仿宋_GB2312" w:eastAsia="方正仿宋_GBK" w:cs="仿宋_GB2312"/>
          <w:b w:val="0"/>
          <w:bCs/>
          <w:sz w:val="32"/>
          <w:lang w:val="en-US" w:eastAsia="zh-CN"/>
        </w:rPr>
      </w:pPr>
    </w:p>
    <w:p>
      <w:pPr>
        <w:numPr>
          <w:ilvl w:val="0"/>
          <w:numId w:val="0"/>
        </w:numPr>
        <w:rPr>
          <w:rFonts w:hint="eastAsia" w:ascii="方正仿宋_GBK" w:hAnsi="仿宋_GB2312" w:eastAsia="方正仿宋_GBK" w:cs="仿宋_GB2312"/>
          <w:b w:val="0"/>
          <w:bCs/>
          <w:sz w:val="32"/>
          <w:lang w:val="en-US" w:eastAsia="zh-CN"/>
        </w:rPr>
      </w:pPr>
    </w:p>
    <w:p>
      <w:pPr>
        <w:keepNext w:val="0"/>
        <w:keepLines w:val="0"/>
        <w:widowControl/>
        <w:suppressLineNumbers w:val="0"/>
        <w:jc w:val="left"/>
        <w:textAlignment w:val="center"/>
        <w:rPr>
          <w:rFonts w:hint="eastAsia" w:ascii="方正楷体_GBK" w:hAnsi="方正楷体_GBK" w:eastAsia="方正楷体_GBK" w:cs="方正楷体_GBK"/>
          <w:i w:val="0"/>
          <w:color w:val="000000"/>
          <w:kern w:val="0"/>
          <w:sz w:val="20"/>
          <w:szCs w:val="20"/>
          <w:u w:val="none"/>
          <w:lang w:val="en-US" w:eastAsia="zh-CN" w:bidi="ar"/>
        </w:rPr>
        <w:sectPr>
          <w:pgSz w:w="11906" w:h="16838"/>
          <w:pgMar w:top="1440" w:right="1440" w:bottom="1440" w:left="1440" w:header="851" w:footer="992" w:gutter="0"/>
          <w:cols w:space="720" w:num="1"/>
          <w:docGrid w:type="lines" w:linePitch="312" w:charSpace="0"/>
        </w:sectPr>
      </w:pPr>
    </w:p>
    <w:p>
      <w:pPr>
        <w:numPr>
          <w:ilvl w:val="0"/>
          <w:numId w:val="0"/>
        </w:numPr>
        <w:rPr>
          <w:rFonts w:hint="eastAsia" w:ascii="方正仿宋_GBK" w:hAnsi="仿宋_GB2312" w:eastAsia="方正仿宋_GBK" w:cs="仿宋_GB2312"/>
          <w:b w:val="0"/>
          <w:bCs/>
          <w:sz w:val="32"/>
          <w:lang w:val="en-US" w:eastAsia="zh-CN"/>
        </w:rPr>
        <w:sectPr>
          <w:pgSz w:w="16838" w:h="11906" w:orient="landscape"/>
          <w:pgMar w:top="1440" w:right="1440" w:bottom="1440" w:left="1440" w:header="851" w:footer="992" w:gutter="0"/>
          <w:cols w:space="0" w:num="1"/>
          <w:rtlGutter w:val="0"/>
          <w:docGrid w:type="lines" w:linePitch="312" w:charSpace="0"/>
        </w:sectPr>
      </w:pPr>
      <w:r>
        <w:drawing>
          <wp:inline distT="0" distB="0" distL="114300" distR="114300">
            <wp:extent cx="8855710" cy="5231765"/>
            <wp:effectExtent l="0" t="0" r="2540" b="6985"/>
            <wp:docPr id="20"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true"/>
                    </pic:cNvPicPr>
                  </pic:nvPicPr>
                  <pic:blipFill>
                    <a:blip r:embed="rId4"/>
                    <a:stretch>
                      <a:fillRect/>
                    </a:stretch>
                  </pic:blipFill>
                  <pic:spPr>
                    <a:xfrm>
                      <a:off x="0" y="0"/>
                      <a:ext cx="8855710" cy="5231765"/>
                    </a:xfrm>
                    <a:prstGeom prst="rect">
                      <a:avLst/>
                    </a:prstGeom>
                    <a:noFill/>
                    <a:ln w="9525">
                      <a:noFill/>
                    </a:ln>
                  </pic:spPr>
                </pic:pic>
              </a:graphicData>
            </a:graphic>
          </wp:inline>
        </w:drawing>
      </w:r>
    </w:p>
    <w:p>
      <w:pPr>
        <w:numPr>
          <w:ilvl w:val="0"/>
          <w:numId w:val="0"/>
        </w:numPr>
      </w:pPr>
      <w:r>
        <w:drawing>
          <wp:inline distT="0" distB="0" distL="114300" distR="114300">
            <wp:extent cx="5728970" cy="8580755"/>
            <wp:effectExtent l="0" t="0" r="5080" b="10795"/>
            <wp:docPr id="5"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true"/>
                    </pic:cNvPicPr>
                  </pic:nvPicPr>
                  <pic:blipFill>
                    <a:blip r:embed="rId5"/>
                    <a:stretch>
                      <a:fillRect/>
                    </a:stretch>
                  </pic:blipFill>
                  <pic:spPr>
                    <a:xfrm>
                      <a:off x="0" y="0"/>
                      <a:ext cx="5728970" cy="8580755"/>
                    </a:xfrm>
                    <a:prstGeom prst="rect">
                      <a:avLst/>
                    </a:prstGeom>
                    <a:noFill/>
                    <a:ln w="9525">
                      <a:noFill/>
                    </a:ln>
                  </pic:spPr>
                </pic:pic>
              </a:graphicData>
            </a:graphic>
          </wp:inline>
        </w:drawing>
      </w:r>
    </w:p>
    <w:p>
      <w:pPr>
        <w:numPr>
          <w:ilvl w:val="0"/>
          <w:numId w:val="0"/>
        </w:numPr>
      </w:pPr>
      <w:r>
        <w:drawing>
          <wp:inline distT="0" distB="0" distL="114300" distR="114300">
            <wp:extent cx="5727700" cy="8520430"/>
            <wp:effectExtent l="0" t="0" r="6350" b="13970"/>
            <wp:docPr id="6"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true"/>
                    </pic:cNvPicPr>
                  </pic:nvPicPr>
                  <pic:blipFill>
                    <a:blip r:embed="rId6"/>
                    <a:stretch>
                      <a:fillRect/>
                    </a:stretch>
                  </pic:blipFill>
                  <pic:spPr>
                    <a:xfrm>
                      <a:off x="0" y="0"/>
                      <a:ext cx="5727700" cy="8520430"/>
                    </a:xfrm>
                    <a:prstGeom prst="rect">
                      <a:avLst/>
                    </a:prstGeom>
                    <a:noFill/>
                    <a:ln w="9525">
                      <a:noFill/>
                    </a:ln>
                  </pic:spPr>
                </pic:pic>
              </a:graphicData>
            </a:graphic>
          </wp:inline>
        </w:drawing>
      </w:r>
    </w:p>
    <w:p>
      <w:pPr>
        <w:numPr>
          <w:ilvl w:val="0"/>
          <w:numId w:val="0"/>
        </w:numPr>
      </w:pPr>
      <w:r>
        <w:drawing>
          <wp:inline distT="0" distB="0" distL="114300" distR="114300">
            <wp:extent cx="5725795" cy="3357245"/>
            <wp:effectExtent l="0" t="0" r="8255" b="14605"/>
            <wp:docPr id="7"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true"/>
                    </pic:cNvPicPr>
                  </pic:nvPicPr>
                  <pic:blipFill>
                    <a:blip r:embed="rId7"/>
                    <a:stretch>
                      <a:fillRect/>
                    </a:stretch>
                  </pic:blipFill>
                  <pic:spPr>
                    <a:xfrm>
                      <a:off x="0" y="0"/>
                      <a:ext cx="5725795" cy="3357245"/>
                    </a:xfrm>
                    <a:prstGeom prst="rect">
                      <a:avLst/>
                    </a:prstGeom>
                    <a:noFill/>
                    <a:ln w="9525">
                      <a:noFill/>
                    </a:ln>
                  </pic:spPr>
                </pic:pic>
              </a:graphicData>
            </a:graphic>
          </wp:inline>
        </w:drawing>
      </w:r>
    </w:p>
    <w:p>
      <w:pPr>
        <w:numPr>
          <w:ilvl w:val="0"/>
          <w:numId w:val="0"/>
        </w:numPr>
      </w:pPr>
    </w:p>
    <w:p>
      <w:pPr>
        <w:numPr>
          <w:ilvl w:val="0"/>
          <w:numId w:val="0"/>
        </w:numPr>
      </w:pPr>
    </w:p>
    <w:p>
      <w:pPr>
        <w:numPr>
          <w:ilvl w:val="0"/>
          <w:numId w:val="0"/>
        </w:numPr>
      </w:pPr>
    </w:p>
    <w:p>
      <w:pPr>
        <w:numPr>
          <w:ilvl w:val="0"/>
          <w:numId w:val="0"/>
        </w:numPr>
      </w:pPr>
    </w:p>
    <w:p>
      <w:pPr>
        <w:numPr>
          <w:ilvl w:val="0"/>
          <w:numId w:val="0"/>
        </w:numPr>
      </w:pPr>
    </w:p>
    <w:p>
      <w:pPr>
        <w:numPr>
          <w:ilvl w:val="0"/>
          <w:numId w:val="0"/>
        </w:numPr>
      </w:pPr>
      <w:r>
        <w:drawing>
          <wp:inline distT="0" distB="0" distL="114300" distR="114300">
            <wp:extent cx="5728970" cy="4042410"/>
            <wp:effectExtent l="0" t="0" r="5080" b="15240"/>
            <wp:docPr id="8"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true"/>
                    </pic:cNvPicPr>
                  </pic:nvPicPr>
                  <pic:blipFill>
                    <a:blip r:embed="rId8"/>
                    <a:stretch>
                      <a:fillRect/>
                    </a:stretch>
                  </pic:blipFill>
                  <pic:spPr>
                    <a:xfrm>
                      <a:off x="0" y="0"/>
                      <a:ext cx="5728970" cy="4042410"/>
                    </a:xfrm>
                    <a:prstGeom prst="rect">
                      <a:avLst/>
                    </a:prstGeom>
                    <a:noFill/>
                    <a:ln w="9525">
                      <a:noFill/>
                    </a:ln>
                  </pic:spPr>
                </pic:pic>
              </a:graphicData>
            </a:graphic>
          </wp:inline>
        </w:drawing>
      </w:r>
    </w:p>
    <w:p>
      <w:pPr>
        <w:numPr>
          <w:ilvl w:val="0"/>
          <w:numId w:val="0"/>
        </w:numPr>
      </w:pPr>
      <w:r>
        <w:drawing>
          <wp:inline distT="0" distB="0" distL="114300" distR="114300">
            <wp:extent cx="5730875" cy="8089265"/>
            <wp:effectExtent l="0" t="0" r="3175" b="6985"/>
            <wp:docPr id="9" name="图片 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true"/>
                    </pic:cNvPicPr>
                  </pic:nvPicPr>
                  <pic:blipFill>
                    <a:blip r:embed="rId9"/>
                    <a:stretch>
                      <a:fillRect/>
                    </a:stretch>
                  </pic:blipFill>
                  <pic:spPr>
                    <a:xfrm>
                      <a:off x="0" y="0"/>
                      <a:ext cx="5730875" cy="8089265"/>
                    </a:xfrm>
                    <a:prstGeom prst="rect">
                      <a:avLst/>
                    </a:prstGeom>
                    <a:noFill/>
                    <a:ln w="9525">
                      <a:noFill/>
                    </a:ln>
                  </pic:spPr>
                </pic:pic>
              </a:graphicData>
            </a:graphic>
          </wp:inline>
        </w:drawing>
      </w:r>
    </w:p>
    <w:p>
      <w:pPr>
        <w:numPr>
          <w:ilvl w:val="0"/>
          <w:numId w:val="0"/>
        </w:numPr>
      </w:pPr>
    </w:p>
    <w:p>
      <w:pPr>
        <w:numPr>
          <w:ilvl w:val="0"/>
          <w:numId w:val="0"/>
        </w:numPr>
      </w:pPr>
    </w:p>
    <w:p>
      <w:pPr>
        <w:numPr>
          <w:ilvl w:val="0"/>
          <w:numId w:val="0"/>
        </w:numPr>
      </w:pPr>
    </w:p>
    <w:p>
      <w:pPr>
        <w:numPr>
          <w:ilvl w:val="0"/>
          <w:numId w:val="0"/>
        </w:numPr>
      </w:pPr>
      <w:r>
        <w:drawing>
          <wp:inline distT="0" distB="0" distL="114300" distR="114300">
            <wp:extent cx="5729605" cy="8501380"/>
            <wp:effectExtent l="0" t="0" r="4445" b="13970"/>
            <wp:docPr id="10" name="图片 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true"/>
                    </pic:cNvPicPr>
                  </pic:nvPicPr>
                  <pic:blipFill>
                    <a:blip r:embed="rId10"/>
                    <a:stretch>
                      <a:fillRect/>
                    </a:stretch>
                  </pic:blipFill>
                  <pic:spPr>
                    <a:xfrm>
                      <a:off x="0" y="0"/>
                      <a:ext cx="5729605" cy="8501380"/>
                    </a:xfrm>
                    <a:prstGeom prst="rect">
                      <a:avLst/>
                    </a:prstGeom>
                    <a:noFill/>
                    <a:ln w="9525">
                      <a:noFill/>
                    </a:ln>
                  </pic:spPr>
                </pic:pic>
              </a:graphicData>
            </a:graphic>
          </wp:inline>
        </w:drawing>
      </w:r>
    </w:p>
    <w:p>
      <w:pPr>
        <w:numPr>
          <w:ilvl w:val="0"/>
          <w:numId w:val="0"/>
        </w:numPr>
      </w:pPr>
    </w:p>
    <w:p>
      <w:pPr>
        <w:numPr>
          <w:ilvl w:val="0"/>
          <w:numId w:val="0"/>
        </w:numPr>
      </w:pPr>
      <w:r>
        <w:drawing>
          <wp:inline distT="0" distB="0" distL="114300" distR="114300">
            <wp:extent cx="5726430" cy="8526145"/>
            <wp:effectExtent l="0" t="0" r="7620" b="8255"/>
            <wp:docPr id="11" name="图片 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true"/>
                    </pic:cNvPicPr>
                  </pic:nvPicPr>
                  <pic:blipFill>
                    <a:blip r:embed="rId11"/>
                    <a:stretch>
                      <a:fillRect/>
                    </a:stretch>
                  </pic:blipFill>
                  <pic:spPr>
                    <a:xfrm>
                      <a:off x="0" y="0"/>
                      <a:ext cx="5726430" cy="8526145"/>
                    </a:xfrm>
                    <a:prstGeom prst="rect">
                      <a:avLst/>
                    </a:prstGeom>
                    <a:noFill/>
                    <a:ln w="9525">
                      <a:noFill/>
                    </a:ln>
                  </pic:spPr>
                </pic:pic>
              </a:graphicData>
            </a:graphic>
          </wp:inline>
        </w:drawing>
      </w:r>
    </w:p>
    <w:p>
      <w:pPr>
        <w:numPr>
          <w:ilvl w:val="0"/>
          <w:numId w:val="0"/>
        </w:numPr>
      </w:pPr>
      <w:r>
        <w:drawing>
          <wp:inline distT="0" distB="0" distL="114300" distR="114300">
            <wp:extent cx="5730240" cy="1708785"/>
            <wp:effectExtent l="0" t="0" r="3810" b="5715"/>
            <wp:docPr id="12" name="图片 1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true"/>
                    </pic:cNvPicPr>
                  </pic:nvPicPr>
                  <pic:blipFill>
                    <a:blip r:embed="rId12"/>
                    <a:stretch>
                      <a:fillRect/>
                    </a:stretch>
                  </pic:blipFill>
                  <pic:spPr>
                    <a:xfrm>
                      <a:off x="0" y="0"/>
                      <a:ext cx="5730240" cy="1708785"/>
                    </a:xfrm>
                    <a:prstGeom prst="rect">
                      <a:avLst/>
                    </a:prstGeom>
                    <a:noFill/>
                    <a:ln w="9525">
                      <a:noFill/>
                    </a:ln>
                  </pic:spPr>
                </pic:pic>
              </a:graphicData>
            </a:graphic>
          </wp:inline>
        </w:drawing>
      </w:r>
    </w:p>
    <w:p>
      <w:pPr>
        <w:numPr>
          <w:ilvl w:val="0"/>
          <w:numId w:val="0"/>
        </w:numPr>
      </w:pPr>
      <w:r>
        <w:drawing>
          <wp:inline distT="0" distB="0" distL="114300" distR="114300">
            <wp:extent cx="5724525" cy="6683375"/>
            <wp:effectExtent l="0" t="0" r="9525" b="3175"/>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13"/>
                    <a:stretch>
                      <a:fillRect/>
                    </a:stretch>
                  </pic:blipFill>
                  <pic:spPr>
                    <a:xfrm>
                      <a:off x="0" y="0"/>
                      <a:ext cx="5724525" cy="6683375"/>
                    </a:xfrm>
                    <a:prstGeom prst="rect">
                      <a:avLst/>
                    </a:prstGeom>
                    <a:noFill/>
                    <a:ln w="9525">
                      <a:noFill/>
                    </a:ln>
                  </pic:spPr>
                </pic:pic>
              </a:graphicData>
            </a:graphic>
          </wp:inline>
        </w:drawing>
      </w:r>
    </w:p>
    <w:p>
      <w:pPr>
        <w:numPr>
          <w:ilvl w:val="0"/>
          <w:numId w:val="0"/>
        </w:numPr>
      </w:pPr>
    </w:p>
    <w:p>
      <w:pPr>
        <w:numPr>
          <w:ilvl w:val="0"/>
          <w:numId w:val="0"/>
        </w:numPr>
      </w:pPr>
      <w:r>
        <w:drawing>
          <wp:inline distT="0" distB="0" distL="114300" distR="114300">
            <wp:extent cx="5730240" cy="8345170"/>
            <wp:effectExtent l="0" t="0" r="3810" b="17780"/>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pic:cNvPicPr>
                  </pic:nvPicPr>
                  <pic:blipFill>
                    <a:blip r:embed="rId14"/>
                    <a:stretch>
                      <a:fillRect/>
                    </a:stretch>
                  </pic:blipFill>
                  <pic:spPr>
                    <a:xfrm>
                      <a:off x="0" y="0"/>
                      <a:ext cx="5730240" cy="8345170"/>
                    </a:xfrm>
                    <a:prstGeom prst="rect">
                      <a:avLst/>
                    </a:prstGeom>
                    <a:noFill/>
                    <a:ln w="9525">
                      <a:noFill/>
                    </a:ln>
                  </pic:spPr>
                </pic:pic>
              </a:graphicData>
            </a:graphic>
          </wp:inline>
        </w:drawing>
      </w:r>
    </w:p>
    <w:p>
      <w:pPr>
        <w:numPr>
          <w:ilvl w:val="0"/>
          <w:numId w:val="0"/>
        </w:numPr>
      </w:pPr>
    </w:p>
    <w:p>
      <w:pPr>
        <w:numPr>
          <w:ilvl w:val="0"/>
          <w:numId w:val="0"/>
        </w:numPr>
      </w:pPr>
    </w:p>
    <w:p>
      <w:pPr>
        <w:numPr>
          <w:ilvl w:val="0"/>
          <w:numId w:val="0"/>
        </w:numPr>
      </w:pPr>
      <w:r>
        <w:drawing>
          <wp:inline distT="0" distB="0" distL="114300" distR="114300">
            <wp:extent cx="5730240" cy="8269605"/>
            <wp:effectExtent l="0" t="0" r="3810" b="17145"/>
            <wp:docPr id="3"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true"/>
                    </pic:cNvPicPr>
                  </pic:nvPicPr>
                  <pic:blipFill>
                    <a:blip r:embed="rId15"/>
                    <a:stretch>
                      <a:fillRect/>
                    </a:stretch>
                  </pic:blipFill>
                  <pic:spPr>
                    <a:xfrm>
                      <a:off x="0" y="0"/>
                      <a:ext cx="5730240" cy="8269605"/>
                    </a:xfrm>
                    <a:prstGeom prst="rect">
                      <a:avLst/>
                    </a:prstGeom>
                    <a:noFill/>
                    <a:ln w="9525">
                      <a:noFill/>
                    </a:ln>
                  </pic:spPr>
                </pic:pic>
              </a:graphicData>
            </a:graphic>
          </wp:inline>
        </w:drawing>
      </w:r>
    </w:p>
    <w:p>
      <w:pPr>
        <w:numPr>
          <w:ilvl w:val="0"/>
          <w:numId w:val="0"/>
        </w:numPr>
      </w:pPr>
    </w:p>
    <w:p>
      <w:pPr>
        <w:numPr>
          <w:ilvl w:val="0"/>
          <w:numId w:val="0"/>
        </w:numPr>
      </w:pPr>
    </w:p>
    <w:p>
      <w:pPr>
        <w:numPr>
          <w:ilvl w:val="0"/>
          <w:numId w:val="0"/>
        </w:numPr>
      </w:pPr>
      <w:r>
        <w:drawing>
          <wp:inline distT="0" distB="0" distL="114300" distR="114300">
            <wp:extent cx="5730240" cy="8211820"/>
            <wp:effectExtent l="0" t="0" r="3810" b="17780"/>
            <wp:docPr id="4"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true"/>
                    </pic:cNvPicPr>
                  </pic:nvPicPr>
                  <pic:blipFill>
                    <a:blip r:embed="rId16"/>
                    <a:stretch>
                      <a:fillRect/>
                    </a:stretch>
                  </pic:blipFill>
                  <pic:spPr>
                    <a:xfrm>
                      <a:off x="0" y="0"/>
                      <a:ext cx="5730240" cy="8211820"/>
                    </a:xfrm>
                    <a:prstGeom prst="rect">
                      <a:avLst/>
                    </a:prstGeom>
                    <a:noFill/>
                    <a:ln w="9525">
                      <a:noFill/>
                    </a:ln>
                  </pic:spPr>
                </pic:pic>
              </a:graphicData>
            </a:graphic>
          </wp:inline>
        </w:drawing>
      </w:r>
    </w:p>
    <w:p>
      <w:pPr>
        <w:numPr>
          <w:ilvl w:val="0"/>
          <w:numId w:val="0"/>
        </w:numPr>
      </w:pPr>
    </w:p>
    <w:p>
      <w:pPr>
        <w:numPr>
          <w:ilvl w:val="0"/>
          <w:numId w:val="0"/>
        </w:numPr>
      </w:pPr>
    </w:p>
    <w:p>
      <w:pPr>
        <w:numPr>
          <w:ilvl w:val="0"/>
          <w:numId w:val="0"/>
        </w:numPr>
      </w:pPr>
      <w:r>
        <w:drawing>
          <wp:inline distT="0" distB="0" distL="114300" distR="114300">
            <wp:extent cx="5730240" cy="8322945"/>
            <wp:effectExtent l="0" t="0" r="3810" b="1905"/>
            <wp:docPr id="13"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true"/>
                    </pic:cNvPicPr>
                  </pic:nvPicPr>
                  <pic:blipFill>
                    <a:blip r:embed="rId17"/>
                    <a:stretch>
                      <a:fillRect/>
                    </a:stretch>
                  </pic:blipFill>
                  <pic:spPr>
                    <a:xfrm>
                      <a:off x="0" y="0"/>
                      <a:ext cx="5730240" cy="8322945"/>
                    </a:xfrm>
                    <a:prstGeom prst="rect">
                      <a:avLst/>
                    </a:prstGeom>
                    <a:noFill/>
                    <a:ln w="9525">
                      <a:noFill/>
                    </a:ln>
                  </pic:spPr>
                </pic:pic>
              </a:graphicData>
            </a:graphic>
          </wp:inline>
        </w:drawing>
      </w:r>
    </w:p>
    <w:p>
      <w:pPr>
        <w:numPr>
          <w:ilvl w:val="0"/>
          <w:numId w:val="0"/>
        </w:numPr>
      </w:pPr>
    </w:p>
    <w:p>
      <w:pPr>
        <w:numPr>
          <w:ilvl w:val="0"/>
          <w:numId w:val="0"/>
        </w:numPr>
      </w:pPr>
      <w:r>
        <w:drawing>
          <wp:inline distT="0" distB="0" distL="114300" distR="114300">
            <wp:extent cx="5730240" cy="8533130"/>
            <wp:effectExtent l="0" t="0" r="3810" b="1270"/>
            <wp:docPr id="18" name="图片 1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true"/>
                    </pic:cNvPicPr>
                  </pic:nvPicPr>
                  <pic:blipFill>
                    <a:blip r:embed="rId18"/>
                    <a:stretch>
                      <a:fillRect/>
                    </a:stretch>
                  </pic:blipFill>
                  <pic:spPr>
                    <a:xfrm>
                      <a:off x="0" y="0"/>
                      <a:ext cx="5730240" cy="8533130"/>
                    </a:xfrm>
                    <a:prstGeom prst="rect">
                      <a:avLst/>
                    </a:prstGeom>
                    <a:noFill/>
                    <a:ln w="9525">
                      <a:noFill/>
                    </a:ln>
                  </pic:spPr>
                </pic:pic>
              </a:graphicData>
            </a:graphic>
          </wp:inline>
        </w:drawing>
      </w:r>
    </w:p>
    <w:p>
      <w:pPr>
        <w:numPr>
          <w:ilvl w:val="0"/>
          <w:numId w:val="0"/>
        </w:numPr>
      </w:pPr>
      <w:r>
        <w:drawing>
          <wp:inline distT="0" distB="0" distL="114300" distR="114300">
            <wp:extent cx="5730240" cy="8584565"/>
            <wp:effectExtent l="0" t="0" r="3810" b="6985"/>
            <wp:docPr id="14"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5"/>
                    <pic:cNvPicPr>
                      <a:picLocks noChangeAspect="true"/>
                    </pic:cNvPicPr>
                  </pic:nvPicPr>
                  <pic:blipFill>
                    <a:blip r:embed="rId19"/>
                    <a:stretch>
                      <a:fillRect/>
                    </a:stretch>
                  </pic:blipFill>
                  <pic:spPr>
                    <a:xfrm>
                      <a:off x="0" y="0"/>
                      <a:ext cx="5730240" cy="8584565"/>
                    </a:xfrm>
                    <a:prstGeom prst="rect">
                      <a:avLst/>
                    </a:prstGeom>
                    <a:noFill/>
                    <a:ln w="9525">
                      <a:noFill/>
                    </a:ln>
                  </pic:spPr>
                </pic:pic>
              </a:graphicData>
            </a:graphic>
          </wp:inline>
        </w:drawing>
      </w:r>
    </w:p>
    <w:p>
      <w:pPr>
        <w:numPr>
          <w:ilvl w:val="0"/>
          <w:numId w:val="0"/>
        </w:numPr>
      </w:pPr>
    </w:p>
    <w:p>
      <w:pPr>
        <w:numPr>
          <w:ilvl w:val="0"/>
          <w:numId w:val="0"/>
        </w:numPr>
      </w:pPr>
      <w:r>
        <w:drawing>
          <wp:inline distT="0" distB="0" distL="114300" distR="114300">
            <wp:extent cx="5730240" cy="8405495"/>
            <wp:effectExtent l="0" t="0" r="3810" b="14605"/>
            <wp:docPr id="19" name="图片 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 name="图片 9"/>
                    <pic:cNvPicPr>
                      <a:picLocks noChangeAspect="true"/>
                    </pic:cNvPicPr>
                  </pic:nvPicPr>
                  <pic:blipFill>
                    <a:blip r:embed="rId20"/>
                    <a:stretch>
                      <a:fillRect/>
                    </a:stretch>
                  </pic:blipFill>
                  <pic:spPr>
                    <a:xfrm>
                      <a:off x="0" y="0"/>
                      <a:ext cx="5730240" cy="8405495"/>
                    </a:xfrm>
                    <a:prstGeom prst="rect">
                      <a:avLst/>
                    </a:prstGeom>
                    <a:noFill/>
                    <a:ln w="9525">
                      <a:noFill/>
                    </a:ln>
                  </pic:spPr>
                </pic:pic>
              </a:graphicData>
            </a:graphic>
          </wp:inline>
        </w:drawing>
      </w:r>
    </w:p>
    <w:p>
      <w:pPr>
        <w:numPr>
          <w:ilvl w:val="0"/>
          <w:numId w:val="0"/>
        </w:numPr>
      </w:pPr>
      <w:r>
        <w:drawing>
          <wp:inline distT="0" distB="0" distL="114300" distR="114300">
            <wp:extent cx="5730240" cy="8492490"/>
            <wp:effectExtent l="0" t="0" r="3810" b="3810"/>
            <wp:docPr id="15"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图片 6"/>
                    <pic:cNvPicPr>
                      <a:picLocks noChangeAspect="true"/>
                    </pic:cNvPicPr>
                  </pic:nvPicPr>
                  <pic:blipFill>
                    <a:blip r:embed="rId21"/>
                    <a:stretch>
                      <a:fillRect/>
                    </a:stretch>
                  </pic:blipFill>
                  <pic:spPr>
                    <a:xfrm>
                      <a:off x="0" y="0"/>
                      <a:ext cx="5730240" cy="8492490"/>
                    </a:xfrm>
                    <a:prstGeom prst="rect">
                      <a:avLst/>
                    </a:prstGeom>
                    <a:noFill/>
                    <a:ln w="9525">
                      <a:noFill/>
                    </a:ln>
                  </pic:spPr>
                </pic:pic>
              </a:graphicData>
            </a:graphic>
          </wp:inline>
        </w:drawing>
      </w:r>
    </w:p>
    <w:p>
      <w:pPr>
        <w:numPr>
          <w:ilvl w:val="0"/>
          <w:numId w:val="0"/>
        </w:numPr>
      </w:pPr>
    </w:p>
    <w:p>
      <w:pPr>
        <w:numPr>
          <w:ilvl w:val="0"/>
          <w:numId w:val="0"/>
        </w:numPr>
      </w:pPr>
      <w:r>
        <w:drawing>
          <wp:inline distT="0" distB="0" distL="114300" distR="114300">
            <wp:extent cx="5730240" cy="8532495"/>
            <wp:effectExtent l="0" t="0" r="3810" b="1905"/>
            <wp:docPr id="16"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 name="图片 7"/>
                    <pic:cNvPicPr>
                      <a:picLocks noChangeAspect="true"/>
                    </pic:cNvPicPr>
                  </pic:nvPicPr>
                  <pic:blipFill>
                    <a:blip r:embed="rId22"/>
                    <a:stretch>
                      <a:fillRect/>
                    </a:stretch>
                  </pic:blipFill>
                  <pic:spPr>
                    <a:xfrm>
                      <a:off x="0" y="0"/>
                      <a:ext cx="5730240" cy="8532495"/>
                    </a:xfrm>
                    <a:prstGeom prst="rect">
                      <a:avLst/>
                    </a:prstGeom>
                    <a:noFill/>
                    <a:ln w="9525">
                      <a:noFill/>
                    </a:ln>
                  </pic:spPr>
                </pic:pic>
              </a:graphicData>
            </a:graphic>
          </wp:inline>
        </w:drawing>
      </w:r>
    </w:p>
    <w:p>
      <w:pPr>
        <w:numPr>
          <w:ilvl w:val="0"/>
          <w:numId w:val="0"/>
        </w:numPr>
        <w:rPr>
          <w:rFonts w:hint="eastAsia"/>
        </w:rPr>
      </w:pPr>
      <w:r>
        <w:drawing>
          <wp:inline distT="0" distB="0" distL="114300" distR="114300">
            <wp:extent cx="5730240" cy="8595360"/>
            <wp:effectExtent l="0" t="0" r="3810" b="15240"/>
            <wp:docPr id="17"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 name="图片 8"/>
                    <pic:cNvPicPr>
                      <a:picLocks noChangeAspect="true"/>
                    </pic:cNvPicPr>
                  </pic:nvPicPr>
                  <pic:blipFill>
                    <a:blip r:embed="rId23"/>
                    <a:stretch>
                      <a:fillRect/>
                    </a:stretch>
                  </pic:blipFill>
                  <pic:spPr>
                    <a:xfrm>
                      <a:off x="0" y="0"/>
                      <a:ext cx="5730240" cy="8595360"/>
                    </a:xfrm>
                    <a:prstGeom prst="rect">
                      <a:avLst/>
                    </a:prstGeom>
                    <a:noFill/>
                    <a:ln w="9525">
                      <a:noFill/>
                    </a:ln>
                  </pic:spPr>
                </pic:pic>
              </a:graphicData>
            </a:graphic>
          </wp:inline>
        </w:drawing>
      </w:r>
    </w:p>
    <w:sectPr>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ialog . plain">
    <w:altName w:val="方正书宋_GBK"/>
    <w:panose1 w:val="00000000000000000000"/>
    <w:charset w:val="00"/>
    <w:family w:val="auto"/>
    <w:pitch w:val="default"/>
    <w:sig w:usb0="00000000" w:usb1="00000000" w:usb2="00000000" w:usb3="00000000" w:csb0="00000000" w:csb1="00000000"/>
  </w:font>
  <w:font w:name="华文中宋">
    <w:altName w:val="方正书宋_GBK"/>
    <w:panose1 w:val="02010600040101010101"/>
    <w:charset w:val="86"/>
    <w:family w:val="auto"/>
    <w:pitch w:val="default"/>
    <w:sig w:usb0="00000000" w:usb1="00000000" w:usb2="00000010" w:usb3="00000000" w:csb0="0004009F" w:csb1="00000000"/>
  </w:font>
  <w:font w:name="方正小标宋_GBK">
    <w:panose1 w:val="03000509000000000000"/>
    <w:charset w:val="86"/>
    <w:family w:val="script"/>
    <w:pitch w:val="default"/>
    <w:sig w:usb0="00000001" w:usb1="080E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47F1BC"/>
    <w:multiLevelType w:val="singleLevel"/>
    <w:tmpl w:val="5847F1BC"/>
    <w:lvl w:ilvl="0" w:tentative="0">
      <w:start w:val="1"/>
      <w:numFmt w:val="chineseCounting"/>
      <w:suff w:val="nothing"/>
      <w:lvlText w:val="%1、"/>
      <w:lvlJc w:val="left"/>
    </w:lvl>
  </w:abstractNum>
  <w:abstractNum w:abstractNumId="1">
    <w:nsid w:val="620C9927"/>
    <w:multiLevelType w:val="singleLevel"/>
    <w:tmpl w:val="620C9927"/>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A60FC"/>
    <w:rsid w:val="000C594E"/>
    <w:rsid w:val="000D2E8F"/>
    <w:rsid w:val="000D6437"/>
    <w:rsid w:val="000F1499"/>
    <w:rsid w:val="000F5707"/>
    <w:rsid w:val="0010264D"/>
    <w:rsid w:val="001042A2"/>
    <w:rsid w:val="00106A76"/>
    <w:rsid w:val="00125C07"/>
    <w:rsid w:val="0014404E"/>
    <w:rsid w:val="001525DD"/>
    <w:rsid w:val="00161474"/>
    <w:rsid w:val="00165A74"/>
    <w:rsid w:val="001957F9"/>
    <w:rsid w:val="001C0A7C"/>
    <w:rsid w:val="001C2D94"/>
    <w:rsid w:val="001D0CAA"/>
    <w:rsid w:val="001D4937"/>
    <w:rsid w:val="001E1AED"/>
    <w:rsid w:val="001E31D9"/>
    <w:rsid w:val="00202E0A"/>
    <w:rsid w:val="002132E9"/>
    <w:rsid w:val="00213635"/>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30024E"/>
    <w:rsid w:val="003019D9"/>
    <w:rsid w:val="003244F7"/>
    <w:rsid w:val="0032711B"/>
    <w:rsid w:val="00341606"/>
    <w:rsid w:val="00346387"/>
    <w:rsid w:val="0034700C"/>
    <w:rsid w:val="00357A28"/>
    <w:rsid w:val="00367516"/>
    <w:rsid w:val="00375FC9"/>
    <w:rsid w:val="00383298"/>
    <w:rsid w:val="003872D5"/>
    <w:rsid w:val="0039559F"/>
    <w:rsid w:val="003B11A5"/>
    <w:rsid w:val="003B33C4"/>
    <w:rsid w:val="003B36C2"/>
    <w:rsid w:val="003D14F0"/>
    <w:rsid w:val="003D7234"/>
    <w:rsid w:val="003D7504"/>
    <w:rsid w:val="003E4EB6"/>
    <w:rsid w:val="003F6450"/>
    <w:rsid w:val="00430B72"/>
    <w:rsid w:val="00437D88"/>
    <w:rsid w:val="004417DC"/>
    <w:rsid w:val="00445520"/>
    <w:rsid w:val="00462595"/>
    <w:rsid w:val="00487B34"/>
    <w:rsid w:val="0049017F"/>
    <w:rsid w:val="00492FB3"/>
    <w:rsid w:val="004B1650"/>
    <w:rsid w:val="004C42ED"/>
    <w:rsid w:val="004C60BD"/>
    <w:rsid w:val="004D1E02"/>
    <w:rsid w:val="004E592A"/>
    <w:rsid w:val="004E6E1A"/>
    <w:rsid w:val="004F1853"/>
    <w:rsid w:val="004F7D1D"/>
    <w:rsid w:val="00500B1D"/>
    <w:rsid w:val="00506DF4"/>
    <w:rsid w:val="00507823"/>
    <w:rsid w:val="00520DFB"/>
    <w:rsid w:val="005228CA"/>
    <w:rsid w:val="00536713"/>
    <w:rsid w:val="00543257"/>
    <w:rsid w:val="0055139A"/>
    <w:rsid w:val="00572736"/>
    <w:rsid w:val="0058350C"/>
    <w:rsid w:val="005A1227"/>
    <w:rsid w:val="005A4606"/>
    <w:rsid w:val="005A4AD7"/>
    <w:rsid w:val="005B0F11"/>
    <w:rsid w:val="005E18A6"/>
    <w:rsid w:val="005F1960"/>
    <w:rsid w:val="006115F1"/>
    <w:rsid w:val="00620BCE"/>
    <w:rsid w:val="006275C9"/>
    <w:rsid w:val="006342F3"/>
    <w:rsid w:val="0066585E"/>
    <w:rsid w:val="006809FA"/>
    <w:rsid w:val="006C01C3"/>
    <w:rsid w:val="006C76E6"/>
    <w:rsid w:val="006D0C33"/>
    <w:rsid w:val="006D1609"/>
    <w:rsid w:val="006E0BEC"/>
    <w:rsid w:val="006E455F"/>
    <w:rsid w:val="006F7539"/>
    <w:rsid w:val="00714828"/>
    <w:rsid w:val="007158F8"/>
    <w:rsid w:val="0071734A"/>
    <w:rsid w:val="007252E3"/>
    <w:rsid w:val="007254C7"/>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560C6"/>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655E"/>
    <w:rsid w:val="009561D9"/>
    <w:rsid w:val="009653AE"/>
    <w:rsid w:val="00972AB0"/>
    <w:rsid w:val="00983001"/>
    <w:rsid w:val="0098712E"/>
    <w:rsid w:val="009B77D4"/>
    <w:rsid w:val="009E6734"/>
    <w:rsid w:val="009F01A9"/>
    <w:rsid w:val="00A05F72"/>
    <w:rsid w:val="00A07288"/>
    <w:rsid w:val="00A174AB"/>
    <w:rsid w:val="00A21DCD"/>
    <w:rsid w:val="00A33F5E"/>
    <w:rsid w:val="00A34D90"/>
    <w:rsid w:val="00A35F07"/>
    <w:rsid w:val="00A4236E"/>
    <w:rsid w:val="00A45A23"/>
    <w:rsid w:val="00A52D34"/>
    <w:rsid w:val="00A712EA"/>
    <w:rsid w:val="00A8020D"/>
    <w:rsid w:val="00A802E9"/>
    <w:rsid w:val="00A80B6C"/>
    <w:rsid w:val="00AA324B"/>
    <w:rsid w:val="00AB25DF"/>
    <w:rsid w:val="00AC6F85"/>
    <w:rsid w:val="00AE0A20"/>
    <w:rsid w:val="00AE4156"/>
    <w:rsid w:val="00B1352B"/>
    <w:rsid w:val="00B24FA7"/>
    <w:rsid w:val="00B257E3"/>
    <w:rsid w:val="00B43B4D"/>
    <w:rsid w:val="00B54CE7"/>
    <w:rsid w:val="00B558CC"/>
    <w:rsid w:val="00B646B9"/>
    <w:rsid w:val="00B65450"/>
    <w:rsid w:val="00B72347"/>
    <w:rsid w:val="00B86388"/>
    <w:rsid w:val="00BA1AA9"/>
    <w:rsid w:val="00BB3B39"/>
    <w:rsid w:val="00BC2C3D"/>
    <w:rsid w:val="00BD5FA5"/>
    <w:rsid w:val="00BE55DB"/>
    <w:rsid w:val="00BE573E"/>
    <w:rsid w:val="00BF67E7"/>
    <w:rsid w:val="00C22B7C"/>
    <w:rsid w:val="00C2696C"/>
    <w:rsid w:val="00C26CFA"/>
    <w:rsid w:val="00C33853"/>
    <w:rsid w:val="00C427D3"/>
    <w:rsid w:val="00C47446"/>
    <w:rsid w:val="00C5758E"/>
    <w:rsid w:val="00C601F9"/>
    <w:rsid w:val="00C7602D"/>
    <w:rsid w:val="00C827DC"/>
    <w:rsid w:val="00C95346"/>
    <w:rsid w:val="00CA4340"/>
    <w:rsid w:val="00CB0296"/>
    <w:rsid w:val="00CC4A96"/>
    <w:rsid w:val="00CD1C4A"/>
    <w:rsid w:val="00CE1014"/>
    <w:rsid w:val="00CF42ED"/>
    <w:rsid w:val="00CF5C2E"/>
    <w:rsid w:val="00D0143D"/>
    <w:rsid w:val="00D10AB7"/>
    <w:rsid w:val="00D160DD"/>
    <w:rsid w:val="00D21CDE"/>
    <w:rsid w:val="00D40ADE"/>
    <w:rsid w:val="00D411DD"/>
    <w:rsid w:val="00D46486"/>
    <w:rsid w:val="00D648D9"/>
    <w:rsid w:val="00D64C2C"/>
    <w:rsid w:val="00D66063"/>
    <w:rsid w:val="00D77D37"/>
    <w:rsid w:val="00D80BC2"/>
    <w:rsid w:val="00D8620E"/>
    <w:rsid w:val="00DA7788"/>
    <w:rsid w:val="00DA7FE6"/>
    <w:rsid w:val="00DB0EC5"/>
    <w:rsid w:val="00DB2D78"/>
    <w:rsid w:val="00DB4539"/>
    <w:rsid w:val="00DD379B"/>
    <w:rsid w:val="00DE3685"/>
    <w:rsid w:val="00DE5805"/>
    <w:rsid w:val="00E00D68"/>
    <w:rsid w:val="00E01CEB"/>
    <w:rsid w:val="00E11FB2"/>
    <w:rsid w:val="00E275D0"/>
    <w:rsid w:val="00E40ED1"/>
    <w:rsid w:val="00E4747D"/>
    <w:rsid w:val="00E712B9"/>
    <w:rsid w:val="00E92CDB"/>
    <w:rsid w:val="00E96899"/>
    <w:rsid w:val="00EC09E7"/>
    <w:rsid w:val="00EC409D"/>
    <w:rsid w:val="00EE21B6"/>
    <w:rsid w:val="00EF1B14"/>
    <w:rsid w:val="00EF782E"/>
    <w:rsid w:val="00EF7D6B"/>
    <w:rsid w:val="00F11A07"/>
    <w:rsid w:val="00F258CE"/>
    <w:rsid w:val="00F3400B"/>
    <w:rsid w:val="00F36F36"/>
    <w:rsid w:val="00F605C0"/>
    <w:rsid w:val="00F66710"/>
    <w:rsid w:val="00F84112"/>
    <w:rsid w:val="00F86A3C"/>
    <w:rsid w:val="00F90464"/>
    <w:rsid w:val="00F9492F"/>
    <w:rsid w:val="00FC2169"/>
    <w:rsid w:val="00FC2267"/>
    <w:rsid w:val="00FE12C3"/>
    <w:rsid w:val="00FE28C5"/>
    <w:rsid w:val="02A537FE"/>
    <w:rsid w:val="09EB3371"/>
    <w:rsid w:val="0B680FCF"/>
    <w:rsid w:val="0BF24FB4"/>
    <w:rsid w:val="107E52D0"/>
    <w:rsid w:val="11311C12"/>
    <w:rsid w:val="13C2262E"/>
    <w:rsid w:val="13FC4687"/>
    <w:rsid w:val="18CC21E2"/>
    <w:rsid w:val="19D75DEA"/>
    <w:rsid w:val="1B221EAF"/>
    <w:rsid w:val="1F2A4FA9"/>
    <w:rsid w:val="1F8B0928"/>
    <w:rsid w:val="248A6BE6"/>
    <w:rsid w:val="299C7A91"/>
    <w:rsid w:val="2BCD0E21"/>
    <w:rsid w:val="2C18104D"/>
    <w:rsid w:val="2C1E70E2"/>
    <w:rsid w:val="2D863474"/>
    <w:rsid w:val="2F117AF9"/>
    <w:rsid w:val="31F76F13"/>
    <w:rsid w:val="34D45DEB"/>
    <w:rsid w:val="3522025D"/>
    <w:rsid w:val="35B93F24"/>
    <w:rsid w:val="3778317D"/>
    <w:rsid w:val="3BC5739B"/>
    <w:rsid w:val="3CD63B83"/>
    <w:rsid w:val="3D070A66"/>
    <w:rsid w:val="3E5F2C87"/>
    <w:rsid w:val="403D6BF7"/>
    <w:rsid w:val="40D21830"/>
    <w:rsid w:val="437D2624"/>
    <w:rsid w:val="44835ACA"/>
    <w:rsid w:val="47143A8B"/>
    <w:rsid w:val="48310C7F"/>
    <w:rsid w:val="48920885"/>
    <w:rsid w:val="48D266E6"/>
    <w:rsid w:val="4C1C40A9"/>
    <w:rsid w:val="509C2CAC"/>
    <w:rsid w:val="51390165"/>
    <w:rsid w:val="51A43422"/>
    <w:rsid w:val="520367AF"/>
    <w:rsid w:val="54222AD1"/>
    <w:rsid w:val="546C4881"/>
    <w:rsid w:val="56783764"/>
    <w:rsid w:val="58274D61"/>
    <w:rsid w:val="583D2C85"/>
    <w:rsid w:val="58C81A5A"/>
    <w:rsid w:val="5BAA20B4"/>
    <w:rsid w:val="5BEC19F5"/>
    <w:rsid w:val="5C903268"/>
    <w:rsid w:val="61005DF9"/>
    <w:rsid w:val="635D2941"/>
    <w:rsid w:val="63662E54"/>
    <w:rsid w:val="66E92111"/>
    <w:rsid w:val="66F84B72"/>
    <w:rsid w:val="70855C87"/>
    <w:rsid w:val="71C540A4"/>
    <w:rsid w:val="73C70BB6"/>
    <w:rsid w:val="74D628D2"/>
    <w:rsid w:val="75236B68"/>
    <w:rsid w:val="765C597A"/>
    <w:rsid w:val="7C257E41"/>
    <w:rsid w:val="7DE86B82"/>
    <w:rsid w:val="7FDC504D"/>
    <w:rsid w:val="DDFFB02B"/>
    <w:rsid w:val="FEFFAE7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8">
    <w:name w:val="_Style 7"/>
    <w:basedOn w:val="1"/>
    <w:qFormat/>
    <w:uiPriority w:val="34"/>
    <w:pPr>
      <w:ind w:firstLine="420" w:firstLineChars="200"/>
    </w:pPr>
  </w:style>
  <w:style w:type="character" w:customStyle="1" w:styleId="9">
    <w:name w:val="批注框文本 Char"/>
    <w:link w:val="2"/>
    <w:qFormat/>
    <w:uiPriority w:val="0"/>
    <w:rPr>
      <w:kern w:val="2"/>
      <w:sz w:val="18"/>
      <w:szCs w:val="18"/>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 w:type="character" w:customStyle="1" w:styleId="12">
    <w:name w:val="font41"/>
    <w:basedOn w:val="7"/>
    <w:qFormat/>
    <w:uiPriority w:val="0"/>
    <w:rPr>
      <w:rFonts w:ascii="Dialog . plain" w:hAnsi="Dialog . plain" w:eastAsia="Dialog . plain" w:cs="Dialog . plai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2662</Words>
  <Characters>3020</Characters>
  <Lines>10</Lines>
  <Paragraphs>2</Paragraphs>
  <TotalTime>0</TotalTime>
  <ScaleCrop>false</ScaleCrop>
  <LinksUpToDate>false</LinksUpToDate>
  <CharactersWithSpaces>3039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2022-01-27T03:29:00Z</dcterms:created>
  <dc:creator>Administrator</dc:creator>
  <cp:lastModifiedBy>user</cp:lastModifiedBy>
  <cp:lastPrinted>2021-12-30T23:01:00Z</cp:lastPrinted>
  <dcterms:modified xsi:type="dcterms:W3CDTF">2022-02-17T12:44:05Z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