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垫江县体育发展中心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atLeas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一、单位基本情况</w:t>
      </w:r>
    </w:p>
    <w:p>
      <w:pPr>
        <w:pStyle w:val="6"/>
        <w:shd w:val="clear" w:color="auto" w:fill="FFFFFF"/>
        <w:spacing w:before="0" w:beforeAutospacing="0" w:after="0" w:afterAutospacing="0" w:line="596" w:lineRule="atLeas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（一）职能职责</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为全县体育事业发展提供服务。主要职责：为全县体育运动项目的发展提供政策咨询、技术服务和人才支撑，针对体育运动项目开展分类指导工作；协助开展体育文化项目竞赛的组织实施工作；负责青少年儿童优秀运动员培养工作，组织开展相关体育项目训练工作；负责县体育文化公园内体育场馆日常管理工作；组织开展体育文化交往和技术交流活动；负责推广科学健身理念，开展国民体质测定与评估、健康风险预警及健康管理、科学健身指导等服务工作；承办主管部门交办的其他事务性工作。</w:t>
      </w:r>
    </w:p>
    <w:p>
      <w:pPr>
        <w:pStyle w:val="6"/>
        <w:shd w:val="clear" w:color="auto" w:fill="FFFFFF"/>
        <w:spacing w:beforeAutospacing="0" w:afterAutospacing="0" w:line="596" w:lineRule="atLeas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（二）机构设置</w:t>
      </w:r>
    </w:p>
    <w:p>
      <w:pPr>
        <w:spacing w:line="596" w:lineRule="atLeast"/>
        <w:ind w:firstLine="640" w:firstLineChars="200"/>
        <w:jc w:val="both"/>
        <w:rPr>
          <w:rStyle w:val="10"/>
          <w:rFonts w:hint="default" w:ascii="方正黑体_GBK" w:hAnsi="黑体" w:eastAsia="方正黑体_GBK" w:cs="黑体"/>
          <w:b w:val="0"/>
          <w:sz w:val="32"/>
          <w:szCs w:val="32"/>
          <w:shd w:val="clear" w:color="auto" w:fill="FFFFFF"/>
        </w:rPr>
      </w:pPr>
      <w:r>
        <w:rPr>
          <w:rStyle w:val="10"/>
          <w:rFonts w:ascii="方正仿宋_GBK" w:hAnsi="黑体" w:eastAsia="方正仿宋_GBK" w:cs="黑体"/>
          <w:b w:val="0"/>
          <w:sz w:val="32"/>
          <w:szCs w:val="32"/>
          <w:shd w:val="clear" w:color="auto" w:fill="FFFFFF"/>
        </w:rPr>
        <w:t>垫江县体育发展中心隶属于垫江县文化和旅游发展委员会，是公益一类事业单位，单位性质为全额财政拨款单位。</w:t>
      </w:r>
    </w:p>
    <w:p>
      <w:pPr>
        <w:pStyle w:val="6"/>
        <w:shd w:val="clear" w:color="auto" w:fill="FFFFFF"/>
        <w:spacing w:before="0" w:beforeAutospacing="0" w:after="0" w:afterAutospacing="0" w:line="596" w:lineRule="atLeas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二、单位决算收支情况说明</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（一）收入支出决算总体情况说明。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1.总体情况。2024年度收入总计708.08万元，支出总计708.08万元。收、支与2023年度相比，增加253.41万元，增长55.7%，主要原因是参加重庆市七运会赛事费用增加</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2.收入情况。2024年度收入合计663.27万元，与2023年度相比，增加212.57万元，增长47.2%，主要原因是参加重庆市七运会赛事费用增加。其中：财政拨款收入663.27万元，占100.0%；事业收入0.00万元，占0.0%；经营收入0.00万元，占0.0%；其他收入0.00万元，占0.0%。此外，使用非财政拨款结余和专用结余0.00万元，年初结转和结余44.81万元。</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3.支出情况。2024年度支出合计708.08万元，与2023年度相比，增加253.41万元，增长55.7%，主要原因是参加重庆市七运会赛事费用增加。其中：基本支出325.01万元，占45.9%；项目支出383.07万元，占54.1%；经营支出0.00万元，占0.0%。此外，结余分配0.00万元。</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4.结转结余情况。2024年度年末结转和结余0.00万元，与2023年度相比，无增减，主要是</w:t>
      </w:r>
      <w:r>
        <w:rPr>
          <w:rFonts w:ascii="Times New Roman" w:hAnsi="Times New Roman" w:eastAsia="方正仿宋_GBK"/>
          <w:sz w:val="32"/>
          <w:szCs w:val="32"/>
          <w:shd w:val="clear" w:color="auto" w:fill="FFFFFF"/>
        </w:rPr>
        <w:t>本年度与上年度均无结转结余</w:t>
      </w:r>
      <w:r>
        <w:rPr>
          <w:rStyle w:val="10"/>
          <w:rFonts w:ascii="方正仿宋_GBK" w:hAnsi="黑体" w:eastAsia="方正仿宋_GBK" w:cs="黑体"/>
          <w:b w:val="0"/>
          <w:sz w:val="32"/>
          <w:szCs w:val="32"/>
          <w:shd w:val="clear" w:color="auto" w:fill="FFFFFF"/>
        </w:rPr>
        <w:t>。</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（二）财政拨款收入支出决算总体情况说明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2024年度财政拨款收、支总计708.08万元。与2023年相比，财政拨款收、支总计各增加253.41万元，增长55.7%。主要原因是参加重庆市七运会赛事费用增加。</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（三）一般公共预算财政拨款收入支出决算情况说明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1.收入情况。2024年度一般公共预算财政拨款收入545.89万元，与2023年度相比，增加108.69万元，增长24.9%。主要原因是参加重庆市七运会赛事费用增加。较年初预算数增加28.99万元，增长5.6%。主要原因是临聘人员工资。此外，年初财政拨款结转和结余44.81万元。</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2.支出情况。2024年度一般公共预算财政拨款支出590.70万元，与2023年度相比，增加149.53万元，增长33.9%。主要原因是参加重庆市七运会赛事费用增加。较年初预算数增加73.80万元，增长14.3%。主要原因是参加重庆市七运会赛事费用增加。</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3.结转结余情况。2024年度年末一般公共预算财政拨款结转和结余0.00万元，与2023年度相比，无增减，主要是</w:t>
      </w:r>
      <w:r>
        <w:rPr>
          <w:rFonts w:ascii="Times New Roman" w:hAnsi="Times New Roman" w:eastAsia="方正仿宋_GBK"/>
          <w:sz w:val="32"/>
          <w:szCs w:val="32"/>
          <w:shd w:val="clear" w:color="auto" w:fill="FFFFFF"/>
        </w:rPr>
        <w:t>本年度与上年度均无结转结余</w:t>
      </w:r>
      <w:r>
        <w:rPr>
          <w:rStyle w:val="10"/>
          <w:rFonts w:ascii="方正仿宋_GBK" w:hAnsi="黑体" w:eastAsia="方正仿宋_GBK" w:cs="黑体"/>
          <w:b w:val="0"/>
          <w:sz w:val="32"/>
          <w:szCs w:val="32"/>
          <w:shd w:val="clear" w:color="auto" w:fill="FFFFFF"/>
        </w:rPr>
        <w:t>。。</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 xml:space="preserve"> 4.比较情况。本单位2024年度一般公共预算财政拨款支出主要用于以下几个方面：</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（1）教育支出2.22万元，占0.4%，较年初预算数增加1.36万元，增长158.1%，主要原因是社会体育指导员活动人数增加。</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（2）文化旅游体育与传媒支出491.43万元，占83.2%，较年初预算数增加42.61万元，增长9.5%，主要原因是主要原因是市级项目预算资金增加，运行活动费用增加。</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（3）社会保障与就业支出74.48万元，占12.6%，较年初预算数增加29.84万元，增长66.9%，主要原因是无人员增减变化。</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（4）卫生健康支出10.26万元，占1.7%，较年初预算数无增减，主要原因是无人员增减变化。</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（5）住房保障支出12.31万元，占2.1%，较年初预算数无增减，主要原因是无人员增减变化。</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（四）一般公共预算财政拨款基本支出决算情况说明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黑体_GBK" w:hAnsi="黑体" w:eastAsia="方正黑体_GBK" w:cs="黑体"/>
          <w:b w:val="0"/>
          <w:sz w:val="32"/>
          <w:szCs w:val="32"/>
          <w:shd w:val="clear" w:color="auto" w:fill="FFFFFF"/>
        </w:rPr>
        <w:t> </w:t>
      </w:r>
      <w:r>
        <w:rPr>
          <w:rStyle w:val="10"/>
          <w:rFonts w:ascii="方正仿宋_GBK" w:hAnsi="黑体" w:eastAsia="方正仿宋_GBK" w:cs="黑体"/>
          <w:b w:val="0"/>
          <w:sz w:val="32"/>
          <w:szCs w:val="32"/>
          <w:shd w:val="clear" w:color="auto" w:fill="FFFFFF"/>
        </w:rPr>
        <w:t>2024年度一般公共财政拨款基本支出325.01万元。其中：人员经费290.19万元，与2023年度相比，增加109.57万元，增长60.7%，主要原因是和体校合并、薪级晋升，基本工资、超额绩效工资、社会保险、住房公积金增加。人员经费用途主要包括基本工资、绩效工资、基本医疗保险、基本养老保险、职业年金、伙食补助费、住房公积金、其他工资福利支出等。公用经费34.83万元，与2023年度相比，增加0.10万元，增长0.3%，主要原因是场馆日常维护增加。公用经费用途主要包括办公费、邮电费、水电费、差旅费、设备购置费、维修（维护）费、其他费用等。</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（五）政府性基金预算收支决算情况说明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2024年度政府性基金预算财政拨款年初结转结余0.00万元，年末结转结余0.00万元。本年收入117.38万元，与2023年度相比，增加103.88万元，增长769.5%，主要原因是支七运会赛事费用。本年支出117.38万元，与2023年度相比，增加103.88万元，增长769.5%，主要原因是支七运会赛事费用。</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（六）国有资本经营预算财政拨款支出决算情况说明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numPr>
          <w:ilvl w:val="0"/>
          <w:numId w:val="1"/>
        </w:numPr>
        <w:shd w:val="clear" w:color="auto" w:fill="FFFFFF"/>
        <w:spacing w:before="0" w:beforeAutospacing="0" w:after="0" w:afterAutospacing="0" w:line="596" w:lineRule="atLeas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财政拨款“三公”经费情况说明</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 xml:space="preserve"> （一）“三公”经费支出总体情况说明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（二）“三公”经费分项支出情况</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（三）“三公”经费实物量情况</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黑体_GBK" w:hAnsi="黑体" w:eastAsia="方正黑体_GBK" w:cs="黑体"/>
          <w:b w:val="0"/>
          <w:sz w:val="32"/>
          <w:szCs w:val="32"/>
          <w:shd w:val="clear" w:color="auto" w:fill="FFFFFF"/>
        </w:rPr>
        <w:t xml:space="preserve">  </w:t>
      </w:r>
      <w:r>
        <w:rPr>
          <w:rStyle w:val="10"/>
          <w:rFonts w:ascii="方正仿宋_GBK" w:hAnsi="黑体" w:eastAsia="方正仿宋_GBK" w:cs="黑体"/>
          <w:b w:val="0"/>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6"/>
        <w:shd w:val="clear" w:color="auto" w:fill="FFFFFF"/>
        <w:spacing w:before="0" w:beforeAutospacing="0" w:after="0" w:afterAutospacing="0" w:line="596" w:lineRule="atLeas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 xml:space="preserve"> （一）财政拨款会议费和培训费情况说明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本年度会议费支出0.00万元，与2023年度相比，减少1.00万元，下降100.0%，主要原因是本</w:t>
      </w:r>
      <w:r>
        <w:rPr>
          <w:rStyle w:val="10"/>
          <w:rFonts w:hint="default" w:ascii="方正仿宋_GBK" w:hAnsi="黑体" w:eastAsia="方正仿宋_GBK" w:cs="黑体"/>
          <w:b w:val="0"/>
          <w:sz w:val="32"/>
          <w:szCs w:val="32"/>
          <w:shd w:val="clear" w:color="auto" w:fill="FFFFFF"/>
        </w:rPr>
        <w:t>年度我单位无会议费支出</w:t>
      </w:r>
      <w:r>
        <w:rPr>
          <w:rStyle w:val="10"/>
          <w:rFonts w:ascii="方正仿宋_GBK" w:hAnsi="黑体" w:eastAsia="方正仿宋_GBK" w:cs="黑体"/>
          <w:b w:val="0"/>
          <w:sz w:val="32"/>
          <w:szCs w:val="32"/>
          <w:shd w:val="clear" w:color="auto" w:fill="FFFFFF"/>
        </w:rPr>
        <w:t>。本年度培训费支出0.70万元，与2023年度相比，增加0.67万元，增长2233.3%，主要原因是参加市级培训增加。</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（二）机关运行经费情况说明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（三）国有资产占用情况说明</w:t>
      </w:r>
    </w:p>
    <w:p>
      <w:pPr>
        <w:spacing w:line="596" w:lineRule="atLeast"/>
        <w:ind w:firstLine="640" w:firstLineChars="200"/>
        <w:jc w:val="both"/>
        <w:rPr>
          <w:rStyle w:val="10"/>
          <w:rFonts w:hint="default" w:ascii="方正仿宋_GBK" w:hAnsi="黑体" w:eastAsia="方正仿宋_GBK" w:cs="黑体"/>
          <w:b w:val="0"/>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596" w:lineRule="atLeast"/>
        <w:ind w:firstLine="64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（四）政府采购支出情况说明</w:t>
      </w:r>
    </w:p>
    <w:p>
      <w:pPr>
        <w:pStyle w:val="12"/>
        <w:spacing w:before="0" w:beforeAutospacing="0" w:afterAutospacing="0" w:line="596" w:lineRule="atLeast"/>
        <w:ind w:firstLine="640" w:firstLineChars="200"/>
        <w:rPr>
          <w:rStyle w:val="10"/>
          <w:rFonts w:ascii="方正仿宋_GBK" w:hAnsi="黑体" w:eastAsia="方正仿宋_GBK" w:cs="黑体"/>
          <w:b w:val="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.0%。2024年度我单位未发生政府采购事项，无相关经费支出。</w:t>
      </w:r>
    </w:p>
    <w:p>
      <w:pPr>
        <w:pStyle w:val="12"/>
        <w:spacing w:before="0" w:beforeAutospacing="0" w:after="0" w:afterAutospacing="0" w:line="596" w:lineRule="atLeas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五、2024年度预算绩效管理情况说明</w:t>
      </w:r>
    </w:p>
    <w:p>
      <w:pPr>
        <w:pStyle w:val="12"/>
        <w:autoSpaceDE w:val="0"/>
        <w:spacing w:before="0" w:beforeAutospacing="0" w:after="0" w:afterAutospacing="0" w:line="596" w:lineRule="atLeas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（一）单位自评情况</w:t>
      </w:r>
    </w:p>
    <w:p>
      <w:pPr>
        <w:pStyle w:val="12"/>
        <w:spacing w:before="0" w:beforeAutospacing="0" w:after="0" w:afterAutospacing="0" w:line="596" w:lineRule="atLeast"/>
        <w:ind w:firstLine="640" w:firstLineChars="200"/>
        <w:rPr>
          <w:rFonts w:ascii="方正仿宋_GBK" w:hAnsi="方正仿宋_GBK" w:eastAsia="方正仿宋_GBK" w:cs="方正仿宋_GBK"/>
          <w:b/>
          <w:bCs/>
          <w:sz w:val="32"/>
          <w:szCs w:val="32"/>
          <w:shd w:val="clear" w:color="auto" w:fill="FFFFFF"/>
        </w:rPr>
      </w:pPr>
      <w:r>
        <w:rPr>
          <w:rFonts w:ascii="方正仿宋_GBK" w:eastAsia="方正仿宋_GBK"/>
          <w:sz w:val="32"/>
          <w:szCs w:val="32"/>
        </w:rPr>
        <w:t>根据预算绩效管理要求，我单位对</w:t>
      </w:r>
      <w:r>
        <w:rPr>
          <w:rFonts w:hint="eastAsia" w:ascii="方正仿宋_GBK" w:eastAsia="方正仿宋_GBK"/>
          <w:sz w:val="32"/>
          <w:szCs w:val="32"/>
        </w:rPr>
        <w:t>9</w:t>
      </w:r>
      <w:r>
        <w:rPr>
          <w:rFonts w:ascii="方正仿宋_GBK" w:eastAsia="方正仿宋_GBK"/>
          <w:sz w:val="32"/>
          <w:szCs w:val="32"/>
        </w:rPr>
        <w:t>个二级项目开展了绩效自评，涉及财政拨款项目支出资金</w:t>
      </w:r>
      <w:r>
        <w:rPr>
          <w:rFonts w:hint="eastAsia" w:ascii="方正仿宋_GBK" w:eastAsia="方正仿宋_GBK"/>
          <w:sz w:val="32"/>
          <w:szCs w:val="32"/>
        </w:rPr>
        <w:t>393</w:t>
      </w:r>
      <w:r>
        <w:rPr>
          <w:rFonts w:ascii="方正仿宋_GBK" w:eastAsia="方正仿宋_GBK"/>
          <w:sz w:val="32"/>
          <w:szCs w:val="32"/>
        </w:rPr>
        <w:t>.</w:t>
      </w:r>
      <w:r>
        <w:rPr>
          <w:rFonts w:hint="eastAsia" w:ascii="方正仿宋_GBK" w:eastAsia="方正仿宋_GBK"/>
          <w:sz w:val="32"/>
          <w:szCs w:val="32"/>
        </w:rPr>
        <w:t>06</w:t>
      </w:r>
      <w:r>
        <w:rPr>
          <w:rFonts w:ascii="方正仿宋_GBK" w:eastAsia="方正仿宋_GBK"/>
          <w:sz w:val="32"/>
          <w:szCs w:val="32"/>
        </w:rPr>
        <w:t>万元</w:t>
      </w:r>
      <w:r>
        <w:rPr>
          <w:rFonts w:hint="eastAsia" w:ascii="方正仿宋_GBK" w:hAnsi="方正仿宋_GBK" w:eastAsia="方正仿宋_GBK" w:cs="方正仿宋_GBK"/>
          <w:sz w:val="32"/>
          <w:szCs w:val="32"/>
          <w:shd w:val="clear" w:color="auto" w:fill="FFFFFF"/>
        </w:rPr>
        <w:t>。</w:t>
      </w:r>
    </w:p>
    <w:p>
      <w:pPr>
        <w:pStyle w:val="12"/>
        <w:spacing w:before="0" w:beforeAutospacing="0"/>
        <w:ind w:firstLine="480" w:firstLineChars="200"/>
      </w:pPr>
    </w:p>
    <w:p>
      <w:pPr>
        <w:pStyle w:val="12"/>
        <w:spacing w:before="0" w:beforeAutospacing="0"/>
        <w:ind w:firstLine="480" w:firstLineChars="200"/>
      </w:pPr>
      <w:bookmarkStart w:id="0" w:name="_GoBack"/>
      <w:r>
        <w:drawing>
          <wp:inline distT="0" distB="0" distL="114300" distR="114300">
            <wp:extent cx="5871210" cy="3596005"/>
            <wp:effectExtent l="0" t="0" r="1524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871210" cy="3596005"/>
                    </a:xfrm>
                    <a:prstGeom prst="rect">
                      <a:avLst/>
                    </a:prstGeom>
                    <a:noFill/>
                    <a:ln>
                      <a:noFill/>
                    </a:ln>
                  </pic:spPr>
                </pic:pic>
              </a:graphicData>
            </a:graphic>
          </wp:inline>
        </w:drawing>
      </w:r>
      <w:bookmarkEnd w:id="0"/>
      <w:r>
        <w:drawing>
          <wp:inline distT="0" distB="0" distL="114300" distR="114300">
            <wp:extent cx="5652135" cy="3532505"/>
            <wp:effectExtent l="0" t="0" r="571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652135" cy="3532505"/>
                    </a:xfrm>
                    <a:prstGeom prst="rect">
                      <a:avLst/>
                    </a:prstGeom>
                    <a:noFill/>
                    <a:ln>
                      <a:noFill/>
                    </a:ln>
                  </pic:spPr>
                </pic:pic>
              </a:graphicData>
            </a:graphic>
          </wp:inline>
        </w:drawing>
      </w:r>
    </w:p>
    <w:p>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（二）单位绩效评价情况</w:t>
      </w:r>
    </w:p>
    <w:p>
      <w:pPr>
        <w:spacing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我单位未组织开展绩效评价。</w:t>
      </w:r>
    </w:p>
    <w:p>
      <w:pPr>
        <w:spacing w:line="596" w:lineRule="exact"/>
        <w:ind w:firstLine="640" w:firstLineChars="200"/>
        <w:jc w:val="both"/>
        <w:rPr>
          <w:rFonts w:hint="default" w:ascii="方正楷体_GBK" w:eastAsia="方正楷体_GBK"/>
          <w:sz w:val="32"/>
          <w:szCs w:val="32"/>
        </w:rPr>
      </w:pPr>
      <w:r>
        <w:rPr>
          <w:rFonts w:ascii="方正楷体_GBK" w:eastAsia="方正楷体_GBK"/>
          <w:sz w:val="32"/>
          <w:szCs w:val="32"/>
        </w:rPr>
        <w:t>（三）财政绩效评价情况</w:t>
      </w:r>
    </w:p>
    <w:p>
      <w:pPr>
        <w:pStyle w:val="12"/>
        <w:autoSpaceDE w:val="0"/>
        <w:spacing w:before="0" w:beforeAutospacing="0" w:after="0" w:afterAutospacing="0" w:line="596" w:lineRule="exact"/>
        <w:ind w:firstLine="640" w:firstLineChars="200"/>
        <w:rPr>
          <w:rFonts w:ascii="方正仿宋_GBK" w:eastAsia="方正仿宋_GBK"/>
          <w:sz w:val="32"/>
          <w:szCs w:val="32"/>
        </w:rPr>
      </w:pPr>
      <w:r>
        <w:rPr>
          <w:rFonts w:ascii="方正仿宋_GBK" w:eastAsia="方正仿宋_GBK"/>
          <w:sz w:val="32"/>
          <w:szCs w:val="32"/>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本单位决算公开信息反馈和联系方式：黄老师   023-74512339</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垫江县体育发展中心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545.89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663.27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708.08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708.08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垫江县体育发展中心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663.27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663.27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垫江县体育发展中心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708.08</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383.07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225.74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225.74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体育竞赛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225.74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垫江县体育发展中心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545.89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117.38</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663.27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117.38</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117.38</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垫江县体育发展中心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590.70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体育竞赛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256.89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垫江县体育发展中心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290.19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垫江县体育发展中心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117.38</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117.38</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117.38</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垫江县体育发展中心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垫江县体育发展中心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36.11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E8B75"/>
    <w:multiLevelType w:val="singleLevel"/>
    <w:tmpl w:val="5C5E8B7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5NDM1NDc3ZGFiOGIyNjNiN2Y4MDRiNGNjNzcyM2IifQ=="/>
  </w:docVars>
  <w:rsids>
    <w:rsidRoot w:val="00B03CCD"/>
    <w:rsid w:val="000239C6"/>
    <w:rsid w:val="001D3BB7"/>
    <w:rsid w:val="002B254B"/>
    <w:rsid w:val="0034050A"/>
    <w:rsid w:val="0044504F"/>
    <w:rsid w:val="00466C9B"/>
    <w:rsid w:val="00486CFC"/>
    <w:rsid w:val="00491DDD"/>
    <w:rsid w:val="00550ABE"/>
    <w:rsid w:val="00623A85"/>
    <w:rsid w:val="006B0C36"/>
    <w:rsid w:val="00770383"/>
    <w:rsid w:val="007819D4"/>
    <w:rsid w:val="007B419D"/>
    <w:rsid w:val="007B7C4B"/>
    <w:rsid w:val="007D3D39"/>
    <w:rsid w:val="008D007B"/>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13F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DF1368"/>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2230</Words>
  <Characters>12713</Characters>
  <Lines>105</Lines>
  <Paragraphs>29</Paragraphs>
  <TotalTime>3</TotalTime>
  <ScaleCrop>false</ScaleCrop>
  <LinksUpToDate>false</LinksUpToDate>
  <CharactersWithSpaces>14914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2025-09-18T07:52:57Z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