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垫江县文化和旅游发展委员会（本级）</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 贯彻执行党和国家宣传、文化和旅游、体育、广播电视、文物和博物馆工作的方针政策和法律法规，研究制定全县文化和旅游、体育、文物和博物馆工作的规范性文件并组织实施。</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2. 统筹规划全县文化、体育事业、文化产业和旅游业发展，拟订文化和旅游、体育、广播电视、文物和博物馆事业发展规划并组织实施，推进文化和旅游融合发展，推进体制机制改革。</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3. 管理、组织、策划全县重大文化和旅游、体育活动，指导县级重点文化、体育设施建设，负责全县旅游整体形象宣传和推广，促进文化和旅游产业对外合作和市场推广，拟订市场开发战略并组织实施，指导、协调、推动广播电视领域产业发展。</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4．负责管理全县文艺事业，指导艺术创作生产，扶持体现社会主义核心价值观、具有导向性代表性示范性的文艺作品，推动各门类艺术、各艺术品种发展。</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5. 负责全县公共文化、体育事业发展，推进全县公共文化、公共体育服务体系建设和旅游公共服务建设，深入实施乡村文化振兴和文化惠民工程，指导、督促乡镇、街道文化服务中心工作，统筹推进基本公共文化服务标准化、均等化。组织实施全县广播电视领域公共服务重大公益工程和公益活动。</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6. 指导、推进全县文化和旅游、体育、广播电视、文物和博物馆行业科技创新发展，推进文化和旅游行业信息化、标准化建设。</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7. 负责全县文物工作，指导博物馆业务工作。负责管理和指导全县考古工作，组织、协调重大文物保护和考古项目的实施。组织开展文物资源调查，履行文物、博物馆安全督察职责。指导协调博物馆建设及博物馆间的交流与协作。</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8. 负责全县非物质文化遗产保护，推动非物质文化遗产的保护、传承、普及、弘扬和振兴。</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9. 实施全民健身计划，指导并开展群众性体育活动，执行国家体育锻炼标准，开展国民体质监测。</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10. 负责规划全县运动项目布局，指导业务培训和训练工作，输送优秀运动员。制定体育竞赛计划，管理指导本县体育竞赛。</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11．指导体育宣传、科技工作，组织开展反兴奋剂的工作，发展体育教育，制定并实施体育培训规划。监督检查体育设施的管理和使用。</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12. 统筹规划全县文化和旅游、体育产业，组织实施文化和旅游资源普查、挖掘、保护和利用工作，指导和促进地方特色文化和旅游、体育商品开发营销，承担文化市场和旅游、体育经济运行监测体系建设工作，促进文化和旅游、体育产业发展。</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13. 负责文化、旅游、体育、广播电视有关行政许可。承办文化、旅游、体育、广播电视有关行政复议、行政诉讼等法律事务。</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14. 指导全县文化和旅游、体育市场发展，对文化和旅游、体育市场经营进行行业监管，推进文化和旅游、体育行业信用体系建设，依法规范文化和旅游、体育市场。负责文化和旅游、体育市场安全的综合协调和监督管理，指导应急救援工作。</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15. 负责对全县各类广播电视机构进行业务指导和行业监管，会同有关部门对网络视听节目服务机构进行管理。指导全县广播电视重点基础设施建设。监督管理、审查广播电视节目、网络视听节目的内容和质量。指导、监管广播电视广告播放。负责实施广播电视节目评价工作。</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16. 指导全县文化和旅游市场综合执法，组织查处全县文化、文物、出版、广播电视、电影、旅游等市场的违法行为，督查督办大案要案，维护市场秩序。具体执法由县文化市场综合执法队伍承担，并以部门名义统一执法。</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17. 负责推进全县广播电视与新媒体新技术新业态融合发展，推进广电网与电信网、互联网三网融合。</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18. 负责对广播电视节目传输覆盖、监测和安全播出进行监管，负责全县应急广播体系建设。指导全县广播电视系统的安全工作。</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19. 指导、管理全县文化和旅游、体育、广播电视、文物和博物馆对外交流、合作和宣传、推广工作。</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20. 拟订全县文化和旅游、体育行业人才队伍建设规划并组织实施。</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21. 负责机关、所属事业单位和所主管的社会组织党建工作。</w:t>
      </w:r>
    </w:p>
    <w:p>
      <w:pPr>
        <w:spacing w:line="600" w:lineRule="atLeast"/>
        <w:ind w:firstLine="640" w:firstLineChars="200"/>
        <w:rPr>
          <w:rFonts w:hint="default" w:ascii="方正仿宋_GBK" w:eastAsia="方正仿宋_GBK"/>
          <w:sz w:val="32"/>
          <w:szCs w:val="32"/>
        </w:rPr>
      </w:pPr>
      <w:r>
        <w:rPr>
          <w:rFonts w:ascii="方正仿宋_GBK" w:eastAsia="方正仿宋_GBK"/>
          <w:sz w:val="32"/>
          <w:szCs w:val="32"/>
        </w:rPr>
        <w:t>22. 完成县委、县政府交办的其他任务。</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420"/>
        <w:rPr>
          <w:rFonts w:hint="default" w:ascii="楷体" w:hAnsi="楷体" w:eastAsia="楷体" w:cs="楷体"/>
          <w:sz w:val="32"/>
          <w:szCs w:val="32"/>
        </w:rPr>
      </w:pPr>
      <w:r>
        <w:rPr>
          <w:rFonts w:ascii="方正仿宋_GBK" w:eastAsia="方正仿宋_GBK"/>
          <w:sz w:val="32"/>
          <w:szCs w:val="32"/>
        </w:rPr>
        <w:t>垫江县文化和旅游发展委员会（本级）为垫江县文化和旅游发展委员会的行政单位，是二级预算单位，内设7个科室，分别是办公室、政工宣教科、政策法规科（行政许可服务科）、公共服务科（文物科）、体育科、产业发展科、行业管理科。</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2024年度收入总计1783.56万元，支出总计</w:t>
      </w:r>
      <w:r>
        <w:rPr>
          <w:rFonts w:ascii="方正仿宋_GBK" w:hAnsi="方正仿宋_GBK" w:eastAsia="方正仿宋_GBK" w:cs="方正仿宋_GBK"/>
          <w:sz w:val="32"/>
          <w:szCs w:val="32"/>
        </w:rPr>
        <w:t>1783.56</w:t>
      </w:r>
      <w:r>
        <w:rPr>
          <w:rFonts w:ascii="方正仿宋_GBK" w:hAnsi="方正仿宋_GBK" w:eastAsia="方正仿宋_GBK" w:cs="方正仿宋_GBK"/>
          <w:sz w:val="32"/>
          <w:szCs w:val="32"/>
          <w:shd w:val="clear" w:color="auto" w:fill="FFFFFF"/>
        </w:rPr>
        <w:t>万元。收、支与2023年度相比，减少206.84万元，下降10.39%，主要原因是</w:t>
      </w:r>
      <w:r>
        <w:rPr>
          <w:rFonts w:ascii="方正仿宋_GBK" w:hAnsi="方正仿宋_GBK" w:eastAsia="方正仿宋_GBK" w:cs="方正仿宋_GBK"/>
          <w:color w:val="000000" w:themeColor="text1"/>
          <w:sz w:val="32"/>
          <w:szCs w:val="32"/>
          <w:shd w:val="clear" w:color="auto" w:fill="FFFFFF"/>
        </w:rPr>
        <w:t>本年度项目经费和公用经费减少。</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2024年度收入合计1775.32万元，与2023年度相比，减少212.28万元，下降10.68%，主要原因是</w:t>
      </w:r>
      <w:r>
        <w:rPr>
          <w:rFonts w:ascii="方正仿宋_GBK" w:hAnsi="方正仿宋_GBK" w:eastAsia="方正仿宋_GBK" w:cs="方正仿宋_GBK"/>
          <w:color w:val="000000" w:themeColor="text1"/>
          <w:sz w:val="32"/>
          <w:szCs w:val="32"/>
          <w:shd w:val="clear" w:color="auto" w:fill="FFFFFF"/>
        </w:rPr>
        <w:t>本年度项目经费和公用经费减少。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1775.32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8.24</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1783.56</w:t>
      </w:r>
      <w:r>
        <w:rPr>
          <w:rFonts w:ascii="方正仿宋_GBK" w:hAnsi="方正仿宋_GBK" w:eastAsia="方正仿宋_GBK" w:cs="方正仿宋_GBK"/>
          <w:sz w:val="32"/>
          <w:szCs w:val="32"/>
          <w:shd w:val="clear" w:color="auto" w:fill="FFFFFF"/>
        </w:rPr>
        <w:t>万元，与2023年度相比，减少206.84万元，下降10.39%，主要原因是项目经费和公用经</w:t>
      </w:r>
      <w:r>
        <w:rPr>
          <w:rFonts w:ascii="方正仿宋_GBK" w:hAnsi="方正仿宋_GBK" w:eastAsia="方正仿宋_GBK" w:cs="方正仿宋_GBK"/>
          <w:color w:val="000000" w:themeColor="text1"/>
          <w:sz w:val="32"/>
          <w:szCs w:val="32"/>
          <w:shd w:val="clear" w:color="auto" w:fill="FFFFFF"/>
        </w:rPr>
        <w:t>费减少，厉行节约，严控公用经费</w:t>
      </w:r>
      <w:r>
        <w:rPr>
          <w:rFonts w:hint="default" w:ascii="方正仿宋_GBK" w:hAnsi="方正仿宋_GBK" w:eastAsia="方正仿宋_GBK" w:cs="方正仿宋_GBK"/>
          <w:color w:val="000000" w:themeColor="text1"/>
          <w:sz w:val="32"/>
          <w:szCs w:val="32"/>
          <w:shd w:val="clear" w:color="auto" w:fill="FFFFFF"/>
        </w:rPr>
        <w:t>支出</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532.59</w:t>
      </w:r>
      <w:r>
        <w:rPr>
          <w:rFonts w:ascii="方正仿宋_GBK" w:hAnsi="方正仿宋_GBK" w:eastAsia="方正仿宋_GBK" w:cs="方正仿宋_GBK"/>
          <w:sz w:val="32"/>
          <w:szCs w:val="32"/>
          <w:shd w:val="clear" w:color="auto" w:fill="FFFFFF"/>
        </w:rPr>
        <w:t>万元，占29.86%；项目支出</w:t>
      </w:r>
      <w:r>
        <w:rPr>
          <w:rFonts w:ascii="方正仿宋_GBK" w:hAnsi="方正仿宋_GBK" w:eastAsia="方正仿宋_GBK" w:cs="方正仿宋_GBK"/>
          <w:sz w:val="32"/>
          <w:szCs w:val="32"/>
        </w:rPr>
        <w:t>1250.97</w:t>
      </w:r>
      <w:r>
        <w:rPr>
          <w:rFonts w:ascii="方正仿宋_GBK" w:hAnsi="方正仿宋_GBK" w:eastAsia="方正仿宋_GBK" w:cs="方正仿宋_GBK"/>
          <w:sz w:val="32"/>
          <w:szCs w:val="32"/>
          <w:shd w:val="clear" w:color="auto" w:fill="FFFFFF"/>
        </w:rPr>
        <w:t>万元，占70.14%；经营支出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themeColor="text1"/>
          <w:sz w:val="32"/>
          <w:szCs w:val="32"/>
          <w:shd w:val="clear" w:color="auto" w:fill="FFFFFF"/>
        </w:rPr>
        <w:t>主要原因是无结转结余资金。</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2024年度财政拨款收、支总计1783.56万元。与2023年相比，财政拨款收、支总计各减少206.84万元，下降10.39%。主要原因是本年度项目经费和公用经费减少。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1165.97</w:t>
      </w:r>
      <w:r>
        <w:rPr>
          <w:rFonts w:ascii="方正仿宋_GBK" w:hAnsi="方正仿宋_GBK" w:eastAsia="方正仿宋_GBK" w:cs="方正仿宋_GBK"/>
          <w:sz w:val="32"/>
          <w:szCs w:val="32"/>
          <w:shd w:val="clear" w:color="auto" w:fill="FFFFFF"/>
        </w:rPr>
        <w:t>万元，与2023年度相比，减少321.39万元，下降21.61%。主要原因是本年度项目经费和公用经费减少。较年初预算数增加130.38万元，增长12.59%。主要原因是向上争取专项资金增加</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8.24</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1174.21</w:t>
      </w:r>
      <w:r>
        <w:rPr>
          <w:rFonts w:ascii="方正仿宋_GBK" w:hAnsi="方正仿宋_GBK" w:eastAsia="方正仿宋_GBK" w:cs="方正仿宋_GBK"/>
          <w:sz w:val="32"/>
          <w:szCs w:val="32"/>
          <w:shd w:val="clear" w:color="auto" w:fill="FFFFFF"/>
        </w:rPr>
        <w:t>万元，与2023年度相比，减少315.95万元，下降21.20%。主要原因</w:t>
      </w:r>
      <w:r>
        <w:rPr>
          <w:rFonts w:ascii="方正仿宋_GBK" w:hAnsi="方正仿宋_GBK" w:eastAsia="方正仿宋_GBK" w:cs="方正仿宋_GBK"/>
          <w:color w:val="000000" w:themeColor="text1"/>
          <w:sz w:val="32"/>
          <w:szCs w:val="32"/>
          <w:shd w:val="clear" w:color="auto" w:fill="FFFFFF"/>
        </w:rPr>
        <w:t>是本年度项目经费和公用经费减少。</w:t>
      </w:r>
      <w:r>
        <w:rPr>
          <w:rFonts w:ascii="方正仿宋_GBK" w:hAnsi="方正仿宋_GBK" w:eastAsia="方正仿宋_GBK" w:cs="方正仿宋_GBK"/>
          <w:sz w:val="32"/>
          <w:szCs w:val="32"/>
          <w:shd w:val="clear" w:color="auto" w:fill="FFFFFF"/>
        </w:rPr>
        <w:t>年初预算数增加138.62万元，增长13.39%。主要原因是向上争取专项资金增加</w:t>
      </w:r>
      <w:r>
        <w:rPr>
          <w:rFonts w:ascii="方正仿宋_GBK" w:hAnsi="方正仿宋_GBK" w:eastAsia="方正仿宋_GBK" w:cs="方正仿宋_GBK"/>
          <w:color w:val="000000" w:themeColor="text1"/>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万元，与2023年度相比，无增减，主要原因是无结转结余资金。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%，较年初预算数减少0.80万元，下降85.11%，主要原因是单位</w:t>
      </w:r>
      <w:r>
        <w:rPr>
          <w:rFonts w:ascii="方正仿宋_GBK" w:hAnsi="方正仿宋_GBK" w:eastAsia="方正仿宋_GBK" w:cs="方正仿宋_GBK"/>
          <w:color w:val="000000" w:themeColor="text1"/>
          <w:sz w:val="32"/>
          <w:szCs w:val="32"/>
          <w:shd w:val="clear" w:color="auto" w:fill="FFFFFF"/>
        </w:rPr>
        <w:t>职工参加培训交流等活动减少。</w:t>
      </w:r>
    </w:p>
    <w:p>
      <w:pPr>
        <w:pStyle w:val="6"/>
        <w:snapToGrid w:val="0"/>
        <w:spacing w:before="0" w:beforeAutospacing="0" w:after="0" w:afterAutospacing="0" w:line="600" w:lineRule="exact"/>
        <w:ind w:firstLine="640" w:firstLineChars="200"/>
        <w:jc w:val="both"/>
        <w:rPr>
          <w:rFonts w:hint="default" w:ascii="方正仿宋_GBK" w:eastAsia="方正仿宋_GBK"/>
          <w:color w:val="000000" w:themeColor="text1"/>
          <w:sz w:val="32"/>
        </w:rPr>
      </w:pPr>
      <w:r>
        <w:rPr>
          <w:rFonts w:ascii="方正仿宋_GBK" w:hAnsi="方正仿宋_GBK" w:eastAsia="方正仿宋_GBK" w:cs="方正仿宋_GBK"/>
          <w:sz w:val="32"/>
          <w:szCs w:val="32"/>
          <w:shd w:val="clear" w:color="auto" w:fill="FFFFFF"/>
        </w:rPr>
        <w:t>（2）文化旅游体育与传媒支出</w:t>
      </w:r>
      <w:r>
        <w:rPr>
          <w:rFonts w:ascii="方正仿宋_GBK" w:hAnsi="方正仿宋_GBK" w:eastAsia="方正仿宋_GBK" w:cs="方正仿宋_GBK"/>
          <w:sz w:val="32"/>
          <w:szCs w:val="32"/>
        </w:rPr>
        <w:t>919.89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78.34</w:t>
      </w:r>
      <w:r>
        <w:rPr>
          <w:rFonts w:ascii="方正仿宋_GBK" w:hAnsi="方正仿宋_GBK" w:eastAsia="方正仿宋_GBK" w:cs="方正仿宋_GBK"/>
          <w:sz w:val="32"/>
          <w:szCs w:val="32"/>
          <w:shd w:val="clear" w:color="auto" w:fill="FFFFFF"/>
        </w:rPr>
        <w:t>%，较年初预算数增加119.12万元，增长14.88%，主要原因是</w:t>
      </w:r>
      <w:r>
        <w:rPr>
          <w:rFonts w:ascii="方正仿宋_GBK" w:eastAsia="方正仿宋_GBK"/>
          <w:sz w:val="32"/>
        </w:rPr>
        <w:t>项目资金增加，如退休中人一次性补贴、抚恤金、向上争取专项资金用于全县体育设施建设、文化和旅游事业发展</w:t>
      </w:r>
      <w:r>
        <w:rPr>
          <w:rFonts w:ascii="方正仿宋_GBK" w:eastAsia="方正仿宋_GBK"/>
          <w:color w:val="000000" w:themeColor="text1"/>
          <w:sz w:val="32"/>
        </w:rPr>
        <w:t>等。</w:t>
      </w:r>
    </w:p>
    <w:p>
      <w:pPr>
        <w:pStyle w:val="6"/>
        <w:snapToGrid w:val="0"/>
        <w:spacing w:before="0" w:beforeAutospacing="0" w:after="0" w:afterAutospacing="0" w:line="600" w:lineRule="exact"/>
        <w:ind w:firstLine="640" w:firstLineChars="200"/>
        <w:jc w:val="both"/>
        <w:rPr>
          <w:rFonts w:hint="default" w:ascii="方正仿宋_GBK" w:eastAsia="方正仿宋_GBK"/>
          <w:color w:val="000000" w:themeColor="text1"/>
          <w:sz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214.96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18.31</w:t>
      </w:r>
      <w:r>
        <w:rPr>
          <w:rFonts w:ascii="方正仿宋_GBK" w:hAnsi="方正仿宋_GBK" w:eastAsia="方正仿宋_GBK" w:cs="方正仿宋_GBK"/>
          <w:sz w:val="32"/>
          <w:szCs w:val="32"/>
          <w:shd w:val="clear" w:color="auto" w:fill="FFFFFF"/>
        </w:rPr>
        <w:t>%，较年初预算数增加20.29万元，增长10.42%，主要原因是</w:t>
      </w:r>
      <w:r>
        <w:rPr>
          <w:rFonts w:ascii="方正仿宋_GBK" w:eastAsia="方正仿宋_GBK"/>
          <w:color w:val="000000" w:themeColor="text1"/>
          <w:sz w:val="32"/>
        </w:rPr>
        <w:t>2024年度退休人员死亡抚恤金发放和退休人员医疗差额补发等</w:t>
      </w:r>
      <w:r>
        <w:rPr>
          <w:rFonts w:ascii="方正仿宋_GBK" w:hAnsi="方正仿宋_GBK" w:eastAsia="方正仿宋_GBK" w:cs="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eastAsia="方正仿宋_GBK"/>
          <w:color w:val="000000" w:themeColor="text1"/>
          <w:sz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16.76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%，较年初预算数无增减，主要原因是在职工社保缴费</w:t>
      </w:r>
      <w:r>
        <w:rPr>
          <w:rFonts w:eastAsia="方正仿宋_GBK" w:asciiTheme="minorHAnsi" w:hAnsiTheme="minorHAnsi"/>
          <w:color w:val="000000" w:themeColor="text1"/>
          <w:sz w:val="32"/>
        </w:rPr>
        <w:t>无</w:t>
      </w:r>
      <w:r>
        <w:rPr>
          <w:rFonts w:hint="default" w:eastAsia="方正仿宋_GBK" w:asciiTheme="minorHAnsi" w:hAnsiTheme="minorHAnsi"/>
          <w:color w:val="000000" w:themeColor="text1"/>
          <w:sz w:val="32"/>
        </w:rPr>
        <w:t>变化调整</w:t>
      </w:r>
      <w:r>
        <w:rPr>
          <w:rFonts w:ascii="方正仿宋_GBK" w:eastAsia="方正仿宋_GBK"/>
          <w:color w:val="000000" w:themeColor="text1"/>
          <w:sz w:val="32"/>
        </w:rPr>
        <w:t>。</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住房保障支出22.45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1.91</w:t>
      </w:r>
      <w:r>
        <w:rPr>
          <w:rFonts w:ascii="方正仿宋_GBK" w:hAnsi="方正仿宋_GBK" w:eastAsia="方正仿宋_GBK" w:cs="方正仿宋_GBK"/>
          <w:sz w:val="32"/>
          <w:szCs w:val="32"/>
          <w:shd w:val="clear" w:color="auto" w:fill="FFFFFF"/>
        </w:rPr>
        <w:t>%，较年初预算数无增减，主要原因是</w:t>
      </w:r>
      <w:r>
        <w:rPr>
          <w:rFonts w:ascii="方正仿宋_GBK" w:hAnsi="方正仿宋_GBK" w:eastAsia="方正仿宋_GBK" w:cs="方正仿宋_GBK"/>
          <w:color w:val="000000" w:themeColor="text1"/>
          <w:sz w:val="32"/>
          <w:szCs w:val="32"/>
          <w:shd w:val="clear" w:color="auto" w:fill="FFFFFF"/>
        </w:rPr>
        <w:t>职工住房公积金无变化调整。</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6"/>
        <w:spacing w:line="600" w:lineRule="atLeast"/>
        <w:ind w:firstLine="800" w:firstLineChars="250"/>
        <w:rPr>
          <w:rFonts w:eastAsia="方正仿宋_GBK"/>
          <w:sz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532.59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472.73</w:t>
      </w:r>
      <w:r>
        <w:rPr>
          <w:rFonts w:ascii="方正仿宋_GBK" w:hAnsi="方正仿宋_GBK" w:eastAsia="方正仿宋_GBK" w:cs="方正仿宋_GBK"/>
          <w:sz w:val="32"/>
          <w:szCs w:val="32"/>
          <w:shd w:val="clear" w:color="auto" w:fill="FFFFFF"/>
        </w:rPr>
        <w:t>万元，与2023年度相比，减少18.25万元，下降3.72%，主要原因是</w:t>
      </w:r>
      <w:r>
        <w:rPr>
          <w:rFonts w:ascii="方正仿宋_GBK" w:hAnsi="方正仿宋_GBK" w:eastAsia="方正仿宋_GBK" w:cs="方正仿宋_GBK"/>
          <w:color w:val="000000" w:themeColor="text1"/>
          <w:sz w:val="32"/>
          <w:szCs w:val="32"/>
          <w:shd w:val="clear" w:color="auto" w:fill="FFFFFF"/>
        </w:rPr>
        <w:t>本年度人员变动，经费有所减少。</w:t>
      </w:r>
      <w:r>
        <w:rPr>
          <w:rFonts w:ascii="方正仿宋_GBK" w:hAnsi="方正仿宋_GBK" w:eastAsia="方正仿宋_GBK" w:cs="方正仿宋_GBK"/>
          <w:sz w:val="32"/>
          <w:szCs w:val="32"/>
          <w:shd w:val="clear" w:color="auto" w:fill="FFFFFF"/>
        </w:rPr>
        <w:t>人员经费用途主要包括</w:t>
      </w:r>
      <w:r>
        <w:rPr>
          <w:rFonts w:hint="eastAsia" w:ascii="方正仿宋_GBK" w:eastAsia="方正仿宋_GBK"/>
          <w:kern w:val="0"/>
          <w:sz w:val="32"/>
          <w:szCs w:val="32"/>
        </w:rPr>
        <w:t>基本工资、津贴补贴、公务员目标考核奖奖金、社会保障缴费和</w:t>
      </w:r>
      <w:r>
        <w:rPr>
          <w:rFonts w:hint="eastAsia" w:ascii="方正仿宋_GBK" w:eastAsia="方正仿宋_GBK"/>
          <w:sz w:val="32"/>
          <w:szCs w:val="32"/>
        </w:rPr>
        <w:t>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59.87</w:t>
      </w:r>
      <w:r>
        <w:rPr>
          <w:rFonts w:ascii="方正仿宋_GBK" w:hAnsi="方正仿宋_GBK" w:eastAsia="方正仿宋_GBK" w:cs="方正仿宋_GBK"/>
          <w:sz w:val="32"/>
          <w:szCs w:val="32"/>
          <w:shd w:val="clear" w:color="auto" w:fill="FFFFFF"/>
        </w:rPr>
        <w:t>万元，与2023年度相比，减少8.60万元，下降12.56%，主要原因是单位厉行节约，严控</w:t>
      </w:r>
      <w:r>
        <w:rPr>
          <w:rFonts w:hint="eastAsia" w:ascii="方正仿宋_GBK" w:hAnsi="方正仿宋_GBK" w:eastAsia="方正仿宋_GBK" w:cs="方正仿宋_GBK"/>
          <w:sz w:val="32"/>
          <w:szCs w:val="32"/>
          <w:shd w:val="clear" w:color="auto" w:fill="FFFFFF"/>
        </w:rPr>
        <w:t>“三公”</w:t>
      </w:r>
      <w:r>
        <w:rPr>
          <w:rFonts w:ascii="方正仿宋_GBK" w:hAnsi="方正仿宋_GBK" w:eastAsia="方正仿宋_GBK" w:cs="方正仿宋_GBK"/>
          <w:sz w:val="32"/>
          <w:szCs w:val="32"/>
          <w:shd w:val="clear" w:color="auto" w:fill="FFFFFF"/>
        </w:rPr>
        <w:t>经费支出</w:t>
      </w:r>
      <w:r>
        <w:rPr>
          <w:rFonts w:hint="eastAsia" w:ascii="方正仿宋_GBK" w:eastAsia="方正仿宋_GBK"/>
          <w:color w:val="000000" w:themeColor="text1"/>
          <w:sz w:val="32"/>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eastAsia="方正仿宋_GBK"/>
          <w:color w:val="000000" w:themeColor="text1"/>
          <w:sz w:val="32"/>
          <w:szCs w:val="32"/>
        </w:rPr>
        <w:t>办公费、印刷费、</w:t>
      </w:r>
      <w:r>
        <w:rPr>
          <w:rFonts w:hint="eastAsia" w:ascii="方正仿宋_GBK" w:eastAsia="方正仿宋_GBK"/>
          <w:color w:val="000000" w:themeColor="text1"/>
          <w:sz w:val="32"/>
        </w:rPr>
        <w:t>邮电费、维修（护）费、差旅费、公务接待费、公务用车运行维护费、</w:t>
      </w:r>
      <w:r>
        <w:rPr>
          <w:rFonts w:hint="eastAsia" w:ascii="方正仿宋_GBK" w:eastAsia="方正仿宋_GBK"/>
          <w:color w:val="000000" w:themeColor="text1"/>
          <w:sz w:val="32"/>
          <w:szCs w:val="32"/>
        </w:rPr>
        <w:t>劳务费、委托业务费和其它商品和服务支出等</w:t>
      </w:r>
      <w:r>
        <w:rPr>
          <w:rFonts w:hint="eastAsia" w:ascii="方正仿宋_GBK"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609.35</w:t>
      </w:r>
      <w:r>
        <w:rPr>
          <w:rFonts w:ascii="方正仿宋_GBK" w:hAnsi="方正仿宋_GBK" w:eastAsia="方正仿宋_GBK" w:cs="方正仿宋_GBK"/>
          <w:sz w:val="32"/>
          <w:szCs w:val="32"/>
          <w:shd w:val="clear" w:color="auto" w:fill="FFFFFF"/>
        </w:rPr>
        <w:t>万元，与2023年度相比，增加109.10万元，增长21.81%，主要原因是主要原因是2024年度彩票公益金增加，加大了对我县体育公园的投入</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609.35</w:t>
      </w:r>
      <w:r>
        <w:rPr>
          <w:rFonts w:ascii="方正仿宋_GBK" w:hAnsi="方正仿宋_GBK" w:eastAsia="方正仿宋_GBK" w:cs="方正仿宋_GBK"/>
          <w:sz w:val="32"/>
          <w:szCs w:val="32"/>
          <w:shd w:val="clear" w:color="auto" w:fill="FFFFFF"/>
        </w:rPr>
        <w:t>万元，与2023年度相比，增加109.10万元，增长21.81%，主要原因是主要原因是主要原因是2024年度彩票公益金增加，加大了对我县体育公园的投入</w:t>
      </w:r>
      <w:r>
        <w:rPr>
          <w:rFonts w:ascii="方正仿宋_GBK" w:hAnsi="方正仿宋_GBK" w:eastAsia="方正仿宋_GBK" w:cs="方正仿宋_GBK"/>
          <w:color w:val="000000" w:themeColor="text1"/>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6.58</w:t>
      </w:r>
      <w:r>
        <w:rPr>
          <w:rFonts w:ascii="方正仿宋_GBK" w:hAnsi="方正仿宋_GBK" w:eastAsia="方正仿宋_GBK" w:cs="方正仿宋_GBK"/>
          <w:sz w:val="32"/>
          <w:szCs w:val="32"/>
          <w:shd w:val="clear" w:color="auto" w:fill="FFFFFF"/>
        </w:rPr>
        <w:t>万元，较年初预算数减少0.42万元，下降6.00%，</w:t>
      </w:r>
      <w:r>
        <w:rPr>
          <w:rFonts w:ascii="方正仿宋_GBK" w:eastAsia="方正仿宋_GBK"/>
          <w:sz w:val="32"/>
        </w:rPr>
        <w:t>主要原因是厉行节约，严格控制“三公”经费开支</w:t>
      </w:r>
      <w:r>
        <w:rPr>
          <w:rFonts w:ascii="方正仿宋_GBK" w:eastAsia="方正仿宋_GBK"/>
          <w:color w:val="000000" w:themeColor="text1"/>
          <w:sz w:val="32"/>
        </w:rPr>
        <w:t>。</w:t>
      </w:r>
      <w:r>
        <w:rPr>
          <w:rFonts w:ascii="方正仿宋_GBK" w:hAnsi="方正仿宋_GBK" w:eastAsia="方正仿宋_GBK" w:cs="方正仿宋_GBK"/>
          <w:sz w:val="32"/>
          <w:szCs w:val="32"/>
          <w:shd w:val="clear" w:color="auto" w:fill="FFFFFF"/>
        </w:rPr>
        <w:t>较上年支出数增加0.57万元，增长9.48%，主要原因是2024年度开展活动较多，</w:t>
      </w:r>
      <w:r>
        <w:rPr>
          <w:rFonts w:ascii="方正仿宋_GBK" w:eastAsia="方正仿宋_GBK"/>
          <w:sz w:val="32"/>
        </w:rPr>
        <w:t>“三公”经费</w:t>
      </w:r>
      <w:r>
        <w:rPr>
          <w:rFonts w:ascii="方正仿宋_GBK" w:hAnsi="方正仿宋_GBK" w:eastAsia="方正仿宋_GBK" w:cs="方正仿宋_GBK"/>
          <w:sz w:val="32"/>
          <w:szCs w:val="32"/>
          <w:shd w:val="clear" w:color="auto" w:fill="FFFFFF"/>
        </w:rPr>
        <w:t>有所增加。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rPr>
        <w:t>文化市场执法检查、送图书下乡、因公出行等工作所需车辆的燃料费、维修费、过桥过路费、保险费等。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eastAsia="方正仿宋_GBK"/>
          <w:sz w:val="32"/>
          <w:szCs w:val="32"/>
        </w:rPr>
        <w:t>规范公务用车管理，严格控制运行成本</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较上年支出数增加0.79万元，增长24.61%，主要原因</w:t>
      </w:r>
      <w:r>
        <w:rPr>
          <w:rFonts w:ascii="方正仿宋_GBK" w:hAnsi="方正仿宋_GBK" w:eastAsia="方正仿宋_GBK" w:cs="方正仿宋_GBK"/>
          <w:color w:val="000000" w:themeColor="text1"/>
          <w:sz w:val="32"/>
          <w:szCs w:val="32"/>
          <w:shd w:val="clear" w:color="auto" w:fill="FFFFFF"/>
        </w:rPr>
        <w:t>是执法检查等因公出行工作量增加。</w:t>
      </w:r>
    </w:p>
    <w:p>
      <w:pPr>
        <w:pStyle w:val="6"/>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2.58</w:t>
      </w:r>
      <w:r>
        <w:rPr>
          <w:rFonts w:ascii="方正仿宋_GBK" w:hAnsi="方正仿宋_GBK" w:eastAsia="方正仿宋_GBK" w:cs="方正仿宋_GBK"/>
          <w:sz w:val="32"/>
          <w:szCs w:val="32"/>
          <w:shd w:val="clear" w:color="auto" w:fill="FFFFFF"/>
        </w:rPr>
        <w:t>万元，主要用于接待</w:t>
      </w:r>
      <w:r>
        <w:rPr>
          <w:rFonts w:ascii="方正仿宋_GBK" w:eastAsia="方正仿宋_GBK"/>
          <w:sz w:val="32"/>
        </w:rPr>
        <w:t>接待</w:t>
      </w:r>
      <w:r>
        <w:rPr>
          <w:rFonts w:ascii="方正仿宋_GBK" w:eastAsia="方正仿宋_GBK"/>
          <w:sz w:val="32"/>
          <w:szCs w:val="32"/>
        </w:rPr>
        <w:t>有关单位调研和招商引资等产生的接待支</w:t>
      </w:r>
      <w:r>
        <w:rPr>
          <w:rFonts w:ascii="方正仿宋_GBK" w:eastAsia="方正仿宋_GBK"/>
          <w:color w:val="000000" w:themeColor="text1"/>
          <w:sz w:val="32"/>
          <w:szCs w:val="32"/>
        </w:rPr>
        <w:t>出</w:t>
      </w:r>
      <w:r>
        <w:rPr>
          <w:rFonts w:ascii="方正仿宋_GBK" w:eastAsia="方正仿宋_GBK"/>
          <w:color w:val="000000" w:themeColor="text1"/>
          <w:sz w:val="32"/>
        </w:rPr>
        <w:t>。</w:t>
      </w:r>
      <w:r>
        <w:rPr>
          <w:rFonts w:ascii="方正仿宋_GBK" w:hAnsi="方正仿宋_GBK" w:eastAsia="方正仿宋_GBK" w:cs="方正仿宋_GBK"/>
          <w:sz w:val="32"/>
          <w:szCs w:val="32"/>
          <w:shd w:val="clear" w:color="auto" w:fill="FFFFFF"/>
        </w:rPr>
        <w:t>费用支出较年初预算数减少0.42万元，下降14.00%，主要原因是</w:t>
      </w:r>
      <w:r>
        <w:rPr>
          <w:rFonts w:ascii="方正仿宋_GBK" w:eastAsia="方正仿宋_GBK"/>
          <w:sz w:val="32"/>
          <w:szCs w:val="32"/>
        </w:rPr>
        <w:t>严格遵守公务接待开支范围和开支标准，严格控制陪餐人数</w:t>
      </w:r>
      <w:r>
        <w:rPr>
          <w:rFonts w:eastAsia="方正仿宋_GBK"/>
          <w:sz w:val="32"/>
        </w:rPr>
        <w:t>。</w:t>
      </w:r>
      <w:r>
        <w:rPr>
          <w:rFonts w:ascii="方正仿宋_GBK" w:hAnsi="方正仿宋_GBK" w:eastAsia="方正仿宋_GBK" w:cs="方正仿宋_GBK"/>
          <w:sz w:val="32"/>
          <w:szCs w:val="32"/>
          <w:shd w:val="clear" w:color="auto" w:fill="FFFFFF"/>
        </w:rPr>
        <w:t>较上年支出数减少0.22万元，下降7.86%，主要原因是</w:t>
      </w:r>
      <w:r>
        <w:rPr>
          <w:rFonts w:ascii="方正仿宋_GBK" w:eastAsia="方正仿宋_GBK"/>
          <w:sz w:val="32"/>
          <w:szCs w:val="32"/>
        </w:rPr>
        <w:t>大型文体活动和赛事产生的接待业务量减少。</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29</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79.52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16"/>
        <w:spacing w:line="600" w:lineRule="atLeast"/>
        <w:ind w:firstLine="480" w:firstLineChars="15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万元，与2023年度相比，减少0.52万元，下降86.67%，主要原因是</w:t>
      </w:r>
      <w:r>
        <w:rPr>
          <w:rFonts w:hint="eastAsia" w:ascii="方正仿宋_GBK" w:eastAsia="方正仿宋_GBK"/>
          <w:kern w:val="0"/>
          <w:sz w:val="32"/>
          <w:szCs w:val="32"/>
          <w:shd w:val="clear" w:color="auto" w:fill="FFFFFF"/>
        </w:rPr>
        <w:t>文化体育和旅游相关线下会务活动有所减少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万元，与2023年度相比，减少1.55万元，下降89.60%，主要原因是</w:t>
      </w:r>
      <w:r>
        <w:rPr>
          <w:rFonts w:hint="eastAsia" w:ascii="方正仿宋_GBK" w:hAnsi="方正仿宋_GBK" w:eastAsia="方正仿宋_GBK" w:cs="方正仿宋_GBK"/>
          <w:sz w:val="32"/>
          <w:szCs w:val="32"/>
          <w:shd w:val="clear" w:color="auto" w:fill="FFFFFF"/>
        </w:rPr>
        <w:t>2024年度培训交流相关活动较上年有所减少</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7"/>
        <w:autoSpaceDE w:val="0"/>
        <w:spacing w:before="0" w:beforeAutospacing="0" w:after="0" w:afterAutospacing="0" w:line="600" w:lineRule="atLeast"/>
        <w:ind w:firstLine="640" w:firstLineChars="200"/>
        <w:jc w:val="both"/>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59.87</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eastAsia="方正仿宋_GBK"/>
          <w:sz w:val="32"/>
          <w:szCs w:val="32"/>
        </w:rPr>
        <w:t>办公费、印刷费、邮电费、</w:t>
      </w:r>
      <w:r>
        <w:rPr>
          <w:rFonts w:ascii="方正仿宋_GBK" w:eastAsia="方正仿宋_GBK"/>
          <w:sz w:val="32"/>
          <w:szCs w:val="32"/>
        </w:rPr>
        <w:t>维修维护费、</w:t>
      </w:r>
      <w:r>
        <w:rPr>
          <w:rFonts w:hint="eastAsia" w:ascii="方正仿宋_GBK" w:eastAsia="方正仿宋_GBK"/>
          <w:sz w:val="32"/>
          <w:szCs w:val="32"/>
        </w:rPr>
        <w:t>信息网络购置更新费和劳务费等</w:t>
      </w:r>
      <w:r>
        <w:rPr>
          <w:rFonts w:hint="eastAsia" w:ascii="方正仿宋_GBK"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机关运行经费较上年支出数减少8.60万元，下降12.56%，主要原因是</w:t>
      </w:r>
      <w:r>
        <w:rPr>
          <w:rFonts w:hint="eastAsia" w:ascii="方正仿宋_GBK" w:eastAsia="方正仿宋_GBK"/>
          <w:sz w:val="32"/>
          <w:szCs w:val="32"/>
        </w:rPr>
        <w:t>本着厉行节约原则，单位对办公等相关物品进行了有效管理，行政运行成本下降</w:t>
      </w:r>
      <w:r>
        <w:rPr>
          <w:rFonts w:hint="eastAsia" w:ascii="方正仿宋_GBK" w:eastAsia="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 xml:space="preserve"> 2024年度本单位政府采购支出总额</w:t>
      </w:r>
      <w:r>
        <w:rPr>
          <w:rFonts w:ascii="方正仿宋_GBK" w:hAnsi="方正仿宋_GBK" w:eastAsia="方正仿宋_GBK" w:cs="方正仿宋_GBK"/>
          <w:sz w:val="32"/>
          <w:szCs w:val="32"/>
        </w:rPr>
        <w:t>435.90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435.90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435.90万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435.90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%。主要用于采购2024年度重庆垫江铁人三项赛和垫江牡丹马拉</w:t>
      </w:r>
      <w:r>
        <w:rPr>
          <w:rFonts w:ascii="方正仿宋_GBK" w:hAnsi="方正仿宋_GBK" w:eastAsia="方正仿宋_GBK" w:cs="方正仿宋_GBK"/>
          <w:color w:val="000000" w:themeColor="text1"/>
          <w:sz w:val="32"/>
          <w:szCs w:val="32"/>
          <w:shd w:val="clear" w:color="auto" w:fill="FFFFFF"/>
        </w:rPr>
        <w:t>松赛事服务。</w:t>
      </w:r>
    </w:p>
    <w:p>
      <w:pPr>
        <w:pStyle w:val="6"/>
        <w:snapToGrid w:val="0"/>
        <w:spacing w:before="0" w:beforeAutospacing="0" w:after="0" w:afterAutospacing="0" w:line="600" w:lineRule="exact"/>
        <w:ind w:firstLine="643"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根据预算绩效管理要求，我单位对16个二级项目开展了绩效自评，涉及财政拨款项目支出资金1250.99万元。</w:t>
      </w:r>
    </w:p>
    <w:tbl>
      <w:tblPr>
        <w:tblStyle w:val="7"/>
        <w:tblW w:w="9878" w:type="dxa"/>
        <w:tblInd w:w="93" w:type="dxa"/>
        <w:tblLayout w:type="fixed"/>
        <w:tblCellMar>
          <w:top w:w="0" w:type="dxa"/>
          <w:left w:w="108" w:type="dxa"/>
          <w:bottom w:w="0" w:type="dxa"/>
          <w:right w:w="108" w:type="dxa"/>
        </w:tblCellMar>
      </w:tblPr>
      <w:tblGrid>
        <w:gridCol w:w="1558"/>
        <w:gridCol w:w="889"/>
        <w:gridCol w:w="889"/>
        <w:gridCol w:w="891"/>
        <w:gridCol w:w="698"/>
        <w:gridCol w:w="746"/>
        <w:gridCol w:w="843"/>
        <w:gridCol w:w="696"/>
        <w:gridCol w:w="602"/>
        <w:gridCol w:w="794"/>
        <w:gridCol w:w="1272"/>
      </w:tblGrid>
      <w:tr>
        <w:tblPrEx>
          <w:tblCellMar>
            <w:top w:w="0" w:type="dxa"/>
            <w:left w:w="108" w:type="dxa"/>
            <w:bottom w:w="0" w:type="dxa"/>
            <w:right w:w="108" w:type="dxa"/>
          </w:tblCellMar>
        </w:tblPrEx>
        <w:trPr>
          <w:trHeight w:val="799"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项目名称：</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文化旅游发展资金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项目编码：</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50023122T000000139377</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自评总分：</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100.00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项目主管部门：</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121-垫江县文化和旅游发展委员会</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财政归口处室：</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004-行财科</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部门联系人：</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eastAsia="宋体" w:cs="宋体"/>
                <w:color w:val="000000"/>
                <w:sz w:val="22"/>
                <w:szCs w:val="22"/>
                <w:lang w:val="en-US" w:eastAsia="zh-CN"/>
              </w:rPr>
            </w:pPr>
            <w:r>
              <w:rPr>
                <w:rFonts w:cs="宋体"/>
                <w:color w:val="000000"/>
                <w:sz w:val="22"/>
                <w:szCs w:val="22"/>
              </w:rPr>
              <w:t>李</w:t>
            </w:r>
            <w:r>
              <w:rPr>
                <w:rFonts w:hint="eastAsia" w:cs="宋体"/>
                <w:color w:val="000000"/>
                <w:sz w:val="22"/>
                <w:szCs w:val="22"/>
                <w:lang w:eastAsia="zh-CN"/>
              </w:rPr>
              <w:t>老师</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联系电话：</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eastAsia="宋体" w:cs="宋体"/>
                <w:color w:val="000000"/>
                <w:sz w:val="22"/>
                <w:szCs w:val="22"/>
                <w:lang w:val="en-US" w:eastAsia="zh-CN"/>
              </w:rPr>
            </w:pPr>
            <w:r>
              <w:rPr>
                <w:rFonts w:hint="eastAsia" w:cs="宋体"/>
                <w:color w:val="000000"/>
                <w:sz w:val="22"/>
                <w:szCs w:val="22"/>
                <w:lang w:val="en-US" w:eastAsia="zh-CN"/>
              </w:rPr>
              <w:t>023-74681083</w:t>
            </w: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rPr>
              <w:t>资金情况</w:t>
            </w:r>
          </w:p>
        </w:tc>
      </w:tr>
      <w:tr>
        <w:tblPrEx>
          <w:tblCellMar>
            <w:top w:w="0" w:type="dxa"/>
            <w:left w:w="108" w:type="dxa"/>
            <w:bottom w:w="0" w:type="dxa"/>
            <w:right w:w="108" w:type="dxa"/>
          </w:tblCellMar>
        </w:tblPrEx>
        <w:trPr>
          <w:trHeight w:val="499" w:hRule="atLeast"/>
        </w:trPr>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color w:val="000000"/>
                <w:sz w:val="22"/>
                <w:szCs w:val="22"/>
              </w:rPr>
            </w:pP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年初预算数</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全年（调整）预算数</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全年执行数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执行率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22"/>
                <w:szCs w:val="22"/>
              </w:rPr>
            </w:pPr>
            <w:r>
              <w:rPr>
                <w:rFonts w:cs="宋体"/>
                <w:b/>
                <w:bCs/>
                <w:color w:val="000000"/>
                <w:sz w:val="22"/>
                <w:szCs w:val="22"/>
              </w:rPr>
              <w:t>执行率权重</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2"/>
                <w:szCs w:val="22"/>
              </w:rPr>
            </w:pPr>
            <w:r>
              <w:rPr>
                <w:rFonts w:cs="宋体"/>
                <w:color w:val="000000"/>
                <w:sz w:val="22"/>
                <w:szCs w:val="22"/>
              </w:rPr>
              <w:t>年度总金额</w:t>
            </w:r>
          </w:p>
        </w:tc>
        <w:tc>
          <w:tcPr>
            <w:tcW w:w="889"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889"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891"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0.00 </w:t>
            </w: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46"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rPr>
              <w:t xml:space="preserve">740,900.00 </w:t>
            </w:r>
          </w:p>
        </w:tc>
        <w:tc>
          <w:tcPr>
            <w:tcW w:w="843"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696"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740,900.00 </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2"/>
                <w:szCs w:val="22"/>
              </w:rPr>
            </w:pPr>
            <w:r>
              <w:rPr>
                <w:rFonts w:cs="宋体"/>
                <w:color w:val="000000"/>
                <w:sz w:val="22"/>
                <w:szCs w:val="22"/>
              </w:rPr>
              <w:t>其中：财政拨款</w:t>
            </w:r>
          </w:p>
        </w:tc>
        <w:tc>
          <w:tcPr>
            <w:tcW w:w="889"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889"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891"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0.00 </w:t>
            </w: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46"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rPr>
              <w:t xml:space="preserve">740,900.00 </w:t>
            </w:r>
          </w:p>
        </w:tc>
        <w:tc>
          <w:tcPr>
            <w:tcW w:w="843"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696"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740,900.00 </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22"/>
                <w:szCs w:val="22"/>
              </w:rPr>
            </w:pPr>
            <w:r>
              <w:rPr>
                <w:rFonts w:cs="宋体"/>
                <w:color w:val="000000"/>
                <w:sz w:val="22"/>
                <w:szCs w:val="22"/>
              </w:rPr>
              <w:t>10.00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2"/>
                <w:szCs w:val="22"/>
              </w:rPr>
            </w:pPr>
            <w:r>
              <w:rPr>
                <w:rFonts w:cs="宋体"/>
                <w:color w:val="000000"/>
                <w:sz w:val="22"/>
                <w:szCs w:val="22"/>
              </w:rPr>
              <w:t>一般公共预算</w:t>
            </w:r>
          </w:p>
        </w:tc>
        <w:tc>
          <w:tcPr>
            <w:tcW w:w="889"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889"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891"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0.00 </w:t>
            </w: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46"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rPr>
              <w:t xml:space="preserve">740,900.00 </w:t>
            </w:r>
          </w:p>
        </w:tc>
        <w:tc>
          <w:tcPr>
            <w:tcW w:w="843"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696"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740,900.00 </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rPr>
              <w:t>绩效目标</w:t>
            </w:r>
          </w:p>
        </w:tc>
      </w:tr>
      <w:tr>
        <w:tblPrEx>
          <w:tblCellMar>
            <w:top w:w="0" w:type="dxa"/>
            <w:left w:w="108" w:type="dxa"/>
            <w:bottom w:w="0" w:type="dxa"/>
            <w:right w:w="108" w:type="dxa"/>
          </w:tblCellMar>
        </w:tblPrEx>
        <w:trPr>
          <w:trHeight w:val="499" w:hRule="atLeast"/>
        </w:trPr>
        <w:tc>
          <w:tcPr>
            <w:tcW w:w="42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年初绩效目标</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全年（调整）绩效目标</w:t>
            </w:r>
          </w:p>
        </w:tc>
        <w:tc>
          <w:tcPr>
            <w:tcW w:w="26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4227"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rPr>
              <w:t>坚持以习近平新时代中国特色社会主义思想为指导，紧紧围绕</w:t>
            </w:r>
            <w:r>
              <w:rPr>
                <w:rFonts w:hint="eastAsia" w:cs="宋体"/>
                <w:color w:val="000000"/>
                <w:sz w:val="22"/>
                <w:szCs w:val="22"/>
                <w:lang w:eastAsia="zh-CN"/>
              </w:rPr>
              <w:t>习近平总书记</w:t>
            </w:r>
            <w:r>
              <w:rPr>
                <w:rFonts w:cs="宋体"/>
                <w:color w:val="000000"/>
                <w:sz w:val="22"/>
                <w:szCs w:val="22"/>
              </w:rPr>
              <w:t>对重庆提出的“两点”定位、“两地”“两高”目标和营造良好政治生态、做到“四个扎实”的重要指示要求，坚持以人民为中心的发展思想，以高质量发展为目标，以文旅融合发展为主线，以改革创新为动力，以为人民群众提供优质的文化和旅游产品、服务为中心环节，围绕建设重庆休闲旅游目的地发展目标和打造“牡丹故里.康养垫江”品牌定位，加速推动文化旅游发展创新。</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rPr>
              <w:t>坚持以习近平新时代中国特色社会主义思想为指导，紧紧围绕</w:t>
            </w:r>
            <w:r>
              <w:rPr>
                <w:rFonts w:hint="eastAsia" w:cs="宋体"/>
                <w:color w:val="000000"/>
                <w:sz w:val="22"/>
                <w:szCs w:val="22"/>
                <w:lang w:eastAsia="zh-CN"/>
              </w:rPr>
              <w:t>习近平总书记</w:t>
            </w:r>
            <w:r>
              <w:rPr>
                <w:rFonts w:cs="宋体"/>
                <w:color w:val="000000"/>
                <w:sz w:val="22"/>
                <w:szCs w:val="22"/>
              </w:rPr>
              <w:t>对重庆提出的“两点”定位、“两地”“两高”目标和营造良好政治生态、做到“四个扎实”的重要指示要求，坚持以人民为中心的发展思想，以高质量发展为目标，以文旅融合发展为主线，以改革创新为动力，以为人民群众提供优质的文化和旅游产品、服务为中心环节，围绕建设重庆休闲旅游目的地发展目标和打造“牡丹故里.康养垫江”品牌定位，加速推动文化旅游发展创新。</w:t>
            </w:r>
          </w:p>
        </w:tc>
        <w:tc>
          <w:tcPr>
            <w:tcW w:w="2668"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rPr>
              <w:t>坚持以习近平新时代中国特色社会主义思想为指导，紧紧围绕</w:t>
            </w:r>
            <w:r>
              <w:rPr>
                <w:rFonts w:hint="eastAsia" w:cs="宋体"/>
                <w:color w:val="000000"/>
                <w:sz w:val="22"/>
                <w:szCs w:val="22"/>
                <w:lang w:eastAsia="zh-CN"/>
              </w:rPr>
              <w:t>习近平总书记</w:t>
            </w:r>
            <w:r>
              <w:rPr>
                <w:rFonts w:cs="宋体"/>
                <w:color w:val="000000"/>
                <w:sz w:val="22"/>
                <w:szCs w:val="22"/>
              </w:rPr>
              <w:t>对重庆提出的“两点”定位、“两地”“两高”目标和营造良好政治生态、做到“四个扎实”的重要指示要求，坚持以人民为中心的发展思想，以高质量发展为目标，以文旅融合发展为主线，以改革创新为动力，以为人民群众提供优质的文化和旅游产品、服务为中心环节，围绕建设重庆休闲旅游目的地发展目标和打造“牡丹故里.康养垫江”品牌定位，加速推动文化旅游发展创新。</w:t>
            </w: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rPr>
              <w:t>绩效指标</w:t>
            </w: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指标名称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计量单位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指标值</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全年完成值</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偏离度（%）</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指标权重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指标得分</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是否核心指标</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开展文旅体活动</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次</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开展文艺演出数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场次</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活动服务质量达标率</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每次活动时长</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天</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促进文化旅游产业发展持续期限</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天</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365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365</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参加活动群众满意度</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全年文旅体活动成本</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107</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74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30.84</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预算指标调剂给下属单位</w:t>
            </w:r>
          </w:p>
        </w:tc>
      </w:tr>
    </w:tbl>
    <w:p>
      <w:pPr>
        <w:pStyle w:val="11"/>
        <w:autoSpaceDE w:val="0"/>
        <w:ind w:firstLine="0" w:firstLineChars="0"/>
        <w:rPr>
          <w:rFonts w:ascii="楷体" w:hAnsi="楷体" w:eastAsia="楷体" w:cs="楷体"/>
          <w:b/>
          <w:bCs/>
          <w:sz w:val="32"/>
          <w:szCs w:val="32"/>
          <w:shd w:val="clear" w:color="auto" w:fill="FFFFFF"/>
        </w:rPr>
      </w:pPr>
    </w:p>
    <w:tbl>
      <w:tblPr>
        <w:tblStyle w:val="7"/>
        <w:tblW w:w="9878" w:type="dxa"/>
        <w:tblInd w:w="93" w:type="dxa"/>
        <w:tblLayout w:type="fixed"/>
        <w:tblCellMar>
          <w:top w:w="0" w:type="dxa"/>
          <w:left w:w="108" w:type="dxa"/>
          <w:bottom w:w="0" w:type="dxa"/>
          <w:right w:w="108" w:type="dxa"/>
        </w:tblCellMar>
      </w:tblPr>
      <w:tblGrid>
        <w:gridCol w:w="1024"/>
        <w:gridCol w:w="1022"/>
        <w:gridCol w:w="1022"/>
        <w:gridCol w:w="1025"/>
        <w:gridCol w:w="794"/>
        <w:gridCol w:w="852"/>
        <w:gridCol w:w="967"/>
        <w:gridCol w:w="791"/>
        <w:gridCol w:w="678"/>
        <w:gridCol w:w="909"/>
        <w:gridCol w:w="794"/>
      </w:tblGrid>
      <w:tr>
        <w:tblPrEx>
          <w:tblCellMar>
            <w:top w:w="0" w:type="dxa"/>
            <w:left w:w="108" w:type="dxa"/>
            <w:bottom w:w="0" w:type="dxa"/>
            <w:right w:w="108" w:type="dxa"/>
          </w:tblCellMar>
        </w:tblPrEx>
        <w:trPr>
          <w:trHeight w:val="799"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textAlignment w:val="center"/>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项目名称：</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购买服务人员经费</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项目编码：</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50023123T000003092993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自评总分：</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100.00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项目主管部门：</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121-垫江县文化和旅游发展委员会</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财政归口处室：</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004-行财科</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部门联系人：</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eastAsia="宋体" w:cs="宋体"/>
                <w:color w:val="000000"/>
                <w:sz w:val="22"/>
                <w:szCs w:val="22"/>
                <w:lang w:eastAsia="zh-CN"/>
              </w:rPr>
            </w:pPr>
            <w:r>
              <w:rPr>
                <w:rFonts w:hint="eastAsia" w:cs="宋体"/>
                <w:color w:val="000000"/>
                <w:sz w:val="22"/>
                <w:szCs w:val="22"/>
                <w:lang w:eastAsia="zh-CN"/>
              </w:rPr>
              <w:t>彭老师</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rPr>
              <w:t>联系电话：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hint="eastAsia" w:cs="宋体"/>
                <w:color w:val="000000"/>
                <w:sz w:val="22"/>
                <w:szCs w:val="22"/>
                <w:lang w:val="en-US" w:eastAsia="zh-CN"/>
              </w:rPr>
              <w:t>023-</w:t>
            </w:r>
            <w:r>
              <w:rPr>
                <w:rFonts w:cs="宋体"/>
                <w:color w:val="000000"/>
                <w:sz w:val="22"/>
                <w:szCs w:val="22"/>
              </w:rPr>
              <w:t>74522459</w:t>
            </w: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rPr>
              <w:t>资金情况</w:t>
            </w:r>
          </w:p>
        </w:tc>
      </w:tr>
      <w:tr>
        <w:tblPrEx>
          <w:tblCellMar>
            <w:top w:w="0" w:type="dxa"/>
            <w:left w:w="108" w:type="dxa"/>
            <w:bottom w:w="0" w:type="dxa"/>
            <w:right w:w="108" w:type="dxa"/>
          </w:tblCellMar>
        </w:tblPrEx>
        <w:trPr>
          <w:trHeight w:val="499"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color w:val="000000"/>
                <w:sz w:val="22"/>
                <w:szCs w:val="22"/>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年初预算数</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全年（调整）预算数</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全年执行数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执行率</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22"/>
                <w:szCs w:val="22"/>
              </w:rPr>
            </w:pPr>
            <w:r>
              <w:rPr>
                <w:rFonts w:cs="宋体"/>
                <w:b/>
                <w:bCs/>
                <w:color w:val="000000"/>
                <w:sz w:val="22"/>
                <w:szCs w:val="22"/>
              </w:rPr>
              <w:t>执行率权重</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2"/>
                <w:szCs w:val="22"/>
              </w:rPr>
            </w:pPr>
            <w:r>
              <w:rPr>
                <w:rFonts w:cs="宋体"/>
                <w:color w:val="000000"/>
                <w:sz w:val="22"/>
                <w:szCs w:val="22"/>
              </w:rPr>
              <w:t>年度总金额</w:t>
            </w:r>
          </w:p>
        </w:tc>
        <w:tc>
          <w:tcPr>
            <w:tcW w:w="1022"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022"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1025"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216,000.00 </w:t>
            </w:r>
          </w:p>
        </w:tc>
        <w:tc>
          <w:tcPr>
            <w:tcW w:w="794"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852"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rPr>
              <w:t xml:space="preserve">210,391.44 </w:t>
            </w:r>
          </w:p>
        </w:tc>
        <w:tc>
          <w:tcPr>
            <w:tcW w:w="967"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91"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210,391.44 </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2"/>
                <w:szCs w:val="22"/>
              </w:rPr>
            </w:pPr>
            <w:r>
              <w:rPr>
                <w:rFonts w:cs="宋体"/>
                <w:color w:val="000000"/>
                <w:sz w:val="22"/>
                <w:szCs w:val="22"/>
              </w:rPr>
              <w:t>其中：财政拨款</w:t>
            </w:r>
          </w:p>
        </w:tc>
        <w:tc>
          <w:tcPr>
            <w:tcW w:w="1022"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022"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1025"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216,000.00 </w:t>
            </w:r>
          </w:p>
        </w:tc>
        <w:tc>
          <w:tcPr>
            <w:tcW w:w="794"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852"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rPr>
              <w:t xml:space="preserve">210,391.44 </w:t>
            </w:r>
          </w:p>
        </w:tc>
        <w:tc>
          <w:tcPr>
            <w:tcW w:w="967"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91"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210,391.44 </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100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22"/>
                <w:szCs w:val="22"/>
              </w:rPr>
            </w:pPr>
            <w:r>
              <w:rPr>
                <w:rFonts w:cs="宋体"/>
                <w:color w:val="000000"/>
                <w:sz w:val="22"/>
                <w:szCs w:val="22"/>
              </w:rPr>
              <w:t>10.00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 xml:space="preserve">10.00 </w:t>
            </w: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2"/>
                <w:szCs w:val="22"/>
              </w:rPr>
            </w:pPr>
            <w:r>
              <w:rPr>
                <w:rFonts w:cs="宋体"/>
                <w:color w:val="000000"/>
                <w:sz w:val="22"/>
                <w:szCs w:val="22"/>
              </w:rPr>
              <w:t>一般公共预算</w:t>
            </w:r>
          </w:p>
        </w:tc>
        <w:tc>
          <w:tcPr>
            <w:tcW w:w="1022"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022"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1025"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216,000.00 </w:t>
            </w:r>
          </w:p>
        </w:tc>
        <w:tc>
          <w:tcPr>
            <w:tcW w:w="794"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852"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rPr>
              <w:t xml:space="preserve">210,391.44 </w:t>
            </w:r>
          </w:p>
        </w:tc>
        <w:tc>
          <w:tcPr>
            <w:tcW w:w="967"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91"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 xml:space="preserve">210,391.44 </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rPr>
              <w:t>100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rPr>
              <w:t>绩效目标</w:t>
            </w:r>
          </w:p>
        </w:tc>
      </w:tr>
      <w:tr>
        <w:tblPrEx>
          <w:tblCellMar>
            <w:top w:w="0" w:type="dxa"/>
            <w:left w:w="108" w:type="dxa"/>
            <w:bottom w:w="0" w:type="dxa"/>
            <w:right w:w="108" w:type="dxa"/>
          </w:tblCellMar>
        </w:tblPrEx>
        <w:trPr>
          <w:trHeight w:val="499" w:hRule="atLeast"/>
        </w:trPr>
        <w:tc>
          <w:tcPr>
            <w:tcW w:w="40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年初绩效目标</w:t>
            </w:r>
          </w:p>
        </w:tc>
        <w:tc>
          <w:tcPr>
            <w:tcW w:w="34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全年（调整）绩效目标</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4093"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rPr>
              <w:t>按时发放政府购买人员工资</w:t>
            </w:r>
          </w:p>
        </w:tc>
        <w:tc>
          <w:tcPr>
            <w:tcW w:w="3404"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2"/>
                <w:szCs w:val="22"/>
              </w:rPr>
            </w:pP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rPr>
              <w:t>按时发放政府购买人员工资</w:t>
            </w:r>
          </w:p>
        </w:tc>
      </w:tr>
      <w:tr>
        <w:tblPrEx>
          <w:tblCellMar>
            <w:top w:w="0" w:type="dxa"/>
            <w:left w:w="108" w:type="dxa"/>
            <w:bottom w:w="0" w:type="dxa"/>
            <w:right w:w="108" w:type="dxa"/>
          </w:tblCellMar>
        </w:tblPrEx>
        <w:trPr>
          <w:trHeight w:val="600"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rPr>
              <w:t>绩效指标</w:t>
            </w: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指标名称</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计量单位</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指标性质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指标值</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全年完成值</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偏离度（%）</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得分系数（%）</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指标权重</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指标得分</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是否核心指标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发放人数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人</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发放覆盖率</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发放及时率</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提供保障程度</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95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95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30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是</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服务对象满意率</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90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月发放总额</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24000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24000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rPr>
              <w:t>10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bl>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2"/>
        <w:autoSpaceDE w:val="0"/>
        <w:spacing w:before="0" w:beforeAutospacing="0"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spacing w:before="0" w:beforeAutospacing="0"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000000" w:themeColor="text1"/>
          <w:sz w:val="32"/>
          <w:szCs w:val="32"/>
          <w:shd w:val="clear" w:color="auto" w:fill="FFFFFF"/>
        </w:rPr>
        <w:t>刘老师  023-74522459</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080" w:bottom="1440" w:left="108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垫江县文化和旅游发展委员会（本级）</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1,165.97</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609.35</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919.89</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214.96</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609.35</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1,775.32</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1,783.56</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1,783.56</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1,783.56</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垫江县文化和旅游发展委员会（本级）</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1,775.32</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1,775.32</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911.65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911.65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911.65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911.65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278.52</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278.52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403.85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403.85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旅游宣传</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222.29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222.29</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214.96</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214.96</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182.43</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26.82</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13.41</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32.29</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32.29</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609.35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609.35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609.35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609.35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609.35</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609.35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垫江县文化和旅游发展委员会（本级）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1,783.56</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532.59</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1,250.97</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919.89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641.38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911.65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633.14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278.52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278.52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403.85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403.85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旅游宣传</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222.29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222.29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214.72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13.41</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609.35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609.35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609.35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609.35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609.35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609.35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垫江县文化和旅游发展委员会（本级）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1,165.97</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609.35</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919.89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919.89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214.96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214.96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609.35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609.35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1,775.32</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1,783.56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1,174.21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609.35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1,783.56</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1,783.56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1,174.21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609.35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垫江县文化和旅游发展委员会（本级）</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1,174.21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532.59</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641.62</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919.89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278.52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641.38</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911.65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278.52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633.14</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278.52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278.52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403.85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403.85</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旅游宣传</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222.29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222.29</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214.96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214.72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182.43</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13.41</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32.29</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32.29</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16.76</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16.76</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16.76</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22.45</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22.45</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垫江县文化和旅游发展委员会（本级）</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298.23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67.29</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97.07</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13.41</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16.76</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174.49</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32.29</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131.40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472.73</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59.87</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垫江县文化和旅游发展委员会（本级）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609.35</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609.35</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609.35</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609.35</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609.35</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609.35</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609.35</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609.35</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609.35</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609.35</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609.35</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609.35</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垫江县文化和旅游发展委员会（本级）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垫江县文化和旅游发展委员会（本级）</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59.87</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6.58</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6.58</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59.87</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2.58</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2.58</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2.58</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435.90</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325</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435.90</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435.90</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435.90</w:t>
            </w:r>
          </w:p>
        </w:tc>
      </w:tr>
      <w:tr>
        <w:tblPrEx>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14.50</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- 16 -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17 -</w:t>
                </w:r>
                <w:r>
                  <w:rPr>
                    <w:rFonts w:hint="default"/>
                  </w:rPr>
                  <w:fldChar w:fldCharType="end"/>
                </w:r>
              </w:p>
            </w:txbxContent>
          </v:textbox>
        </v:shape>
      </w:pict>
    </w:r>
    <w:r>
      <w:rPr>
        <w:rFonts w:hint="default"/>
      </w:rPr>
      <w:pict>
        <v:shape id="_x0000_s3075" o:spid="_x0000_s3075"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4MWM2YmFhNjI2ZjBiMzdmZDQ5YWQxZGNmMDQ4ZWEifQ=="/>
  </w:docVars>
  <w:rsids>
    <w:rsidRoot w:val="00B03CCD"/>
    <w:rsid w:val="0001726C"/>
    <w:rsid w:val="000239C6"/>
    <w:rsid w:val="000D52DB"/>
    <w:rsid w:val="00164559"/>
    <w:rsid w:val="001D0DCF"/>
    <w:rsid w:val="001D3BB7"/>
    <w:rsid w:val="002B254B"/>
    <w:rsid w:val="003066DE"/>
    <w:rsid w:val="003A668F"/>
    <w:rsid w:val="003E6632"/>
    <w:rsid w:val="004331F7"/>
    <w:rsid w:val="00466C9B"/>
    <w:rsid w:val="00531977"/>
    <w:rsid w:val="005331F4"/>
    <w:rsid w:val="00550ABE"/>
    <w:rsid w:val="0061188D"/>
    <w:rsid w:val="0063051E"/>
    <w:rsid w:val="00634F8C"/>
    <w:rsid w:val="006C7425"/>
    <w:rsid w:val="006D0ADD"/>
    <w:rsid w:val="00770383"/>
    <w:rsid w:val="007819D4"/>
    <w:rsid w:val="007972A4"/>
    <w:rsid w:val="007A09C4"/>
    <w:rsid w:val="007B419D"/>
    <w:rsid w:val="007B7C4B"/>
    <w:rsid w:val="007D3D39"/>
    <w:rsid w:val="0080364F"/>
    <w:rsid w:val="008E39C3"/>
    <w:rsid w:val="00953017"/>
    <w:rsid w:val="0098611D"/>
    <w:rsid w:val="00994AF7"/>
    <w:rsid w:val="009A7C0B"/>
    <w:rsid w:val="009B67B8"/>
    <w:rsid w:val="009D2B67"/>
    <w:rsid w:val="00A55889"/>
    <w:rsid w:val="00A566F9"/>
    <w:rsid w:val="00A63D15"/>
    <w:rsid w:val="00A978B9"/>
    <w:rsid w:val="00AF2751"/>
    <w:rsid w:val="00B03CCD"/>
    <w:rsid w:val="00BD57CA"/>
    <w:rsid w:val="00BE2B89"/>
    <w:rsid w:val="00C10E9E"/>
    <w:rsid w:val="00C20C3E"/>
    <w:rsid w:val="00CF2ACF"/>
    <w:rsid w:val="00D03C29"/>
    <w:rsid w:val="00D463AE"/>
    <w:rsid w:val="00D66BDB"/>
    <w:rsid w:val="00D87806"/>
    <w:rsid w:val="00DC43CC"/>
    <w:rsid w:val="00DE69EB"/>
    <w:rsid w:val="00E15EEF"/>
    <w:rsid w:val="00E73692"/>
    <w:rsid w:val="00F73F90"/>
    <w:rsid w:val="00FB4B3B"/>
    <w:rsid w:val="00FC55AA"/>
    <w:rsid w:val="00FF7B6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6B5B99"/>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1C0B79"/>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ACA59AD"/>
    <w:rsid w:val="4B135857"/>
    <w:rsid w:val="4B7951CB"/>
    <w:rsid w:val="4B7C315C"/>
    <w:rsid w:val="4C1A55D7"/>
    <w:rsid w:val="4DAC4ACA"/>
    <w:rsid w:val="4DBE01D2"/>
    <w:rsid w:val="4E654DAA"/>
    <w:rsid w:val="4F0C6BA3"/>
    <w:rsid w:val="4F186D58"/>
    <w:rsid w:val="50D6128C"/>
    <w:rsid w:val="50DF1F16"/>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AF1296F"/>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正文1"/>
    <w:semiHidden/>
    <w:qFormat/>
    <w:uiPriority w:val="99"/>
    <w:pPr>
      <w:jc w:val="both"/>
    </w:pPr>
    <w:rPr>
      <w:rFonts w:ascii="Times New Roman" w:hAnsi="Times New Roman" w:eastAsia="宋体" w:cs="Times New Roman"/>
      <w:kern w:val="2"/>
      <w:sz w:val="21"/>
      <w:szCs w:val="21"/>
      <w:lang w:val="en-US" w:eastAsia="zh-CN" w:bidi="ar-SA"/>
    </w:rPr>
  </w:style>
  <w:style w:type="paragraph" w:customStyle="1" w:styleId="17">
    <w:name w:val="普通(网站) Char Char"/>
    <w:basedOn w:val="1"/>
    <w:semiHidden/>
    <w:qFormat/>
    <w:uiPriority w:val="99"/>
    <w:pPr>
      <w:spacing w:before="100" w:beforeAutospacing="1" w:after="100" w:afterAutospacing="1"/>
    </w:pPr>
    <w:rPr>
      <w:rFonts w:hint="default"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12050</Words>
  <Characters>15982</Characters>
  <Lines>132</Lines>
  <Paragraphs>37</Paragraphs>
  <TotalTime>81</TotalTime>
  <ScaleCrop>false</ScaleCrop>
  <LinksUpToDate>false</LinksUpToDate>
  <CharactersWithSpaces>16206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2025-08-13T06:16:00Z</dcterms:created>
  <dc:creator>Administrator</dc:creator>
  <cp:lastModifiedBy>WPS_1664260647</cp:lastModifiedBy>
  <dcterms:modified xsi:type="dcterms:W3CDTF">2025-09-24T06:20:50Z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